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973E4" w14:textId="77777777" w:rsidR="004D0A0D" w:rsidRDefault="004D0A0D" w:rsidP="004D0A0D">
      <w:pPr>
        <w:spacing w:line="480" w:lineRule="auto"/>
        <w:jc w:val="both"/>
        <w:rPr>
          <w:rFonts w:ascii="AdvTT5235d5a9" w:hAnsi="AdvTT5235d5a9"/>
          <w:color w:val="000000"/>
          <w:sz w:val="16"/>
        </w:rPr>
      </w:pPr>
      <w:r>
        <w:rPr>
          <w:b/>
          <w:bCs/>
          <w:color w:val="000000"/>
          <w:sz w:val="20"/>
          <w:szCs w:val="20"/>
        </w:rPr>
        <w:t>Supplementary material</w:t>
      </w:r>
    </w:p>
    <w:p w14:paraId="386FCDEA" w14:textId="77777777" w:rsidR="004D0A0D" w:rsidRDefault="004D0A0D" w:rsidP="004D0A0D">
      <w:pPr>
        <w:spacing w:line="480" w:lineRule="auto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Supp. Fig. 1: geNorm analysis of reference genes from </w:t>
      </w:r>
      <w:r>
        <w:rPr>
          <w:b/>
          <w:bCs/>
          <w:i/>
          <w:iCs/>
          <w:color w:val="000000"/>
          <w:sz w:val="20"/>
          <w:szCs w:val="20"/>
        </w:rPr>
        <w:t xml:space="preserve">K. phaffii </w:t>
      </w:r>
      <w:r>
        <w:rPr>
          <w:b/>
          <w:bCs/>
          <w:color w:val="000000"/>
          <w:sz w:val="20"/>
          <w:szCs w:val="20"/>
        </w:rPr>
        <w:t xml:space="preserve">ΔgSec at 20°C and </w:t>
      </w:r>
      <w:r>
        <w:rPr>
          <w:b/>
          <w:bCs/>
          <w:i/>
          <w:iCs/>
          <w:color w:val="000000"/>
          <w:sz w:val="20"/>
          <w:szCs w:val="20"/>
        </w:rPr>
        <w:t>K. phaffii</w:t>
      </w:r>
      <w:r>
        <w:rPr>
          <w:b/>
          <w:bCs/>
          <w:color w:val="000000"/>
          <w:sz w:val="20"/>
          <w:szCs w:val="20"/>
        </w:rPr>
        <w:t xml:space="preserve"> gSec 28°C, 96 h post induction.  </w:t>
      </w:r>
      <w:r>
        <w:rPr>
          <w:color w:val="000000"/>
          <w:sz w:val="20"/>
          <w:szCs w:val="20"/>
        </w:rPr>
        <w:t>A) genes with lower geNorm M values are considered more stable, with the most stable genes being ACT1 and TFC1. B) The number most stable genes used in the experiment was determined by a geNorm V value below 0.15; leading to the application of two reference genes in this study.</w:t>
      </w:r>
    </w:p>
    <w:p w14:paraId="343B6CEA" w14:textId="77777777" w:rsidR="004D0A0D" w:rsidRDefault="004D0A0D" w:rsidP="004D0A0D">
      <w:pPr>
        <w:spacing w:line="480" w:lineRule="auto"/>
        <w:jc w:val="both"/>
        <w:rPr>
          <w:rFonts w:ascii="AdvTT5235d5a9" w:hAnsi="AdvTT5235d5a9"/>
          <w:color w:val="000000"/>
          <w:sz w:val="16"/>
        </w:rPr>
      </w:pPr>
      <w:r>
        <w:rPr>
          <w:b/>
          <w:bCs/>
          <w:sz w:val="20"/>
          <w:szCs w:val="20"/>
        </w:rPr>
        <w:t>Supp. Tab. 1: PCR primer sequences for strain construction.</w:t>
      </w:r>
      <w:r>
        <w:rPr>
          <w:sz w:val="20"/>
          <w:szCs w:val="20"/>
        </w:rPr>
        <w:t xml:space="preserve"> The primers were used for amplification of the </w:t>
      </w:r>
      <w:r>
        <w:rPr>
          <w:i/>
          <w:iCs/>
          <w:sz w:val="20"/>
          <w:szCs w:val="20"/>
        </w:rPr>
        <w:t>Secale cereale</w:t>
      </w:r>
      <w:r>
        <w:rPr>
          <w:sz w:val="20"/>
          <w:szCs w:val="20"/>
        </w:rPr>
        <w:t xml:space="preserve"> Sec2 gene, the expression cassette BSY3Z, and mutations thereof containing the secretion signals MATα-prepro (S1), OST1-pre (S3), OST1-pre-MATα-pro (S4), or the null mutant. </w:t>
      </w:r>
    </w:p>
    <w:p w14:paraId="66CE1DDA" w14:textId="77777777" w:rsidR="004D0A0D" w:rsidRDefault="004D0A0D" w:rsidP="004D0A0D">
      <w:pPr>
        <w:spacing w:line="480" w:lineRule="auto"/>
        <w:jc w:val="both"/>
        <w:rPr>
          <w:rFonts w:ascii="AdvTT5235d5a9" w:hAnsi="AdvTT5235d5a9"/>
          <w:color w:val="000000"/>
          <w:sz w:val="16"/>
        </w:rPr>
      </w:pPr>
      <w:r>
        <w:rPr>
          <w:b/>
          <w:bCs/>
          <w:sz w:val="20"/>
          <w:szCs w:val="20"/>
        </w:rPr>
        <w:t>Supp. Tab. 2: MIQE checklist</w:t>
      </w:r>
    </w:p>
    <w:p w14:paraId="0C5C3407" w14:textId="77777777" w:rsidR="004D0A0D" w:rsidRDefault="004D0A0D" w:rsidP="004D0A0D">
      <w:pPr>
        <w:spacing w:line="480" w:lineRule="auto"/>
        <w:jc w:val="both"/>
        <w:rPr>
          <w:rFonts w:ascii="AdvTT5235d5a9" w:hAnsi="AdvTT5235d5a9"/>
          <w:color w:val="000000"/>
          <w:sz w:val="16"/>
        </w:rPr>
      </w:pPr>
      <w:r>
        <w:rPr>
          <w:b/>
          <w:bCs/>
          <w:sz w:val="20"/>
          <w:szCs w:val="20"/>
        </w:rPr>
        <w:t>Supp. Tab. 3: PCR primer sequences for RT-qPCR analysis.</w:t>
      </w:r>
      <w:r>
        <w:rPr>
          <w:sz w:val="20"/>
          <w:szCs w:val="20"/>
        </w:rPr>
        <w:t xml:space="preserve"> The target sequences are divided into reference genes (REF) and genes of interest (GOI).</w:t>
      </w:r>
    </w:p>
    <w:p w14:paraId="48449F5F" w14:textId="77777777" w:rsidR="004D0A0D" w:rsidRDefault="004D0A0D" w:rsidP="004D0A0D">
      <w:pPr>
        <w:spacing w:line="480" w:lineRule="auto"/>
        <w:jc w:val="both"/>
        <w:rPr>
          <w:rFonts w:ascii="AdvTT5235d5a9" w:hAnsi="AdvTT5235d5a9"/>
          <w:color w:val="000000"/>
          <w:sz w:val="16"/>
        </w:rPr>
      </w:pPr>
      <w:r>
        <w:rPr>
          <w:b/>
          <w:bCs/>
          <w:sz w:val="20"/>
          <w:szCs w:val="20"/>
        </w:rPr>
        <w:t>Supp. Data 1: RDML-files from RT-qPCR experiments.</w:t>
      </w:r>
    </w:p>
    <w:p w14:paraId="466BD86E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vTT5235d5a9">
    <w:altName w:val="Cambria"/>
    <w:charset w:val="01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A0D"/>
    <w:rsid w:val="00331A6B"/>
    <w:rsid w:val="004A5E49"/>
    <w:rsid w:val="004D0A0D"/>
    <w:rsid w:val="00755780"/>
    <w:rsid w:val="00857596"/>
    <w:rsid w:val="00C0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083F9"/>
  <w15:chartTrackingRefBased/>
  <w15:docId w15:val="{ABF8A925-CCF1-4A33-8CB0-CAD0C8E3B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A0D"/>
    <w:pPr>
      <w:suppressAutoHyphens/>
      <w:overflowPunct w:val="0"/>
      <w:spacing w:after="0" w:line="240" w:lineRule="auto"/>
    </w:pPr>
    <w:rPr>
      <w:rFonts w:ascii="Arial" w:eastAsia="NSimSun" w:hAnsi="Arial" w:cs="Lucida Sans"/>
      <w:lang w:val="en-GB" w:eastAsia="zh-C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0A0D"/>
    <w:pPr>
      <w:keepNext/>
      <w:keepLines/>
      <w:suppressAutoHyphens w:val="0"/>
      <w:overflowPunct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0A0D"/>
    <w:pPr>
      <w:keepNext/>
      <w:keepLines/>
      <w:suppressAutoHyphens w:val="0"/>
      <w:overflowPunct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0A0D"/>
    <w:pPr>
      <w:keepNext/>
      <w:keepLines/>
      <w:suppressAutoHyphens w:val="0"/>
      <w:overflowPunct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0A0D"/>
    <w:pPr>
      <w:keepNext/>
      <w:keepLines/>
      <w:suppressAutoHyphens w:val="0"/>
      <w:overflowPunct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US"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0A0D"/>
    <w:pPr>
      <w:keepNext/>
      <w:keepLines/>
      <w:suppressAutoHyphens w:val="0"/>
      <w:overflowPunct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US"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0A0D"/>
    <w:pPr>
      <w:keepNext/>
      <w:keepLines/>
      <w:suppressAutoHyphens w:val="0"/>
      <w:overflowPunct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US"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0A0D"/>
    <w:pPr>
      <w:keepNext/>
      <w:keepLines/>
      <w:suppressAutoHyphens w:val="0"/>
      <w:overflowPunct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US"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0A0D"/>
    <w:pPr>
      <w:keepNext/>
      <w:keepLines/>
      <w:suppressAutoHyphens w:val="0"/>
      <w:overflowPunct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US"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0A0D"/>
    <w:pPr>
      <w:keepNext/>
      <w:keepLines/>
      <w:suppressAutoHyphens w:val="0"/>
      <w:overflowPunct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US"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A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0A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0A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0A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0A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0A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0A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0A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0A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0A0D"/>
    <w:pPr>
      <w:suppressAutoHyphens w:val="0"/>
      <w:overflowPunct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D0A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0A0D"/>
    <w:pPr>
      <w:numPr>
        <w:ilvl w:val="1"/>
      </w:numPr>
      <w:suppressAutoHyphens w:val="0"/>
      <w:overflowPunct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D0A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0A0D"/>
    <w:pPr>
      <w:suppressAutoHyphens w:val="0"/>
      <w:overflowPunct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US"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D0A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0A0D"/>
    <w:pPr>
      <w:suppressAutoHyphens w:val="0"/>
      <w:overflowPunct/>
      <w:spacing w:after="160" w:line="278" w:lineRule="auto"/>
      <w:ind w:left="720"/>
      <w:contextualSpacing/>
    </w:pPr>
    <w:rPr>
      <w:rFonts w:asciiTheme="minorHAnsi" w:eastAsiaTheme="minorHAnsi" w:hAnsiTheme="minorHAnsi" w:cstheme="minorBidi"/>
      <w:lang w:val="en-US"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D0A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0A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overflowPunct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val="en-US"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0A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0A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811</Characters>
  <Application>Microsoft Office Word</Application>
  <DocSecurity>0</DocSecurity>
  <Lines>6</Lines>
  <Paragraphs>1</Paragraphs>
  <ScaleCrop>false</ScaleCrop>
  <Company>Springer Nature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2025-04-30T13:10:00Z</dcterms:created>
  <dcterms:modified xsi:type="dcterms:W3CDTF">2025-04-30T13:11:00Z</dcterms:modified>
</cp:coreProperties>
</file>