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29747" w14:textId="77777777" w:rsidR="009D54E9" w:rsidRDefault="00661647" w:rsidP="00777151">
      <w:pPr>
        <w:pStyle w:val="Heading2"/>
        <w:rPr>
          <w:rFonts w:asciiTheme="minorHAnsi" w:eastAsiaTheme="minorHAnsi" w:hAnsiTheme="minorHAnsi" w:cstheme="minorBidi"/>
          <w:b/>
          <w:bCs/>
          <w:color w:val="auto"/>
          <w:sz w:val="28"/>
          <w:szCs w:val="28"/>
        </w:rPr>
      </w:pPr>
      <w:r w:rsidRPr="009D54E9">
        <w:rPr>
          <w:rFonts w:asciiTheme="minorHAnsi" w:eastAsiaTheme="minorHAnsi" w:hAnsiTheme="minorHAnsi" w:cstheme="minorBidi"/>
          <w:b/>
          <w:bCs/>
          <w:color w:val="auto"/>
          <w:sz w:val="28"/>
          <w:szCs w:val="28"/>
        </w:rPr>
        <w:t xml:space="preserve">Supplementary material </w:t>
      </w:r>
    </w:p>
    <w:p w14:paraId="0B42E3DD" w14:textId="71F23470" w:rsidR="00F21778" w:rsidRPr="009D54E9" w:rsidRDefault="00F21778" w:rsidP="00777151">
      <w:pPr>
        <w:pStyle w:val="Heading2"/>
        <w:rPr>
          <w:rFonts w:asciiTheme="minorHAnsi" w:eastAsiaTheme="minorHAnsi" w:hAnsiTheme="minorHAnsi" w:cstheme="minorBidi"/>
          <w:b/>
          <w:bCs/>
          <w:color w:val="auto"/>
          <w:sz w:val="28"/>
          <w:szCs w:val="28"/>
        </w:rPr>
      </w:pPr>
      <w:r w:rsidRPr="009D54E9">
        <w:rPr>
          <w:rFonts w:asciiTheme="minorHAnsi" w:eastAsiaTheme="minorHAnsi" w:hAnsiTheme="minorHAnsi" w:cstheme="minorBidi"/>
          <w:b/>
          <w:bCs/>
          <w:color w:val="auto"/>
          <w:sz w:val="28"/>
          <w:szCs w:val="28"/>
        </w:rPr>
        <w:t xml:space="preserve">Patch-clamp validation of SPRM-detected oscillations in MIN6 beta-cells </w:t>
      </w:r>
    </w:p>
    <w:p w14:paraId="78E460BC" w14:textId="388F1929" w:rsidR="00777151" w:rsidRDefault="00785465" w:rsidP="00777151">
      <w:pPr>
        <w:rPr>
          <w:b/>
          <w:bCs/>
        </w:rPr>
      </w:pPr>
      <w:r w:rsidRPr="00785465">
        <w:t>To provide evidence that the oscillations observed via Surface Plasmon Resonance Microscopy (SPRM) reflect underlying bioelectrical activity, we performed patch-clamp recordings on MIN6 cells under experimental conditions matching those used during SPRM.</w:t>
      </w:r>
      <w:r w:rsidR="00F21778">
        <w:br/>
      </w:r>
      <w:r w:rsidR="00F21778">
        <w:br/>
      </w:r>
      <w:r w:rsidR="00777151" w:rsidRPr="004A556A">
        <w:rPr>
          <w:b/>
          <w:bCs/>
          <w:sz w:val="24"/>
          <w:szCs w:val="24"/>
        </w:rPr>
        <w:t>Materials and Methods</w:t>
      </w:r>
    </w:p>
    <w:p w14:paraId="606B9BC6" w14:textId="162628D1" w:rsidR="00CC3B80" w:rsidRPr="001D23B1" w:rsidRDefault="00CC3B80" w:rsidP="00777151">
      <w:r w:rsidRPr="001D23B1">
        <w:t>The</w:t>
      </w:r>
      <w:r w:rsidR="00937E9C">
        <w:t xml:space="preserve"> methods</w:t>
      </w:r>
      <w:r w:rsidRPr="001D23B1">
        <w:t xml:space="preserve"> were </w:t>
      </w:r>
      <w:r w:rsidR="003A7E54" w:rsidRPr="001D23B1">
        <w:t>similar</w:t>
      </w:r>
      <w:r w:rsidRPr="001D23B1">
        <w:t xml:space="preserve"> to those previously published</w:t>
      </w:r>
      <w:r w:rsidR="00E333CC">
        <w:fldChar w:fldCharType="begin"/>
      </w:r>
      <w:r w:rsidR="00130B82">
        <w:instrText xml:space="preserve"> ADDIN ZOTERO_ITEM CSL_CITATION {"citationID":"kUSc9mDj","properties":{"formattedCitation":"\\super 1\\nosupersub{}","plainCitation":"1","noteIndex":0},"citationItems":[{"id":579,"uris":["http://zotero.org/users/local/e3NyymDs/items/4DR2BQRP"],"itemData":{"id":579,"type":"article-journal","container-title":"The Journal of physiology","issue":"Pt 1","page":"127","source":"Google Scholar","title":"Somatostatin activates two types of inwardly rectifying K+ channels in MIN-6 cells","volume":"532","author":[{"family":"Smith","given":"Paul A."},{"family":"Sellers","given":"Lynda A."},{"family":"Humphrey","given":"Patrick PA"}],"issued":{"date-parts":[["2001"]]}}}],"schema":"https://github.com/citation-style-language/schema/raw/master/csl-citation.json"} </w:instrText>
      </w:r>
      <w:r w:rsidR="00E333CC">
        <w:fldChar w:fldCharType="separate"/>
      </w:r>
      <w:r w:rsidR="00130B82" w:rsidRPr="00130B82">
        <w:rPr>
          <w:rFonts w:ascii="Aptos" w:cs="Times New Roman"/>
          <w:kern w:val="0"/>
          <w:szCs w:val="24"/>
          <w:vertAlign w:val="superscript"/>
        </w:rPr>
        <w:t>1</w:t>
      </w:r>
      <w:r w:rsidR="00E333CC">
        <w:fldChar w:fldCharType="end"/>
      </w:r>
      <w:r w:rsidRPr="001D23B1">
        <w:t xml:space="preserve"> and are presented here in brief.</w:t>
      </w:r>
    </w:p>
    <w:p w14:paraId="27DC7129" w14:textId="77777777" w:rsidR="004B73CD" w:rsidRPr="004A556A" w:rsidRDefault="004B73CD" w:rsidP="004B73CD">
      <w:pPr>
        <w:rPr>
          <w:i/>
          <w:iCs/>
        </w:rPr>
      </w:pPr>
      <w:r w:rsidRPr="004A556A">
        <w:rPr>
          <w:i/>
          <w:iCs/>
        </w:rPr>
        <w:t>Cell Culture</w:t>
      </w:r>
    </w:p>
    <w:p w14:paraId="528647C5" w14:textId="6A2537A0" w:rsidR="00785465" w:rsidRDefault="00785465" w:rsidP="004B73CD">
      <w:r w:rsidRPr="00785465">
        <w:t>MIN6 pancreatic beta-cells were cultured following previously established protocols. Cells were maintained in RPMI 1640 medium supplemented with 11</w:t>
      </w:r>
      <w:r w:rsidRPr="00785465">
        <w:rPr>
          <w:rFonts w:ascii="Arial" w:hAnsi="Arial" w:cs="Arial"/>
        </w:rPr>
        <w:t> </w:t>
      </w:r>
      <w:r w:rsidRPr="00785465">
        <w:t>mM glucose, 10% fetal bovine serum (FBS), 10</w:t>
      </w:r>
      <w:r w:rsidRPr="00785465">
        <w:rPr>
          <w:rFonts w:ascii="Arial" w:hAnsi="Arial" w:cs="Arial"/>
        </w:rPr>
        <w:t> </w:t>
      </w:r>
      <w:r w:rsidRPr="00785465">
        <w:t>mM HEPES, and 50</w:t>
      </w:r>
      <w:r w:rsidRPr="00785465">
        <w:rPr>
          <w:rFonts w:ascii="Arial" w:hAnsi="Arial" w:cs="Arial"/>
        </w:rPr>
        <w:t> </w:t>
      </w:r>
      <w:r w:rsidRPr="00785465">
        <w:rPr>
          <w:rFonts w:ascii="Aptos" w:hAnsi="Aptos" w:cs="Aptos"/>
        </w:rPr>
        <w:t>µ</w:t>
      </w:r>
      <w:r w:rsidRPr="00785465">
        <w:t>g/mL penicillin-streptomycin. For patch-clamp experiments, cells were seeded onto glass coverslips and incubated for 24 hours prior to measurements</w:t>
      </w:r>
      <w:r w:rsidR="009839E9">
        <w:t xml:space="preserve"> </w:t>
      </w:r>
      <w:r w:rsidR="003F00DA">
        <w:t>under the</w:t>
      </w:r>
      <w:r w:rsidR="009839E9">
        <w:t xml:space="preserve"> standard tissue culture conditions </w:t>
      </w:r>
      <w:r w:rsidR="00F03729">
        <w:t xml:space="preserve">described </w:t>
      </w:r>
      <w:r w:rsidR="009839E9">
        <w:t>above</w:t>
      </w:r>
      <w:r>
        <w:t>.</w:t>
      </w:r>
    </w:p>
    <w:p w14:paraId="1CEEC0DA" w14:textId="44322370" w:rsidR="004B73CD" w:rsidRPr="004A556A" w:rsidRDefault="004B73CD" w:rsidP="004B73CD">
      <w:pPr>
        <w:rPr>
          <w:i/>
          <w:iCs/>
        </w:rPr>
      </w:pPr>
      <w:r w:rsidRPr="004A556A">
        <w:rPr>
          <w:i/>
          <w:iCs/>
        </w:rPr>
        <w:t>Solutions</w:t>
      </w:r>
    </w:p>
    <w:p w14:paraId="1B44546B" w14:textId="51404CFC" w:rsidR="00785465" w:rsidRDefault="00785465" w:rsidP="004B73CD">
      <w:r w:rsidRPr="00785465">
        <w:t xml:space="preserve">Pipettes were filled with a solution containing </w:t>
      </w:r>
      <w:r w:rsidR="009839E9">
        <w:t xml:space="preserve">in mM: </w:t>
      </w:r>
      <w:r w:rsidRPr="00785465">
        <w:t>140</w:t>
      </w:r>
      <w:r w:rsidR="007E5692">
        <w:t xml:space="preserve"> </w:t>
      </w:r>
      <w:proofErr w:type="spellStart"/>
      <w:r w:rsidRPr="00785465">
        <w:t>KCl</w:t>
      </w:r>
      <w:proofErr w:type="spellEnd"/>
      <w:r w:rsidR="00DA3725">
        <w:t xml:space="preserve">, </w:t>
      </w:r>
      <w:r w:rsidR="009839E9">
        <w:t>2.5 CaCl</w:t>
      </w:r>
      <w:r w:rsidR="009839E9" w:rsidRPr="003A7E54">
        <w:rPr>
          <w:vertAlign w:val="subscript"/>
        </w:rPr>
        <w:t>2</w:t>
      </w:r>
      <w:r w:rsidR="009839E9">
        <w:t>,</w:t>
      </w:r>
      <w:r w:rsidR="00001CD5">
        <w:t xml:space="preserve"> </w:t>
      </w:r>
      <w:r w:rsidR="009839E9">
        <w:t>1.2 MgCl</w:t>
      </w:r>
      <w:r w:rsidR="009839E9" w:rsidRPr="003A7E54">
        <w:rPr>
          <w:vertAlign w:val="subscript"/>
        </w:rPr>
        <w:t>2</w:t>
      </w:r>
      <w:r w:rsidR="00A30E0D">
        <w:t xml:space="preserve">, </w:t>
      </w:r>
      <w:r w:rsidR="009839E9">
        <w:t>and 10 HEPES (pH 7.4 with NaOH)</w:t>
      </w:r>
      <w:r w:rsidRPr="00785465">
        <w:t>. The external bath solution was Hanks</w:t>
      </w:r>
      <w:r w:rsidRPr="00785465">
        <w:rPr>
          <w:rFonts w:ascii="Aptos" w:hAnsi="Aptos" w:cs="Aptos"/>
        </w:rPr>
        <w:t>’</w:t>
      </w:r>
      <w:r w:rsidRPr="00785465">
        <w:t xml:space="preserve"> Balanced Salt Solution (HBSS). To stimulate electrical activity, 10</w:t>
      </w:r>
      <w:r w:rsidRPr="00785465">
        <w:rPr>
          <w:rFonts w:ascii="Arial" w:hAnsi="Arial" w:cs="Arial"/>
        </w:rPr>
        <w:t> </w:t>
      </w:r>
      <w:r w:rsidRPr="00785465">
        <w:t>mM glucose was added. Nifedipine (10</w:t>
      </w:r>
      <w:r w:rsidRPr="00785465">
        <w:rPr>
          <w:rFonts w:ascii="Arial" w:hAnsi="Arial" w:cs="Arial"/>
        </w:rPr>
        <w:t> </w:t>
      </w:r>
      <w:r w:rsidRPr="00785465">
        <w:rPr>
          <w:rFonts w:ascii="Aptos" w:hAnsi="Aptos" w:cs="Aptos"/>
        </w:rPr>
        <w:t>µ</w:t>
      </w:r>
      <w:r w:rsidRPr="00785465">
        <w:t>M final concentration) was applied from a 20</w:t>
      </w:r>
      <w:r w:rsidRPr="00785465">
        <w:rPr>
          <w:rFonts w:ascii="Arial" w:hAnsi="Arial" w:cs="Arial"/>
        </w:rPr>
        <w:t> </w:t>
      </w:r>
      <w:r w:rsidRPr="00785465">
        <w:t>mM DMSO stock after glucose stimulation.</w:t>
      </w:r>
      <w:r w:rsidR="00CC3B80">
        <w:t xml:space="preserve"> </w:t>
      </w:r>
      <w:r w:rsidR="003A7E54">
        <w:t>Experiments</w:t>
      </w:r>
      <w:r w:rsidR="00CC3B80">
        <w:t xml:space="preserve"> were </w:t>
      </w:r>
      <w:r w:rsidR="003A7E54">
        <w:t>performed</w:t>
      </w:r>
      <w:r w:rsidR="00CC3B80">
        <w:t xml:space="preserve"> at</w:t>
      </w:r>
      <w:r w:rsidR="00585BAD">
        <w:t xml:space="preserve"> 33</w:t>
      </w:r>
      <w:r w:rsidR="00415F6B">
        <w:t xml:space="preserve"> </w:t>
      </w:r>
      <w:r w:rsidR="00585BAD">
        <w:rPr>
          <w:lang w:val="es-MX"/>
        </w:rPr>
        <w:t>°</w:t>
      </w:r>
      <w:r w:rsidR="00CC3B80">
        <w:t>C.</w:t>
      </w:r>
    </w:p>
    <w:p w14:paraId="7300F030" w14:textId="563DC891" w:rsidR="004B73CD" w:rsidRPr="004A556A" w:rsidRDefault="004B73CD" w:rsidP="004B73CD">
      <w:pPr>
        <w:rPr>
          <w:i/>
          <w:iCs/>
        </w:rPr>
      </w:pPr>
      <w:r w:rsidRPr="004A556A">
        <w:rPr>
          <w:i/>
          <w:iCs/>
        </w:rPr>
        <w:t>Patch-Clamp Recording Protocol</w:t>
      </w:r>
    </w:p>
    <w:p w14:paraId="7CB851E7" w14:textId="25E34BDD" w:rsidR="00C70640" w:rsidRDefault="00785465" w:rsidP="00777151">
      <w:r w:rsidRPr="00785465">
        <w:t>Recordings were performed using the cell-attached configuration, with pipettes held at 0</w:t>
      </w:r>
      <w:r w:rsidRPr="00785465">
        <w:rPr>
          <w:rFonts w:ascii="Arial" w:hAnsi="Arial" w:cs="Arial"/>
        </w:rPr>
        <w:t> </w:t>
      </w:r>
      <w:r w:rsidRPr="00785465">
        <w:t>mV. Currents were recorded using an Axoclamp 1B amplifier (Molecular Devices), low-pass filtered at 500</w:t>
      </w:r>
      <w:r w:rsidRPr="00785465">
        <w:rPr>
          <w:rFonts w:ascii="Arial" w:hAnsi="Arial" w:cs="Arial"/>
        </w:rPr>
        <w:t> </w:t>
      </w:r>
      <w:r w:rsidRPr="00785465">
        <w:t>Hz</w:t>
      </w:r>
      <w:r w:rsidR="009839E9">
        <w:t xml:space="preserve"> (8-pole Bessel)</w:t>
      </w:r>
      <w:r w:rsidRPr="00785465">
        <w:t>, and digiti</w:t>
      </w:r>
      <w:r w:rsidR="002776E5">
        <w:t>z</w:t>
      </w:r>
      <w:r w:rsidRPr="00785465">
        <w:t>ed at 10</w:t>
      </w:r>
      <w:r w:rsidRPr="00785465">
        <w:rPr>
          <w:rFonts w:ascii="Arial" w:hAnsi="Arial" w:cs="Arial"/>
        </w:rPr>
        <w:t> </w:t>
      </w:r>
      <w:r w:rsidRPr="00785465">
        <w:t xml:space="preserve">kHz using </w:t>
      </w:r>
      <w:proofErr w:type="spellStart"/>
      <w:r w:rsidRPr="00785465">
        <w:t>LabChart</w:t>
      </w:r>
      <w:proofErr w:type="spellEnd"/>
      <w:r w:rsidRPr="00785465">
        <w:t xml:space="preserve"> 8 (</w:t>
      </w:r>
      <w:proofErr w:type="spellStart"/>
      <w:r w:rsidRPr="00785465">
        <w:t>ADInstruments</w:t>
      </w:r>
      <w:proofErr w:type="spellEnd"/>
      <w:r w:rsidRPr="00785465">
        <w:t>).</w:t>
      </w:r>
    </w:p>
    <w:p w14:paraId="72623235" w14:textId="77777777" w:rsidR="00AF0F99" w:rsidRPr="006110FD" w:rsidRDefault="00AF0F99" w:rsidP="00AF0F99">
      <w:pPr>
        <w:rPr>
          <w:b/>
          <w:bCs/>
          <w:sz w:val="24"/>
          <w:szCs w:val="24"/>
        </w:rPr>
      </w:pPr>
      <w:r w:rsidRPr="006110FD">
        <w:rPr>
          <w:b/>
          <w:bCs/>
          <w:sz w:val="24"/>
          <w:szCs w:val="24"/>
        </w:rPr>
        <w:t>Data Analysis</w:t>
      </w:r>
    </w:p>
    <w:p w14:paraId="3C2D0CC5" w14:textId="77777777" w:rsidR="00AF0F99" w:rsidRDefault="00AF0F99" w:rsidP="00AF0F99">
      <w:r>
        <w:rPr>
          <w:i/>
          <w:iCs/>
        </w:rPr>
        <w:t>Spike detection</w:t>
      </w:r>
    </w:p>
    <w:p w14:paraId="26D766C4" w14:textId="635E9F1B" w:rsidR="00774E2C" w:rsidRPr="00785465" w:rsidRDefault="00AF0F99" w:rsidP="007B1F73">
      <w:r w:rsidRPr="00C930FA">
        <w:t xml:space="preserve">Spikes were identified using a dynamic, threshold-based detector in MATLAB. Each recording segment (before/after drug application) was </w:t>
      </w:r>
      <w:proofErr w:type="spellStart"/>
      <w:r w:rsidRPr="00C930FA">
        <w:t>analy</w:t>
      </w:r>
      <w:r w:rsidR="001C45B8">
        <w:t>z</w:t>
      </w:r>
      <w:r w:rsidRPr="00C930FA">
        <w:t>ed</w:t>
      </w:r>
      <w:proofErr w:type="spellEnd"/>
      <w:r w:rsidRPr="00C930FA">
        <w:t xml:space="preserve"> independently. The baseline was estimated as the median of the signal, and the noise level was estimated using the median absolute deviation (MAD) (robust σ). Spikes were defined as downward deflections exceeding baseline − 3 × noise, with a 50 </w:t>
      </w:r>
      <w:proofErr w:type="spellStart"/>
      <w:r w:rsidRPr="00C930FA">
        <w:t>ms</w:t>
      </w:r>
      <w:proofErr w:type="spellEnd"/>
      <w:r w:rsidRPr="00C930FA">
        <w:t xml:space="preserve"> refractory period to reduce false positives</w:t>
      </w:r>
      <w:r w:rsidR="0031424E">
        <w:t>.</w:t>
      </w:r>
      <w:r w:rsidR="00774E2C">
        <w:t xml:space="preserve"> </w:t>
      </w:r>
      <w:r w:rsidR="00774E2C" w:rsidRPr="00785465">
        <w:t xml:space="preserve">Spike frequency was computed dynamically using non-overlapping 5-second windows, and the mean </w:t>
      </w:r>
      <w:r w:rsidR="00016801">
        <w:t xml:space="preserve">spike </w:t>
      </w:r>
      <w:r w:rsidR="00774E2C" w:rsidRPr="00785465">
        <w:t>frequency was reported for each condition:</w:t>
      </w:r>
      <w:r w:rsidR="00774E2C">
        <w:t xml:space="preserve"> </w:t>
      </w:r>
      <w:r w:rsidR="00774E2C" w:rsidRPr="00785465">
        <w:t>HBSS (0</w:t>
      </w:r>
      <w:r w:rsidR="00774E2C" w:rsidRPr="00785465">
        <w:rPr>
          <w:rFonts w:ascii="Arial" w:hAnsi="Arial" w:cs="Arial"/>
        </w:rPr>
        <w:t> </w:t>
      </w:r>
      <w:r w:rsidR="00774E2C" w:rsidRPr="00785465">
        <w:t>mM glucose</w:t>
      </w:r>
      <w:r w:rsidR="007B1F73">
        <w:t>, baseline</w:t>
      </w:r>
      <w:r w:rsidR="00774E2C" w:rsidRPr="00785465">
        <w:t>)</w:t>
      </w:r>
      <w:r w:rsidR="007B1F73">
        <w:t xml:space="preserve">, </w:t>
      </w:r>
      <w:r w:rsidR="00774E2C" w:rsidRPr="00785465">
        <w:t xml:space="preserve">HBSS </w:t>
      </w:r>
      <w:r w:rsidR="00FC3DEE">
        <w:t>con</w:t>
      </w:r>
      <w:r w:rsidR="003D1963">
        <w:t>taining</w:t>
      </w:r>
      <w:r w:rsidR="00774E2C" w:rsidRPr="00785465">
        <w:t xml:space="preserve"> 10</w:t>
      </w:r>
      <w:r w:rsidR="00774E2C" w:rsidRPr="00785465">
        <w:rPr>
          <w:rFonts w:ascii="Arial" w:hAnsi="Arial" w:cs="Arial"/>
        </w:rPr>
        <w:t> </w:t>
      </w:r>
      <w:r w:rsidR="00774E2C" w:rsidRPr="00785465">
        <w:t>mM glucose</w:t>
      </w:r>
      <w:r w:rsidR="007B1F73">
        <w:t xml:space="preserve"> and </w:t>
      </w:r>
      <w:r w:rsidR="00774E2C" w:rsidRPr="00785465">
        <w:t xml:space="preserve">HBSS </w:t>
      </w:r>
      <w:r w:rsidR="003D1963">
        <w:t xml:space="preserve">containing </w:t>
      </w:r>
      <w:r w:rsidR="00774E2C" w:rsidRPr="00785465">
        <w:t>10</w:t>
      </w:r>
      <w:r w:rsidR="00774E2C" w:rsidRPr="00785465">
        <w:rPr>
          <w:rFonts w:ascii="Arial" w:hAnsi="Arial" w:cs="Arial"/>
        </w:rPr>
        <w:t> </w:t>
      </w:r>
      <w:r w:rsidR="00774E2C" w:rsidRPr="00785465">
        <w:t xml:space="preserve">mM glucose </w:t>
      </w:r>
      <w:r w:rsidR="003D1963">
        <w:t>and</w:t>
      </w:r>
      <w:r w:rsidR="00774E2C" w:rsidRPr="00785465">
        <w:t xml:space="preserve"> 10</w:t>
      </w:r>
      <w:r w:rsidR="00774E2C" w:rsidRPr="00785465">
        <w:rPr>
          <w:rFonts w:ascii="Arial" w:hAnsi="Arial" w:cs="Arial"/>
        </w:rPr>
        <w:t> </w:t>
      </w:r>
      <w:r w:rsidR="00774E2C" w:rsidRPr="00785465">
        <w:rPr>
          <w:rFonts w:ascii="Aptos" w:hAnsi="Aptos" w:cs="Aptos"/>
        </w:rPr>
        <w:t>µ</w:t>
      </w:r>
      <w:r w:rsidR="00774E2C" w:rsidRPr="00785465">
        <w:t>M nifedipine</w:t>
      </w:r>
      <w:r w:rsidR="007B1F73">
        <w:t>.</w:t>
      </w:r>
    </w:p>
    <w:p w14:paraId="2FB3C41A" w14:textId="77777777" w:rsidR="00AF0F99" w:rsidRDefault="00AF0F99" w:rsidP="00AF0F99">
      <w:r>
        <w:rPr>
          <w:i/>
          <w:iCs/>
        </w:rPr>
        <w:t xml:space="preserve">Statistical comparison </w:t>
      </w:r>
      <w:r w:rsidRPr="00B24200">
        <w:rPr>
          <w:i/>
          <w:iCs/>
        </w:rPr>
        <w:t xml:space="preserve">of </w:t>
      </w:r>
      <w:proofErr w:type="spellStart"/>
      <w:r w:rsidRPr="00B24200">
        <w:rPr>
          <w:i/>
          <w:iCs/>
        </w:rPr>
        <w:t>interspike</w:t>
      </w:r>
      <w:proofErr w:type="spellEnd"/>
      <w:r w:rsidRPr="00B24200">
        <w:rPr>
          <w:i/>
          <w:iCs/>
        </w:rPr>
        <w:t xml:space="preserve"> intervals</w:t>
      </w:r>
    </w:p>
    <w:p w14:paraId="5235A0D4" w14:textId="18F8A227" w:rsidR="00041AA5" w:rsidRPr="00C70640" w:rsidRDefault="00AF0F99" w:rsidP="00AF0F99">
      <w:r w:rsidRPr="006E4259">
        <w:t xml:space="preserve">To test the effect of nifedipine on firing dynamics, </w:t>
      </w:r>
      <w:proofErr w:type="spellStart"/>
      <w:r w:rsidRPr="006E4259">
        <w:t>interspike</w:t>
      </w:r>
      <w:proofErr w:type="spellEnd"/>
      <w:r w:rsidRPr="006E4259">
        <w:t xml:space="preserve"> interval (ISI) distributions under 10 mM glucose versus </w:t>
      </w:r>
      <w:r w:rsidR="003A0D25">
        <w:t xml:space="preserve">10 mM </w:t>
      </w:r>
      <w:r w:rsidRPr="006E4259">
        <w:t xml:space="preserve">glucose </w:t>
      </w:r>
      <w:r w:rsidR="003A0D25">
        <w:t>supplemented with</w:t>
      </w:r>
      <w:r w:rsidRPr="006E4259">
        <w:t xml:space="preserve"> nifedipine were compared using a two-sample Kolmogorov–Smirnov (KS) test</w:t>
      </w:r>
      <w:r w:rsidR="00022AE7">
        <w:t xml:space="preserve"> </w:t>
      </w:r>
      <w:r w:rsidR="00D12664">
        <w:t xml:space="preserve">for cells where both conditions </w:t>
      </w:r>
      <w:r w:rsidRPr="006E4259">
        <w:t>contained ≥ 2 spikes</w:t>
      </w:r>
      <w:r w:rsidR="003E6802">
        <w:t xml:space="preserve">. For </w:t>
      </w:r>
      <w:r w:rsidR="003E6802">
        <w:lastRenderedPageBreak/>
        <w:t xml:space="preserve">cells </w:t>
      </w:r>
      <w:r w:rsidR="00561541">
        <w:t>where nifedipine completely suppressed spiking activity, this was recorded as</w:t>
      </w:r>
      <w:r w:rsidR="00B35F07">
        <w:t xml:space="preserve"> complete functional inhibition without statistical comparisons. Si</w:t>
      </w:r>
      <w:r w:rsidR="00041AA5">
        <w:t>gnificant differences (p &lt;</w:t>
      </w:r>
      <w:r w:rsidR="003D1467">
        <w:t xml:space="preserve"> </w:t>
      </w:r>
      <w:r w:rsidR="00041AA5">
        <w:t>0.05) were interpreted as evidence of altered calcium channel function.</w:t>
      </w:r>
    </w:p>
    <w:p w14:paraId="249D2EEA" w14:textId="6D78763B" w:rsidR="00777151" w:rsidRDefault="00777151" w:rsidP="00777151">
      <w:pPr>
        <w:rPr>
          <w:b/>
          <w:bCs/>
          <w:sz w:val="24"/>
          <w:szCs w:val="24"/>
        </w:rPr>
      </w:pPr>
      <w:r w:rsidRPr="004A556A">
        <w:rPr>
          <w:b/>
          <w:bCs/>
          <w:sz w:val="24"/>
          <w:szCs w:val="24"/>
        </w:rPr>
        <w:t>Results</w:t>
      </w:r>
    </w:p>
    <w:p w14:paraId="15300426" w14:textId="14EB7D2B" w:rsidR="00300827" w:rsidRDefault="0041713A" w:rsidP="00300827">
      <w:r w:rsidRPr="0041713A">
        <w:t xml:space="preserve">Three experimental conditions were tested on MIN6 cells: (1) HBSS alone (baseline), (2) HBSS </w:t>
      </w:r>
      <w:r w:rsidR="003A0D25">
        <w:t>containing</w:t>
      </w:r>
      <w:r w:rsidRPr="0041713A">
        <w:t xml:space="preserve"> 10 mM glucose, and (3) HBSS </w:t>
      </w:r>
      <w:r w:rsidR="003A0D25">
        <w:t>containing</w:t>
      </w:r>
      <w:r w:rsidRPr="0041713A">
        <w:t xml:space="preserve"> 10 mM glucose </w:t>
      </w:r>
      <w:r w:rsidR="003A0D25">
        <w:t>and</w:t>
      </w:r>
      <w:r w:rsidRPr="0041713A">
        <w:t xml:space="preserve"> 10 µM nifedipine</w:t>
      </w:r>
      <w:r w:rsidR="00EA44D6">
        <w:t xml:space="preserve">. </w:t>
      </w:r>
      <w:r w:rsidR="00785465" w:rsidRPr="00785465">
        <w:t>Figure S1 shows three representative</w:t>
      </w:r>
      <w:r w:rsidR="00D0013E">
        <w:t xml:space="preserve"> cell</w:t>
      </w:r>
      <w:r w:rsidR="00785465" w:rsidRPr="00785465">
        <w:t xml:space="preserve"> recordings illustrating the effects of glucose and nifedipine on action current </w:t>
      </w:r>
      <w:r w:rsidR="005029EC">
        <w:t xml:space="preserve">activity </w:t>
      </w:r>
      <w:r w:rsidR="00785465" w:rsidRPr="00785465">
        <w:t xml:space="preserve">in MIN6 cells. In the absence of glucose (HBSS), cells displayed spontaneous electrical activity at </w:t>
      </w:r>
      <w:r w:rsidR="00F03729">
        <w:t xml:space="preserve">a </w:t>
      </w:r>
      <w:r w:rsidR="00785465" w:rsidRPr="00785465">
        <w:t xml:space="preserve">lower </w:t>
      </w:r>
      <w:r w:rsidR="003C61C5">
        <w:t xml:space="preserve">spike </w:t>
      </w:r>
      <w:r w:rsidR="00785465" w:rsidRPr="00785465">
        <w:t>frequency. Glucose stimulation increased spike frequency, consistent with calcium-dependent electrical excitability. Nifedipine application reduced or abolished these oscillations, confirming the involvement of L-type calcium channels.</w:t>
      </w:r>
      <w:r w:rsidR="00B1670F">
        <w:t xml:space="preserve"> </w:t>
      </w:r>
      <w:r w:rsidR="00300827" w:rsidRPr="00785465">
        <w:t>In two cases, nifedipine fully suppressed spiking, precluding statistical comparison but clearly indicating functional inhibition.</w:t>
      </w:r>
    </w:p>
    <w:p w14:paraId="5023A73E" w14:textId="3AAA83F5" w:rsidR="00650ED1" w:rsidRPr="00A70244" w:rsidRDefault="009838AC" w:rsidP="00A70244">
      <w:pPr>
        <w:rPr>
          <w:i/>
          <w:iCs/>
          <w:color w:val="0F4761" w:themeColor="accent1" w:themeShade="BF"/>
          <w:sz w:val="20"/>
          <w:szCs w:val="20"/>
        </w:rPr>
      </w:pPr>
      <w:r>
        <w:t>S</w:t>
      </w:r>
      <w:r w:rsidR="00650ED1" w:rsidRPr="00C27A34">
        <w:t xml:space="preserve">tatistical analysis of </w:t>
      </w:r>
      <w:r w:rsidR="003A6633" w:rsidRPr="00C27A34">
        <w:t>ISI distribution</w:t>
      </w:r>
      <w:r>
        <w:t>s</w:t>
      </w:r>
      <w:r w:rsidR="003A6633" w:rsidRPr="00C27A34">
        <w:t xml:space="preserve"> </w:t>
      </w:r>
      <w:r>
        <w:t>provided quantitative evidence</w:t>
      </w:r>
      <w:r w:rsidR="003A6633" w:rsidRPr="00C27A34">
        <w:t xml:space="preserve"> </w:t>
      </w:r>
      <w:r w:rsidR="006E2658">
        <w:t>for</w:t>
      </w:r>
      <w:r w:rsidR="003A6633" w:rsidRPr="00C27A34">
        <w:t xml:space="preserve"> nifedipine</w:t>
      </w:r>
      <w:r w:rsidR="00696E8A">
        <w:t>’s</w:t>
      </w:r>
      <w:r w:rsidR="006E2658">
        <w:t xml:space="preserve"> inhibitory effects</w:t>
      </w:r>
      <w:r w:rsidR="003A6633" w:rsidRPr="00C27A34">
        <w:t>.</w:t>
      </w:r>
      <w:r w:rsidR="00C27A34">
        <w:rPr>
          <w:rStyle w:val="IntenseEmphasis"/>
          <w:sz w:val="20"/>
          <w:szCs w:val="20"/>
        </w:rPr>
        <w:t xml:space="preserve"> </w:t>
      </w:r>
      <w:r w:rsidR="003574DE" w:rsidRPr="003574DE">
        <w:t xml:space="preserve">For </w:t>
      </w:r>
      <w:r w:rsidR="00650ED1" w:rsidRPr="003574DE">
        <w:t xml:space="preserve">Cell </w:t>
      </w:r>
      <w:r w:rsidR="003574DE" w:rsidRPr="003574DE">
        <w:t xml:space="preserve">1 </w:t>
      </w:r>
      <w:r w:rsidR="00D8698D">
        <w:t>(</w:t>
      </w:r>
      <w:r w:rsidR="00650ED1" w:rsidRPr="003574DE">
        <w:t>Fig. S1a</w:t>
      </w:r>
      <w:r w:rsidR="00D8698D">
        <w:t>)</w:t>
      </w:r>
      <w:r w:rsidR="003574DE" w:rsidRPr="003574DE">
        <w:t>,</w:t>
      </w:r>
      <w:r w:rsidR="00650ED1" w:rsidRPr="003574DE">
        <w:t xml:space="preserve"> </w:t>
      </w:r>
      <w:r w:rsidR="003574DE" w:rsidRPr="003574DE">
        <w:t>spikes</w:t>
      </w:r>
      <w:r w:rsidR="00650ED1" w:rsidRPr="003574DE">
        <w:t xml:space="preserve"> were detected under both glucose and nifedipine. The KS test indicated a significant difference in ISI distributions </w:t>
      </w:r>
      <w:r w:rsidR="00650ED1" w:rsidRPr="003574DE">
        <w:rPr>
          <w:i/>
          <w:iCs/>
        </w:rPr>
        <w:t>(p</w:t>
      </w:r>
      <w:r w:rsidR="00650ED1" w:rsidRPr="003574DE">
        <w:rPr>
          <w:rFonts w:ascii="Arial" w:hAnsi="Arial" w:cs="Arial"/>
          <w:i/>
          <w:iCs/>
        </w:rPr>
        <w:t> </w:t>
      </w:r>
      <w:r w:rsidR="00650ED1" w:rsidRPr="003574DE">
        <w:rPr>
          <w:i/>
          <w:iCs/>
        </w:rPr>
        <w:t>=</w:t>
      </w:r>
      <w:r w:rsidR="00650ED1" w:rsidRPr="003574DE">
        <w:rPr>
          <w:rFonts w:ascii="Arial" w:hAnsi="Arial" w:cs="Arial"/>
          <w:i/>
          <w:iCs/>
        </w:rPr>
        <w:t> </w:t>
      </w:r>
      <w:r w:rsidR="00650ED1" w:rsidRPr="003574DE">
        <w:rPr>
          <w:i/>
          <w:iCs/>
        </w:rPr>
        <w:t>1.05</w:t>
      </w:r>
      <w:r w:rsidR="00650ED1" w:rsidRPr="003574DE">
        <w:rPr>
          <w:rFonts w:ascii="Arial" w:hAnsi="Arial" w:cs="Arial"/>
          <w:i/>
          <w:iCs/>
        </w:rPr>
        <w:t> </w:t>
      </w:r>
      <w:r w:rsidR="00650ED1" w:rsidRPr="003574DE">
        <w:rPr>
          <w:rFonts w:ascii="Aptos" w:hAnsi="Aptos" w:cs="Aptos"/>
          <w:i/>
          <w:iCs/>
        </w:rPr>
        <w:t>×</w:t>
      </w:r>
      <w:r w:rsidR="00650ED1" w:rsidRPr="003574DE">
        <w:rPr>
          <w:rFonts w:ascii="Arial" w:hAnsi="Arial" w:cs="Arial"/>
          <w:i/>
          <w:iCs/>
        </w:rPr>
        <w:t> </w:t>
      </w:r>
      <w:r w:rsidR="00650ED1" w:rsidRPr="003574DE">
        <w:rPr>
          <w:i/>
          <w:iCs/>
        </w:rPr>
        <w:t>10</w:t>
      </w:r>
      <w:r w:rsidR="00650ED1" w:rsidRPr="003574DE">
        <w:rPr>
          <w:rFonts w:ascii="Cambria Math" w:hAnsi="Cambria Math" w:cs="Cambria Math"/>
          <w:i/>
          <w:iCs/>
        </w:rPr>
        <w:t>⁻</w:t>
      </w:r>
      <w:r w:rsidR="00650ED1" w:rsidRPr="003574DE">
        <w:rPr>
          <w:rFonts w:ascii="Aptos" w:hAnsi="Aptos" w:cs="Aptos"/>
          <w:i/>
          <w:iCs/>
        </w:rPr>
        <w:t>³</w:t>
      </w:r>
      <w:r w:rsidR="00650ED1" w:rsidRPr="003574DE">
        <w:rPr>
          <w:i/>
          <w:iCs/>
        </w:rPr>
        <w:t>)</w:t>
      </w:r>
      <w:r w:rsidR="00650ED1" w:rsidRPr="003574DE">
        <w:t>, suggesting that nifedipine decreases firing dynamics</w:t>
      </w:r>
      <w:r w:rsidR="00C27A34">
        <w:t xml:space="preserve">. However, </w:t>
      </w:r>
      <w:r w:rsidR="00EE5D22">
        <w:t>c</w:t>
      </w:r>
      <w:r w:rsidR="006B5AEF" w:rsidRPr="00C27A34">
        <w:t>ell 2 (Fig. S1b)</w:t>
      </w:r>
      <w:r w:rsidR="002776E5">
        <w:t xml:space="preserve"> </w:t>
      </w:r>
      <w:r w:rsidR="0017373A" w:rsidRPr="00EE5D22">
        <w:t>showed</w:t>
      </w:r>
      <w:r w:rsidR="0017373A">
        <w:rPr>
          <w:b/>
          <w:bCs/>
        </w:rPr>
        <w:t xml:space="preserve"> </w:t>
      </w:r>
      <w:r w:rsidR="00C27A34">
        <w:t>n</w:t>
      </w:r>
      <w:r w:rsidR="00650ED1" w:rsidRPr="00785465">
        <w:t xml:space="preserve">o </w:t>
      </w:r>
      <w:r w:rsidR="0017373A">
        <w:t>detecta</w:t>
      </w:r>
      <w:r w:rsidR="00EE5D22">
        <w:t xml:space="preserve">ble </w:t>
      </w:r>
      <w:r w:rsidR="00650ED1" w:rsidRPr="00785465">
        <w:t>spikes</w:t>
      </w:r>
      <w:r w:rsidR="00EE5D22">
        <w:t xml:space="preserve"> </w:t>
      </w:r>
      <w:r w:rsidR="00650ED1" w:rsidRPr="00785465">
        <w:t>under nifedipine</w:t>
      </w:r>
      <w:r w:rsidR="006B5AEF">
        <w:t xml:space="preserve"> treatment</w:t>
      </w:r>
      <w:r w:rsidR="00650ED1" w:rsidRPr="00785465">
        <w:t xml:space="preserve">, making statistical comparison impossible. This complete suppression </w:t>
      </w:r>
      <w:r w:rsidR="00650ED1">
        <w:t>is</w:t>
      </w:r>
      <w:r w:rsidR="00650ED1" w:rsidRPr="00785465">
        <w:t xml:space="preserve"> considered a functionally meaningful indicator of calcium channel blockade.</w:t>
      </w:r>
      <w:r w:rsidR="00A70244">
        <w:rPr>
          <w:i/>
          <w:iCs/>
          <w:color w:val="0F4761" w:themeColor="accent1" w:themeShade="BF"/>
          <w:sz w:val="20"/>
          <w:szCs w:val="20"/>
        </w:rPr>
        <w:t xml:space="preserve"> </w:t>
      </w:r>
      <w:r w:rsidR="00650ED1" w:rsidRPr="00A70244">
        <w:t>Cell 3 (Fig. S1c)</w:t>
      </w:r>
      <w:r w:rsidR="00DF7495">
        <w:t xml:space="preserve">, under </w:t>
      </w:r>
      <w:r w:rsidR="00650ED1" w:rsidRPr="00785465">
        <w:t>nifedipine</w:t>
      </w:r>
      <w:r w:rsidR="00DF7495">
        <w:t xml:space="preserve"> treatment</w:t>
      </w:r>
      <w:r w:rsidR="00A70244">
        <w:t xml:space="preserve">, </w:t>
      </w:r>
      <w:r w:rsidR="0046004F">
        <w:t>show</w:t>
      </w:r>
      <w:r w:rsidR="00C900D7">
        <w:t>ed</w:t>
      </w:r>
      <w:r w:rsidR="0046004F">
        <w:t xml:space="preserve"> </w:t>
      </w:r>
      <w:r w:rsidR="0046004F" w:rsidRPr="00785465">
        <w:t xml:space="preserve">significantly altered </w:t>
      </w:r>
      <w:r w:rsidR="00650ED1" w:rsidRPr="00785465">
        <w:t xml:space="preserve">ISI distributions </w:t>
      </w:r>
      <w:r w:rsidR="00650ED1" w:rsidRPr="00785465">
        <w:rPr>
          <w:i/>
          <w:iCs/>
        </w:rPr>
        <w:t>(p</w:t>
      </w:r>
      <w:r w:rsidR="00650ED1" w:rsidRPr="00785465">
        <w:rPr>
          <w:rFonts w:ascii="Arial" w:hAnsi="Arial" w:cs="Arial"/>
          <w:i/>
          <w:iCs/>
        </w:rPr>
        <w:t> </w:t>
      </w:r>
      <w:r w:rsidR="00650ED1" w:rsidRPr="00785465">
        <w:rPr>
          <w:i/>
          <w:iCs/>
        </w:rPr>
        <w:t>=</w:t>
      </w:r>
      <w:r w:rsidR="00650ED1" w:rsidRPr="00785465">
        <w:rPr>
          <w:rFonts w:ascii="Arial" w:hAnsi="Arial" w:cs="Arial"/>
          <w:i/>
          <w:iCs/>
        </w:rPr>
        <w:t> </w:t>
      </w:r>
      <w:r w:rsidR="00650ED1" w:rsidRPr="00785465">
        <w:rPr>
          <w:i/>
          <w:iCs/>
        </w:rPr>
        <w:t>1.03</w:t>
      </w:r>
      <w:r w:rsidR="00650ED1" w:rsidRPr="00785465">
        <w:rPr>
          <w:rFonts w:ascii="Arial" w:hAnsi="Arial" w:cs="Arial"/>
          <w:i/>
          <w:iCs/>
        </w:rPr>
        <w:t> </w:t>
      </w:r>
      <w:r w:rsidR="00650ED1" w:rsidRPr="00785465">
        <w:rPr>
          <w:rFonts w:ascii="Aptos" w:hAnsi="Aptos" w:cs="Aptos"/>
          <w:i/>
          <w:iCs/>
        </w:rPr>
        <w:t>×</w:t>
      </w:r>
      <w:r w:rsidR="00650ED1" w:rsidRPr="00785465">
        <w:rPr>
          <w:rFonts w:ascii="Arial" w:hAnsi="Arial" w:cs="Arial"/>
          <w:i/>
          <w:iCs/>
        </w:rPr>
        <w:t> </w:t>
      </w:r>
      <w:r w:rsidR="00650ED1" w:rsidRPr="00785465">
        <w:rPr>
          <w:i/>
          <w:iCs/>
        </w:rPr>
        <w:t>10</w:t>
      </w:r>
      <w:r w:rsidR="00650ED1" w:rsidRPr="00785465">
        <w:rPr>
          <w:rFonts w:ascii="Cambria Math" w:hAnsi="Cambria Math" w:cs="Cambria Math"/>
          <w:i/>
          <w:iCs/>
        </w:rPr>
        <w:t>⁻</w:t>
      </w:r>
      <w:r w:rsidR="00650ED1" w:rsidRPr="00785465">
        <w:rPr>
          <w:rFonts w:ascii="Aptos" w:hAnsi="Aptos" w:cs="Aptos"/>
          <w:i/>
          <w:iCs/>
        </w:rPr>
        <w:t>³</w:t>
      </w:r>
      <w:r w:rsidR="00650ED1" w:rsidRPr="00785465">
        <w:rPr>
          <w:i/>
          <w:iCs/>
        </w:rPr>
        <w:t>)</w:t>
      </w:r>
      <w:r w:rsidR="00650ED1" w:rsidRPr="00785465">
        <w:t xml:space="preserve">, indicating a </w:t>
      </w:r>
      <w:r w:rsidR="00650ED1">
        <w:t>decrease</w:t>
      </w:r>
      <w:r w:rsidR="00650ED1" w:rsidRPr="00785465">
        <w:t xml:space="preserve"> in firing </w:t>
      </w:r>
      <w:proofErr w:type="spellStart"/>
      <w:r w:rsidR="00650ED1" w:rsidRPr="00785465">
        <w:t>behavior</w:t>
      </w:r>
      <w:proofErr w:type="spellEnd"/>
      <w:r w:rsidR="00650ED1" w:rsidRPr="00785465">
        <w:t>.</w:t>
      </w:r>
    </w:p>
    <w:p w14:paraId="18B54C5B" w14:textId="77777777" w:rsidR="00650ED1" w:rsidRPr="00F21778" w:rsidRDefault="00650ED1" w:rsidP="00661647"/>
    <w:p w14:paraId="2CE58672" w14:textId="3E4A2878" w:rsidR="0099143C" w:rsidRDefault="00683721" w:rsidP="00C930FA">
      <w:pPr>
        <w:jc w:val="center"/>
      </w:pPr>
      <w:r w:rsidRPr="00661647">
        <w:rPr>
          <w:noProof/>
          <w:lang w:eastAsia="en-GB"/>
        </w:rPr>
        <w:lastRenderedPageBreak/>
        <w:drawing>
          <wp:inline distT="0" distB="0" distL="0" distR="0" wp14:anchorId="3DFF5797" wp14:editId="07D00716">
            <wp:extent cx="5731328" cy="6686550"/>
            <wp:effectExtent l="0" t="0" r="0" b="0"/>
            <wp:docPr id="5157600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60009" name="Graphic 1"/>
                    <pic:cNvPicPr/>
                  </pic:nvPicPr>
                  <pic:blipFill>
                    <a:blip r:embed="rId10">
                      <a:extLst>
                        <a:ext uri="{96DAC541-7B7A-43D3-8B79-37D633B846F1}">
                          <asvg:svgBlip xmlns:asvg="http://schemas.microsoft.com/office/drawing/2016/SVG/main" r:embed="rId11"/>
                        </a:ext>
                      </a:extLst>
                    </a:blip>
                    <a:stretch>
                      <a:fillRect/>
                    </a:stretch>
                  </pic:blipFill>
                  <pic:spPr>
                    <a:xfrm>
                      <a:off x="0" y="0"/>
                      <a:ext cx="5731328" cy="6686550"/>
                    </a:xfrm>
                    <a:prstGeom prst="rect">
                      <a:avLst/>
                    </a:prstGeom>
                  </pic:spPr>
                </pic:pic>
              </a:graphicData>
            </a:graphic>
          </wp:inline>
        </w:drawing>
      </w:r>
    </w:p>
    <w:p w14:paraId="72ED7900" w14:textId="21D9CABB" w:rsidR="00C257C8" w:rsidRDefault="00777151" w:rsidP="006110FD">
      <w:pPr>
        <w:jc w:val="center"/>
        <w:rPr>
          <w:rStyle w:val="IntenseEmphasis"/>
          <w:b/>
          <w:bCs/>
          <w:i w:val="0"/>
          <w:iCs w:val="0"/>
          <w:sz w:val="20"/>
          <w:szCs w:val="20"/>
        </w:rPr>
      </w:pPr>
      <w:r w:rsidRPr="00D97760">
        <w:rPr>
          <w:rStyle w:val="IntenseEmphasis"/>
          <w:b/>
          <w:bCs/>
          <w:i w:val="0"/>
          <w:iCs w:val="0"/>
          <w:sz w:val="20"/>
          <w:szCs w:val="20"/>
        </w:rPr>
        <w:t xml:space="preserve">Figure S1. </w:t>
      </w:r>
      <w:r w:rsidR="00785465" w:rsidRPr="00D97760">
        <w:rPr>
          <w:rStyle w:val="IntenseEmphasis"/>
          <w:b/>
          <w:bCs/>
          <w:i w:val="0"/>
          <w:iCs w:val="0"/>
          <w:sz w:val="20"/>
          <w:szCs w:val="20"/>
        </w:rPr>
        <w:t xml:space="preserve">Patch-clamp validation of SPRM observations. </w:t>
      </w:r>
      <w:r w:rsidR="00785465" w:rsidRPr="00D97760">
        <w:rPr>
          <w:rStyle w:val="IntenseEmphasis"/>
          <w:i w:val="0"/>
          <w:iCs w:val="0"/>
          <w:sz w:val="20"/>
          <w:szCs w:val="20"/>
        </w:rPr>
        <w:t>Representative cell-attached patch-clamp recordings</w:t>
      </w:r>
      <w:r w:rsidR="003A7E54" w:rsidRPr="00D97760">
        <w:rPr>
          <w:rStyle w:val="IntenseEmphasis"/>
          <w:i w:val="0"/>
          <w:iCs w:val="0"/>
          <w:sz w:val="20"/>
          <w:szCs w:val="20"/>
        </w:rPr>
        <w:t xml:space="preserve"> of MIN6 cells </w:t>
      </w:r>
      <w:r w:rsidR="00EE27CC" w:rsidRPr="00D97760">
        <w:rPr>
          <w:rStyle w:val="IntenseEmphasis"/>
          <w:i w:val="0"/>
          <w:iCs w:val="0"/>
          <w:sz w:val="20"/>
          <w:szCs w:val="20"/>
        </w:rPr>
        <w:t xml:space="preserve">from </w:t>
      </w:r>
      <w:r w:rsidR="003A7E54" w:rsidRPr="00D97760">
        <w:rPr>
          <w:rStyle w:val="IntenseEmphasis"/>
          <w:i w:val="0"/>
          <w:iCs w:val="0"/>
          <w:sz w:val="20"/>
          <w:szCs w:val="20"/>
        </w:rPr>
        <w:t>three</w:t>
      </w:r>
      <w:r w:rsidR="00EE27CC" w:rsidRPr="00D97760">
        <w:rPr>
          <w:rStyle w:val="IntenseEmphasis"/>
          <w:i w:val="0"/>
          <w:iCs w:val="0"/>
          <w:sz w:val="20"/>
          <w:szCs w:val="20"/>
        </w:rPr>
        <w:t xml:space="preserve"> experiments</w:t>
      </w:r>
      <w:r w:rsidR="00A023C1">
        <w:rPr>
          <w:rStyle w:val="IntenseEmphasis"/>
          <w:i w:val="0"/>
          <w:iCs w:val="0"/>
          <w:sz w:val="20"/>
          <w:szCs w:val="20"/>
        </w:rPr>
        <w:t xml:space="preserve"> (in a, b, and c respectively)</w:t>
      </w:r>
      <w:r w:rsidR="00EE27CC" w:rsidRPr="00D97760">
        <w:rPr>
          <w:rStyle w:val="IntenseEmphasis"/>
          <w:i w:val="0"/>
          <w:iCs w:val="0"/>
          <w:sz w:val="20"/>
          <w:szCs w:val="20"/>
        </w:rPr>
        <w:t xml:space="preserve"> </w:t>
      </w:r>
      <w:r w:rsidR="00785465" w:rsidRPr="00D97760">
        <w:rPr>
          <w:rStyle w:val="IntenseEmphasis"/>
          <w:i w:val="0"/>
          <w:iCs w:val="0"/>
          <w:sz w:val="20"/>
          <w:szCs w:val="20"/>
        </w:rPr>
        <w:t xml:space="preserve">under three conditions: (1) HBSS without glucose (baseline), (2) HBSS with 10 mM glucose, and (3) HBSS with 10 mM glucose </w:t>
      </w:r>
      <w:r w:rsidR="00F86717">
        <w:rPr>
          <w:rStyle w:val="IntenseEmphasis"/>
          <w:i w:val="0"/>
          <w:iCs w:val="0"/>
          <w:sz w:val="20"/>
          <w:szCs w:val="20"/>
        </w:rPr>
        <w:t>and</w:t>
      </w:r>
      <w:r w:rsidR="00785465" w:rsidRPr="00D97760">
        <w:rPr>
          <w:rStyle w:val="IntenseEmphasis"/>
          <w:i w:val="0"/>
          <w:iCs w:val="0"/>
          <w:sz w:val="20"/>
          <w:szCs w:val="20"/>
        </w:rPr>
        <w:t xml:space="preserve"> 10 µM nifedipine.</w:t>
      </w:r>
      <w:r w:rsidR="00872831" w:rsidRPr="00D97760">
        <w:rPr>
          <w:rStyle w:val="IntenseEmphasis"/>
          <w:i w:val="0"/>
          <w:iCs w:val="0"/>
          <w:sz w:val="20"/>
          <w:szCs w:val="20"/>
        </w:rPr>
        <w:t xml:space="preserve"> Two </w:t>
      </w:r>
      <w:r w:rsidR="003A7E54" w:rsidRPr="00D97760">
        <w:rPr>
          <w:rStyle w:val="IntenseEmphasis"/>
          <w:i w:val="0"/>
          <w:iCs w:val="0"/>
          <w:sz w:val="20"/>
          <w:szCs w:val="20"/>
        </w:rPr>
        <w:t>types</w:t>
      </w:r>
      <w:r w:rsidR="00872831" w:rsidRPr="00D97760">
        <w:rPr>
          <w:rStyle w:val="IntenseEmphasis"/>
          <w:i w:val="0"/>
          <w:iCs w:val="0"/>
          <w:sz w:val="20"/>
          <w:szCs w:val="20"/>
        </w:rPr>
        <w:t xml:space="preserve"> of </w:t>
      </w:r>
      <w:r w:rsidR="003A7E54" w:rsidRPr="00D97760">
        <w:rPr>
          <w:rStyle w:val="IntenseEmphasis"/>
          <w:i w:val="0"/>
          <w:iCs w:val="0"/>
          <w:sz w:val="20"/>
          <w:szCs w:val="20"/>
        </w:rPr>
        <w:t xml:space="preserve">currents </w:t>
      </w:r>
      <w:r w:rsidR="00340059">
        <w:rPr>
          <w:rStyle w:val="IntenseEmphasis"/>
          <w:i w:val="0"/>
          <w:iCs w:val="0"/>
          <w:sz w:val="20"/>
          <w:szCs w:val="20"/>
        </w:rPr>
        <w:t>we</w:t>
      </w:r>
      <w:r w:rsidR="003A7E54" w:rsidRPr="00D97760">
        <w:rPr>
          <w:rStyle w:val="IntenseEmphasis"/>
          <w:i w:val="0"/>
          <w:iCs w:val="0"/>
          <w:sz w:val="20"/>
          <w:szCs w:val="20"/>
        </w:rPr>
        <w:t>re</w:t>
      </w:r>
      <w:r w:rsidR="00872831" w:rsidRPr="00D97760">
        <w:rPr>
          <w:rStyle w:val="IntenseEmphasis"/>
          <w:i w:val="0"/>
          <w:iCs w:val="0"/>
          <w:sz w:val="20"/>
          <w:szCs w:val="20"/>
        </w:rPr>
        <w:t xml:space="preserve"> recorded: upward positive deflections due to spontaneous activity of KATP potassium channels and downward negative deflection associated with action potential. The decrease in both amplitude and frequency of the KATP channels with glucose is a hallmark of pancreatic beta-cell electrophysiology</w:t>
      </w:r>
      <w:r w:rsidR="0050713E">
        <w:rPr>
          <w:rStyle w:val="IntenseEmphasis"/>
          <w:i w:val="0"/>
          <w:iCs w:val="0"/>
          <w:sz w:val="20"/>
          <w:szCs w:val="20"/>
        </w:rPr>
        <w:fldChar w:fldCharType="begin"/>
      </w:r>
      <w:r w:rsidR="002164F6">
        <w:rPr>
          <w:rStyle w:val="IntenseEmphasis"/>
          <w:i w:val="0"/>
          <w:iCs w:val="0"/>
          <w:sz w:val="20"/>
          <w:szCs w:val="20"/>
        </w:rPr>
        <w:instrText xml:space="preserve"> ADDIN ZOTERO_ITEM CSL_CITATION {"citationID":"dMxE3V93","properties":{"formattedCitation":"\\super 2\\nosupersub{}","plainCitation":"2","noteIndex":0},"citationItems":[{"id":580,"uris":["http://zotero.org/users/local/e3NyymDs/items/ZVWXLKGB"],"itemData":{"id":580,"type":"article-journal","container-title":"Progress in biophysics and molecular biology","issue":"2","note":"publisher: Elsevier","page":"87–143","source":"Google Scholar","title":"Electrophysiology of the pancreatic β-cell","volume":"54","author":[{"family":"Ashcroft","given":"Frances M."},{"family":"Rorsman","given":"Patrik"}],"issued":{"date-parts":[["1989"]]}}}],"schema":"https://github.com/citation-style-language/schema/raw/master/csl-citation.json"} </w:instrText>
      </w:r>
      <w:r w:rsidR="0050713E">
        <w:rPr>
          <w:rStyle w:val="IntenseEmphasis"/>
          <w:i w:val="0"/>
          <w:iCs w:val="0"/>
          <w:sz w:val="20"/>
          <w:szCs w:val="20"/>
        </w:rPr>
        <w:fldChar w:fldCharType="separate"/>
      </w:r>
      <w:r w:rsidR="002164F6" w:rsidRPr="002164F6">
        <w:rPr>
          <w:rFonts w:ascii="Aptos" w:cs="Times New Roman"/>
          <w:color w:val="008080"/>
          <w:kern w:val="0"/>
          <w:sz w:val="20"/>
          <w:szCs w:val="24"/>
          <w:vertAlign w:val="superscript"/>
        </w:rPr>
        <w:t>2</w:t>
      </w:r>
      <w:r w:rsidR="0050713E">
        <w:rPr>
          <w:rStyle w:val="IntenseEmphasis"/>
          <w:i w:val="0"/>
          <w:iCs w:val="0"/>
          <w:sz w:val="20"/>
          <w:szCs w:val="20"/>
        </w:rPr>
        <w:fldChar w:fldCharType="end"/>
      </w:r>
      <w:r w:rsidR="00872831" w:rsidRPr="00D97760">
        <w:rPr>
          <w:rStyle w:val="IntenseEmphasis"/>
          <w:i w:val="0"/>
          <w:iCs w:val="0"/>
          <w:sz w:val="20"/>
          <w:szCs w:val="20"/>
        </w:rPr>
        <w:t xml:space="preserve">. </w:t>
      </w:r>
      <w:r w:rsidR="006B4DA4">
        <w:rPr>
          <w:rStyle w:val="IntenseEmphasis"/>
          <w:i w:val="0"/>
          <w:iCs w:val="0"/>
          <w:sz w:val="20"/>
          <w:szCs w:val="20"/>
        </w:rPr>
        <w:t>S</w:t>
      </w:r>
      <w:r w:rsidR="006B4DA4" w:rsidRPr="00D97760">
        <w:rPr>
          <w:rStyle w:val="IntenseEmphasis"/>
          <w:i w:val="0"/>
          <w:iCs w:val="0"/>
          <w:sz w:val="20"/>
          <w:szCs w:val="20"/>
        </w:rPr>
        <w:t>oftware</w:t>
      </w:r>
      <w:r w:rsidR="006B4DA4">
        <w:rPr>
          <w:rStyle w:val="IntenseEmphasis"/>
          <w:i w:val="0"/>
          <w:iCs w:val="0"/>
          <w:sz w:val="20"/>
          <w:szCs w:val="20"/>
        </w:rPr>
        <w:t>-</w:t>
      </w:r>
      <w:r w:rsidR="006B4DA4" w:rsidRPr="00D97760">
        <w:rPr>
          <w:rStyle w:val="IntenseEmphasis"/>
          <w:i w:val="0"/>
          <w:iCs w:val="0"/>
          <w:sz w:val="20"/>
          <w:szCs w:val="20"/>
        </w:rPr>
        <w:t xml:space="preserve">identified </w:t>
      </w:r>
      <w:r w:rsidR="006B4DA4">
        <w:rPr>
          <w:rStyle w:val="IntenseEmphasis"/>
          <w:i w:val="0"/>
          <w:iCs w:val="0"/>
          <w:sz w:val="20"/>
          <w:szCs w:val="20"/>
        </w:rPr>
        <w:t>d</w:t>
      </w:r>
      <w:r w:rsidR="00872831" w:rsidRPr="00D97760">
        <w:rPr>
          <w:rStyle w:val="IntenseEmphasis"/>
          <w:i w:val="0"/>
          <w:iCs w:val="0"/>
          <w:sz w:val="20"/>
          <w:szCs w:val="20"/>
        </w:rPr>
        <w:t xml:space="preserve">ownward currents </w:t>
      </w:r>
      <w:r w:rsidR="006B4DA4">
        <w:rPr>
          <w:rStyle w:val="IntenseEmphasis"/>
          <w:i w:val="0"/>
          <w:iCs w:val="0"/>
          <w:sz w:val="20"/>
          <w:szCs w:val="20"/>
        </w:rPr>
        <w:t>representing</w:t>
      </w:r>
      <w:r w:rsidR="00872831" w:rsidRPr="00D97760">
        <w:rPr>
          <w:rStyle w:val="IntenseEmphasis"/>
          <w:i w:val="0"/>
          <w:iCs w:val="0"/>
          <w:sz w:val="20"/>
          <w:szCs w:val="20"/>
        </w:rPr>
        <w:t xml:space="preserve"> action currents are flagged with a circle. </w:t>
      </w:r>
      <w:r w:rsidR="00785465" w:rsidRPr="00D97760">
        <w:rPr>
          <w:rStyle w:val="IntenseEmphasis"/>
          <w:i w:val="0"/>
          <w:iCs w:val="0"/>
          <w:sz w:val="20"/>
          <w:szCs w:val="20"/>
        </w:rPr>
        <w:t>Glucose induces</w:t>
      </w:r>
      <w:r w:rsidR="00C257C8" w:rsidRPr="00D97760">
        <w:rPr>
          <w:rStyle w:val="IntenseEmphasis"/>
          <w:i w:val="0"/>
          <w:iCs w:val="0"/>
          <w:sz w:val="20"/>
          <w:szCs w:val="20"/>
        </w:rPr>
        <w:t xml:space="preserve"> higher frequency</w:t>
      </w:r>
      <w:r w:rsidR="00785465" w:rsidRPr="00D97760">
        <w:rPr>
          <w:rStyle w:val="IntenseEmphasis"/>
          <w:i w:val="0"/>
          <w:iCs w:val="0"/>
          <w:sz w:val="20"/>
          <w:szCs w:val="20"/>
        </w:rPr>
        <w:t xml:space="preserve"> oscillatory inward currents, which are suppressed upon nifedipine treatment, consistent with </w:t>
      </w:r>
      <w:r w:rsidR="00934CAC" w:rsidRPr="00D97760">
        <w:rPr>
          <w:rStyle w:val="IntenseEmphasis"/>
          <w:i w:val="0"/>
          <w:iCs w:val="0"/>
          <w:sz w:val="20"/>
          <w:szCs w:val="20"/>
        </w:rPr>
        <w:t xml:space="preserve">the activation and subsequent </w:t>
      </w:r>
      <w:r w:rsidR="00785465" w:rsidRPr="00D97760">
        <w:rPr>
          <w:rStyle w:val="IntenseEmphasis"/>
          <w:i w:val="0"/>
          <w:iCs w:val="0"/>
          <w:sz w:val="20"/>
          <w:szCs w:val="20"/>
        </w:rPr>
        <w:t>blockade of voltage-gated calcium channels</w:t>
      </w:r>
      <w:r w:rsidR="00934CAC" w:rsidRPr="00D97760">
        <w:rPr>
          <w:rStyle w:val="IntenseEmphasis"/>
          <w:i w:val="0"/>
          <w:iCs w:val="0"/>
          <w:sz w:val="20"/>
          <w:szCs w:val="20"/>
        </w:rPr>
        <w:t xml:space="preserve"> characteristic fo</w:t>
      </w:r>
      <w:r w:rsidR="00E32262">
        <w:rPr>
          <w:rStyle w:val="IntenseEmphasis"/>
          <w:i w:val="0"/>
          <w:iCs w:val="0"/>
          <w:sz w:val="20"/>
          <w:szCs w:val="20"/>
        </w:rPr>
        <w:t>r</w:t>
      </w:r>
      <w:r w:rsidR="00934CAC" w:rsidRPr="00D97760">
        <w:rPr>
          <w:rStyle w:val="IntenseEmphasis"/>
          <w:i w:val="0"/>
          <w:iCs w:val="0"/>
          <w:sz w:val="20"/>
          <w:szCs w:val="20"/>
        </w:rPr>
        <w:t xml:space="preserve"> this cell type</w:t>
      </w:r>
      <w:r w:rsidR="00E32262">
        <w:rPr>
          <w:rStyle w:val="IntenseEmphasis"/>
          <w:i w:val="0"/>
          <w:iCs w:val="0"/>
          <w:sz w:val="20"/>
          <w:szCs w:val="20"/>
        </w:rPr>
        <w:fldChar w:fldCharType="begin"/>
      </w:r>
      <w:r w:rsidR="00E32262">
        <w:rPr>
          <w:rStyle w:val="IntenseEmphasis"/>
          <w:i w:val="0"/>
          <w:iCs w:val="0"/>
          <w:sz w:val="20"/>
          <w:szCs w:val="20"/>
        </w:rPr>
        <w:instrText xml:space="preserve"> ADDIN ZOTERO_ITEM CSL_CITATION {"citationID":"Qj2PIUsd","properties":{"formattedCitation":"\\super 2\\nosupersub{}","plainCitation":"2","noteIndex":0},"citationItems":[{"id":580,"uris":["http://zotero.org/users/local/e3NyymDs/items/ZVWXLKGB"],"itemData":{"id":580,"type":"article-journal","container-title":"Progress in biophysics and molecular biology","issue":"2","note":"publisher: Elsevier","page":"87–143","source":"Google Scholar","title":"Electrophysiology of the pancreatic β-cell","volume":"54","author":[{"family":"Ashcroft","given":"Frances M."},{"family":"Rorsman","given":"Patrik"}],"issued":{"date-parts":[["1989"]]}}}],"schema":"https://github.com/citation-style-language/schema/raw/master/csl-citation.json"} </w:instrText>
      </w:r>
      <w:r w:rsidR="00E32262">
        <w:rPr>
          <w:rStyle w:val="IntenseEmphasis"/>
          <w:i w:val="0"/>
          <w:iCs w:val="0"/>
          <w:sz w:val="20"/>
          <w:szCs w:val="20"/>
        </w:rPr>
        <w:fldChar w:fldCharType="separate"/>
      </w:r>
      <w:r w:rsidR="00E32262" w:rsidRPr="00E32262">
        <w:rPr>
          <w:rFonts w:ascii="Aptos" w:cs="Times New Roman"/>
          <w:color w:val="008080"/>
          <w:kern w:val="0"/>
          <w:sz w:val="20"/>
          <w:szCs w:val="24"/>
          <w:vertAlign w:val="superscript"/>
        </w:rPr>
        <w:t>2</w:t>
      </w:r>
      <w:r w:rsidR="00E32262">
        <w:rPr>
          <w:rStyle w:val="IntenseEmphasis"/>
          <w:i w:val="0"/>
          <w:iCs w:val="0"/>
          <w:sz w:val="20"/>
          <w:szCs w:val="20"/>
        </w:rPr>
        <w:fldChar w:fldCharType="end"/>
      </w:r>
      <w:r w:rsidR="00785465" w:rsidRPr="00D97760">
        <w:rPr>
          <w:rStyle w:val="IntenseEmphasis"/>
          <w:i w:val="0"/>
          <w:iCs w:val="0"/>
          <w:sz w:val="20"/>
          <w:szCs w:val="20"/>
        </w:rPr>
        <w:t xml:space="preserve">. These findings support the interpretation that SPRM-detected oscillations arise from underlying bioelectrical </w:t>
      </w:r>
      <w:proofErr w:type="spellStart"/>
      <w:r w:rsidR="00785465" w:rsidRPr="00D97760">
        <w:rPr>
          <w:rStyle w:val="IntenseEmphasis"/>
          <w:i w:val="0"/>
          <w:iCs w:val="0"/>
          <w:sz w:val="20"/>
          <w:szCs w:val="20"/>
        </w:rPr>
        <w:t>signaling</w:t>
      </w:r>
      <w:proofErr w:type="spellEnd"/>
      <w:r w:rsidR="00785465" w:rsidRPr="00D97760">
        <w:rPr>
          <w:rStyle w:val="IntenseEmphasis"/>
          <w:i w:val="0"/>
          <w:iCs w:val="0"/>
          <w:sz w:val="20"/>
          <w:szCs w:val="20"/>
        </w:rPr>
        <w:t xml:space="preserve">. </w:t>
      </w:r>
      <w:r w:rsidR="00785465" w:rsidRPr="006A5D43">
        <w:rPr>
          <w:rStyle w:val="IntenseEmphasis"/>
          <w:i w:val="0"/>
          <w:iCs w:val="0"/>
          <w:sz w:val="20"/>
          <w:szCs w:val="20"/>
        </w:rPr>
        <w:t xml:space="preserve">Grey shaded regions in the </w:t>
      </w:r>
      <w:r w:rsidR="00785465" w:rsidRPr="006A5D43">
        <w:rPr>
          <w:rStyle w:val="IntenseEmphasis"/>
          <w:i w:val="0"/>
          <w:iCs w:val="0"/>
          <w:sz w:val="20"/>
          <w:szCs w:val="20"/>
        </w:rPr>
        <w:lastRenderedPageBreak/>
        <w:t>traces represent background p</w:t>
      </w:r>
      <w:r w:rsidR="006A5D43" w:rsidRPr="006A5D43">
        <w:rPr>
          <w:rStyle w:val="IntenseEmphasis"/>
          <w:i w:val="0"/>
          <w:iCs w:val="0"/>
          <w:sz w:val="20"/>
          <w:szCs w:val="20"/>
        </w:rPr>
        <w:t>er</w:t>
      </w:r>
      <w:r w:rsidR="00785465" w:rsidRPr="006A5D43">
        <w:rPr>
          <w:rStyle w:val="IntenseEmphasis"/>
          <w:i w:val="0"/>
          <w:iCs w:val="0"/>
          <w:sz w:val="20"/>
          <w:szCs w:val="20"/>
        </w:rPr>
        <w:t>fusion noise</w:t>
      </w:r>
      <w:r w:rsidR="00C257C8" w:rsidRPr="006A5D43">
        <w:rPr>
          <w:rStyle w:val="IntenseEmphasis"/>
          <w:i w:val="0"/>
          <w:iCs w:val="0"/>
          <w:sz w:val="20"/>
          <w:szCs w:val="20"/>
        </w:rPr>
        <w:t>.</w:t>
      </w:r>
      <w:r w:rsidR="00085AE5" w:rsidRPr="006A5D43">
        <w:rPr>
          <w:rStyle w:val="IntenseEmphasis"/>
          <w:i w:val="0"/>
          <w:iCs w:val="0"/>
          <w:sz w:val="20"/>
          <w:szCs w:val="20"/>
        </w:rPr>
        <w:t xml:space="preserve"> In panels (a–c), </w:t>
      </w:r>
      <w:r w:rsidR="00004B7F">
        <w:rPr>
          <w:rStyle w:val="IntenseEmphasis"/>
          <w:i w:val="0"/>
          <w:iCs w:val="0"/>
          <w:sz w:val="20"/>
          <w:szCs w:val="20"/>
        </w:rPr>
        <w:t xml:space="preserve">Numbers indicate </w:t>
      </w:r>
      <w:r w:rsidR="00085AE5" w:rsidRPr="00D97760">
        <w:rPr>
          <w:rStyle w:val="IntenseEmphasis"/>
          <w:i w:val="0"/>
          <w:iCs w:val="0"/>
          <w:sz w:val="20"/>
          <w:szCs w:val="20"/>
        </w:rPr>
        <w:t>the averaged spike frequency for each condition (1–3), computed using non-overlapping 5-second windows</w:t>
      </w:r>
      <w:r w:rsidR="002326B6">
        <w:rPr>
          <w:rStyle w:val="IntenseEmphasis"/>
          <w:i w:val="0"/>
          <w:iCs w:val="0"/>
          <w:sz w:val="20"/>
          <w:szCs w:val="20"/>
        </w:rPr>
        <w:t>.</w:t>
      </w:r>
    </w:p>
    <w:p w14:paraId="68CC2974" w14:textId="77777777" w:rsidR="00D97760" w:rsidRPr="00182495" w:rsidRDefault="006E4259" w:rsidP="00D97760">
      <w:pPr>
        <w:jc w:val="both"/>
        <w:rPr>
          <w:b/>
          <w:bCs/>
          <w:sz w:val="24"/>
          <w:szCs w:val="24"/>
        </w:rPr>
      </w:pPr>
      <w:r w:rsidRPr="00182495">
        <w:rPr>
          <w:b/>
          <w:bCs/>
          <w:sz w:val="24"/>
          <w:szCs w:val="24"/>
        </w:rPr>
        <w:t>Conclusion</w:t>
      </w:r>
    </w:p>
    <w:p w14:paraId="47F75E70" w14:textId="37FF1E8C" w:rsidR="00D10C0D" w:rsidRDefault="006E4259" w:rsidP="00777151">
      <w:r w:rsidRPr="006E4259">
        <w:t xml:space="preserve">Across </w:t>
      </w:r>
      <w:r w:rsidR="007E5692">
        <w:t xml:space="preserve">all </w:t>
      </w:r>
      <w:r w:rsidRPr="006E4259">
        <w:t>cells</w:t>
      </w:r>
      <w:r w:rsidR="007E5692">
        <w:t xml:space="preserve"> tested</w:t>
      </w:r>
      <w:r w:rsidRPr="006E4259">
        <w:t>, nifedipine reduces or abolishes glucose-evoked spiking in MIN6 β-cells, consistent with L-type Ca²</w:t>
      </w:r>
      <w:r w:rsidRPr="006E4259">
        <w:rPr>
          <w:rFonts w:ascii="Cambria Math" w:hAnsi="Cambria Math" w:cs="Cambria Math"/>
        </w:rPr>
        <w:t>⁺</w:t>
      </w:r>
      <w:r w:rsidRPr="006E4259">
        <w:t xml:space="preserve"> channel inhibition and supporting a bioelectrical origin for the SPRM-detected oscillations.</w:t>
      </w:r>
      <w:r w:rsidR="006E146C">
        <w:br/>
      </w:r>
    </w:p>
    <w:p w14:paraId="3274C1ED" w14:textId="77777777" w:rsidR="00B571E4" w:rsidRDefault="00D10C0D" w:rsidP="00777151">
      <w:pPr>
        <w:rPr>
          <w:b/>
          <w:bCs/>
        </w:rPr>
      </w:pPr>
      <w:r w:rsidRPr="00D10C0D">
        <w:rPr>
          <w:b/>
          <w:bCs/>
        </w:rPr>
        <w:t>References</w:t>
      </w:r>
    </w:p>
    <w:p w14:paraId="4869616A" w14:textId="77777777" w:rsidR="004D3407" w:rsidRPr="004D3407" w:rsidRDefault="004D3407" w:rsidP="004D3407">
      <w:pPr>
        <w:pStyle w:val="Bibliography"/>
        <w:rPr>
          <w:rFonts w:ascii="Aptos"/>
        </w:rPr>
      </w:pPr>
      <w:r>
        <w:fldChar w:fldCharType="begin"/>
      </w:r>
      <w:r>
        <w:instrText xml:space="preserve"> ADDIN ZOTERO_BIBL {"uncited":[],"omitted":[],"custom":[]} CSL_BIBLIOGRAPHY </w:instrText>
      </w:r>
      <w:r>
        <w:fldChar w:fldCharType="separate"/>
      </w:r>
      <w:r w:rsidRPr="004D3407">
        <w:rPr>
          <w:rFonts w:ascii="Aptos"/>
        </w:rPr>
        <w:t>1.</w:t>
      </w:r>
      <w:r w:rsidRPr="004D3407">
        <w:rPr>
          <w:rFonts w:ascii="Aptos"/>
        </w:rPr>
        <w:tab/>
        <w:t xml:space="preserve">Smith, P. A., Sellers, L. A. &amp; Humphrey, P. P. Somatostatin activates two types of inwardly rectifying K+ channels in MIN-6 cells. </w:t>
      </w:r>
      <w:r w:rsidRPr="004D3407">
        <w:rPr>
          <w:rFonts w:ascii="Aptos"/>
          <w:i/>
          <w:iCs/>
        </w:rPr>
        <w:t>The Journal of physiology</w:t>
      </w:r>
      <w:r w:rsidRPr="004D3407">
        <w:rPr>
          <w:rFonts w:ascii="Aptos"/>
        </w:rPr>
        <w:t xml:space="preserve"> </w:t>
      </w:r>
      <w:r w:rsidRPr="004D3407">
        <w:rPr>
          <w:rFonts w:ascii="Aptos"/>
          <w:b/>
          <w:bCs/>
        </w:rPr>
        <w:t>532</w:t>
      </w:r>
      <w:r w:rsidRPr="004D3407">
        <w:rPr>
          <w:rFonts w:ascii="Aptos"/>
        </w:rPr>
        <w:t>, 127 (2001).</w:t>
      </w:r>
    </w:p>
    <w:p w14:paraId="0DCAEE1C" w14:textId="77777777" w:rsidR="004D3407" w:rsidRPr="004D3407" w:rsidRDefault="004D3407" w:rsidP="004D3407">
      <w:pPr>
        <w:pStyle w:val="Bibliography"/>
        <w:rPr>
          <w:rFonts w:ascii="Aptos"/>
        </w:rPr>
      </w:pPr>
      <w:r w:rsidRPr="004D3407">
        <w:rPr>
          <w:rFonts w:ascii="Aptos"/>
        </w:rPr>
        <w:t>2.</w:t>
      </w:r>
      <w:r w:rsidRPr="004D3407">
        <w:rPr>
          <w:rFonts w:ascii="Aptos"/>
        </w:rPr>
        <w:tab/>
        <w:t xml:space="preserve">Ashcroft, F. M. &amp; Rorsman, P. Electrophysiology of the pancreatic β-cell. </w:t>
      </w:r>
      <w:r w:rsidRPr="004D3407">
        <w:rPr>
          <w:rFonts w:ascii="Aptos"/>
          <w:i/>
          <w:iCs/>
        </w:rPr>
        <w:t>Progress in biophysics and molecular biology</w:t>
      </w:r>
      <w:r w:rsidRPr="004D3407">
        <w:rPr>
          <w:rFonts w:ascii="Aptos"/>
        </w:rPr>
        <w:t xml:space="preserve"> </w:t>
      </w:r>
      <w:r w:rsidRPr="004D3407">
        <w:rPr>
          <w:rFonts w:ascii="Aptos"/>
          <w:b/>
          <w:bCs/>
        </w:rPr>
        <w:t>54</w:t>
      </w:r>
      <w:r w:rsidRPr="004D3407">
        <w:rPr>
          <w:rFonts w:ascii="Aptos"/>
        </w:rPr>
        <w:t>, 87–143 (1989).</w:t>
      </w:r>
    </w:p>
    <w:p w14:paraId="1CD2B4F2" w14:textId="6759805E" w:rsidR="00CC3B80" w:rsidRPr="004A3F3B" w:rsidRDefault="004D3407" w:rsidP="00777151">
      <w:pPr>
        <w:rPr>
          <w:lang w:val="en-US"/>
        </w:rPr>
      </w:pPr>
      <w:r>
        <w:fldChar w:fldCharType="end"/>
      </w:r>
    </w:p>
    <w:sectPr w:rsidR="00CC3B80" w:rsidRPr="004A3F3B">
      <w:footerReference w:type="even" r:id="rId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BB42D" w14:textId="77777777" w:rsidR="00D94FF5" w:rsidRDefault="00D94FF5" w:rsidP="00541CBB">
      <w:pPr>
        <w:spacing w:after="0" w:line="240" w:lineRule="auto"/>
      </w:pPr>
      <w:r>
        <w:separator/>
      </w:r>
    </w:p>
  </w:endnote>
  <w:endnote w:type="continuationSeparator" w:id="0">
    <w:p w14:paraId="4D05FDED" w14:textId="77777777" w:rsidR="00D94FF5" w:rsidRDefault="00D94FF5" w:rsidP="00541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129441"/>
      <w:docPartObj>
        <w:docPartGallery w:val="Page Numbers (Bottom of Page)"/>
        <w:docPartUnique/>
      </w:docPartObj>
    </w:sdtPr>
    <w:sdtContent>
      <w:p w14:paraId="79104061" w14:textId="56FB2B48" w:rsidR="00541CBB" w:rsidRDefault="00541CBB" w:rsidP="009E67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23FA4" w14:textId="77777777" w:rsidR="00541CBB" w:rsidRDefault="00541CBB" w:rsidP="00541C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4895435"/>
      <w:docPartObj>
        <w:docPartGallery w:val="Page Numbers (Bottom of Page)"/>
        <w:docPartUnique/>
      </w:docPartObj>
    </w:sdtPr>
    <w:sdtContent>
      <w:p w14:paraId="711E1501" w14:textId="11D2669F" w:rsidR="00541CBB" w:rsidRDefault="00541CBB" w:rsidP="009E67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4C81D7" w14:textId="77777777" w:rsidR="00541CBB" w:rsidRDefault="00541CBB" w:rsidP="00541C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A60C9" w14:textId="77777777" w:rsidR="00D94FF5" w:rsidRDefault="00D94FF5" w:rsidP="00541CBB">
      <w:pPr>
        <w:spacing w:after="0" w:line="240" w:lineRule="auto"/>
      </w:pPr>
      <w:r>
        <w:separator/>
      </w:r>
    </w:p>
  </w:footnote>
  <w:footnote w:type="continuationSeparator" w:id="0">
    <w:p w14:paraId="56DF2CCA" w14:textId="77777777" w:rsidR="00D94FF5" w:rsidRDefault="00D94FF5" w:rsidP="00541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26C7B"/>
    <w:multiLevelType w:val="multilevel"/>
    <w:tmpl w:val="EDE8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5E40C6"/>
    <w:multiLevelType w:val="multilevel"/>
    <w:tmpl w:val="41E6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8C4E65"/>
    <w:multiLevelType w:val="multilevel"/>
    <w:tmpl w:val="7AE8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90B48"/>
    <w:multiLevelType w:val="multilevel"/>
    <w:tmpl w:val="DEC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8347697">
    <w:abstractNumId w:val="3"/>
  </w:num>
  <w:num w:numId="2" w16cid:durableId="391077520">
    <w:abstractNumId w:val="0"/>
  </w:num>
  <w:num w:numId="3" w16cid:durableId="244267683">
    <w:abstractNumId w:val="2"/>
  </w:num>
  <w:num w:numId="4" w16cid:durableId="226115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F3B"/>
    <w:rsid w:val="00001CD5"/>
    <w:rsid w:val="00004B7F"/>
    <w:rsid w:val="00016801"/>
    <w:rsid w:val="00022AE7"/>
    <w:rsid w:val="00041AA5"/>
    <w:rsid w:val="00085AE5"/>
    <w:rsid w:val="000A5537"/>
    <w:rsid w:val="00130B82"/>
    <w:rsid w:val="0015375E"/>
    <w:rsid w:val="00157DCB"/>
    <w:rsid w:val="0017373A"/>
    <w:rsid w:val="00182495"/>
    <w:rsid w:val="001C45B8"/>
    <w:rsid w:val="001D23B1"/>
    <w:rsid w:val="00200C4E"/>
    <w:rsid w:val="002050A5"/>
    <w:rsid w:val="002164F6"/>
    <w:rsid w:val="002326B6"/>
    <w:rsid w:val="0024404C"/>
    <w:rsid w:val="002776E5"/>
    <w:rsid w:val="002A7948"/>
    <w:rsid w:val="00300827"/>
    <w:rsid w:val="0031424E"/>
    <w:rsid w:val="00331E43"/>
    <w:rsid w:val="00340059"/>
    <w:rsid w:val="003574DE"/>
    <w:rsid w:val="00365A14"/>
    <w:rsid w:val="003A0D25"/>
    <w:rsid w:val="003A6633"/>
    <w:rsid w:val="003A7E54"/>
    <w:rsid w:val="003C61C5"/>
    <w:rsid w:val="003D1467"/>
    <w:rsid w:val="003D1963"/>
    <w:rsid w:val="003E6802"/>
    <w:rsid w:val="003F00DA"/>
    <w:rsid w:val="00415F6B"/>
    <w:rsid w:val="0041713A"/>
    <w:rsid w:val="00420B14"/>
    <w:rsid w:val="0046004F"/>
    <w:rsid w:val="00485EE3"/>
    <w:rsid w:val="004A3F3B"/>
    <w:rsid w:val="004A556A"/>
    <w:rsid w:val="004B73CD"/>
    <w:rsid w:val="004C71F2"/>
    <w:rsid w:val="004D3407"/>
    <w:rsid w:val="005029EC"/>
    <w:rsid w:val="0050713E"/>
    <w:rsid w:val="00541CBB"/>
    <w:rsid w:val="00561541"/>
    <w:rsid w:val="00585BAD"/>
    <w:rsid w:val="005D3657"/>
    <w:rsid w:val="0060533A"/>
    <w:rsid w:val="006110FD"/>
    <w:rsid w:val="00650ED1"/>
    <w:rsid w:val="00661647"/>
    <w:rsid w:val="00683721"/>
    <w:rsid w:val="006842C8"/>
    <w:rsid w:val="00696E8A"/>
    <w:rsid w:val="006A5D43"/>
    <w:rsid w:val="006B4DA4"/>
    <w:rsid w:val="006B5AEF"/>
    <w:rsid w:val="006E146C"/>
    <w:rsid w:val="006E2658"/>
    <w:rsid w:val="006E4259"/>
    <w:rsid w:val="00774E2C"/>
    <w:rsid w:val="00777151"/>
    <w:rsid w:val="00781FB6"/>
    <w:rsid w:val="00785465"/>
    <w:rsid w:val="007B1F73"/>
    <w:rsid w:val="007E5692"/>
    <w:rsid w:val="00872831"/>
    <w:rsid w:val="008C4036"/>
    <w:rsid w:val="008F4129"/>
    <w:rsid w:val="00910457"/>
    <w:rsid w:val="00934CAC"/>
    <w:rsid w:val="00937E9C"/>
    <w:rsid w:val="00970120"/>
    <w:rsid w:val="009758D1"/>
    <w:rsid w:val="009838AC"/>
    <w:rsid w:val="009839E9"/>
    <w:rsid w:val="009901E3"/>
    <w:rsid w:val="0099143C"/>
    <w:rsid w:val="009D54E9"/>
    <w:rsid w:val="00A01B65"/>
    <w:rsid w:val="00A023C1"/>
    <w:rsid w:val="00A30E0D"/>
    <w:rsid w:val="00A70244"/>
    <w:rsid w:val="00AF0F99"/>
    <w:rsid w:val="00B02EA3"/>
    <w:rsid w:val="00B1670F"/>
    <w:rsid w:val="00B21A0C"/>
    <w:rsid w:val="00B24200"/>
    <w:rsid w:val="00B32C81"/>
    <w:rsid w:val="00B35F07"/>
    <w:rsid w:val="00B571E4"/>
    <w:rsid w:val="00B91563"/>
    <w:rsid w:val="00B91D56"/>
    <w:rsid w:val="00BA702E"/>
    <w:rsid w:val="00BB1BD3"/>
    <w:rsid w:val="00BD5353"/>
    <w:rsid w:val="00C0773A"/>
    <w:rsid w:val="00C257C8"/>
    <w:rsid w:val="00C27A34"/>
    <w:rsid w:val="00C4629F"/>
    <w:rsid w:val="00C70640"/>
    <w:rsid w:val="00C900D7"/>
    <w:rsid w:val="00C930FA"/>
    <w:rsid w:val="00CC3B80"/>
    <w:rsid w:val="00CE738E"/>
    <w:rsid w:val="00D0013E"/>
    <w:rsid w:val="00D06288"/>
    <w:rsid w:val="00D10C0D"/>
    <w:rsid w:val="00D12664"/>
    <w:rsid w:val="00D8698D"/>
    <w:rsid w:val="00D94FF5"/>
    <w:rsid w:val="00D97760"/>
    <w:rsid w:val="00DA3725"/>
    <w:rsid w:val="00DF7495"/>
    <w:rsid w:val="00E32262"/>
    <w:rsid w:val="00E333CC"/>
    <w:rsid w:val="00EA44D6"/>
    <w:rsid w:val="00EC5249"/>
    <w:rsid w:val="00EE27CC"/>
    <w:rsid w:val="00EE5D22"/>
    <w:rsid w:val="00F03729"/>
    <w:rsid w:val="00F21778"/>
    <w:rsid w:val="00F61DF0"/>
    <w:rsid w:val="00F86717"/>
    <w:rsid w:val="00FC3DEE"/>
    <w:rsid w:val="00FD1012"/>
    <w:rsid w:val="00FE5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26CBB"/>
  <w15:chartTrackingRefBased/>
  <w15:docId w15:val="{71741773-88AD-44A3-9DF5-DDDD2B62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259"/>
  </w:style>
  <w:style w:type="paragraph" w:styleId="Heading1">
    <w:name w:val="heading 1"/>
    <w:basedOn w:val="Normal"/>
    <w:next w:val="Normal"/>
    <w:link w:val="Heading1Char"/>
    <w:uiPriority w:val="9"/>
    <w:qFormat/>
    <w:rsid w:val="004A3F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A3F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3F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3F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3F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F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F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F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F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F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A3F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3F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3F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3F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3F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F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F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F3B"/>
    <w:rPr>
      <w:rFonts w:eastAsiaTheme="majorEastAsia" w:cstheme="majorBidi"/>
      <w:color w:val="272727" w:themeColor="text1" w:themeTint="D8"/>
    </w:rPr>
  </w:style>
  <w:style w:type="paragraph" w:styleId="Title">
    <w:name w:val="Title"/>
    <w:basedOn w:val="Normal"/>
    <w:next w:val="Normal"/>
    <w:link w:val="TitleChar"/>
    <w:uiPriority w:val="10"/>
    <w:qFormat/>
    <w:rsid w:val="004A3F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F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F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F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F3B"/>
    <w:pPr>
      <w:spacing w:before="160"/>
      <w:jc w:val="center"/>
    </w:pPr>
    <w:rPr>
      <w:i/>
      <w:iCs/>
      <w:color w:val="404040" w:themeColor="text1" w:themeTint="BF"/>
    </w:rPr>
  </w:style>
  <w:style w:type="character" w:customStyle="1" w:styleId="QuoteChar">
    <w:name w:val="Quote Char"/>
    <w:basedOn w:val="DefaultParagraphFont"/>
    <w:link w:val="Quote"/>
    <w:uiPriority w:val="29"/>
    <w:rsid w:val="004A3F3B"/>
    <w:rPr>
      <w:i/>
      <w:iCs/>
      <w:color w:val="404040" w:themeColor="text1" w:themeTint="BF"/>
    </w:rPr>
  </w:style>
  <w:style w:type="paragraph" w:styleId="ListParagraph">
    <w:name w:val="List Paragraph"/>
    <w:basedOn w:val="Normal"/>
    <w:uiPriority w:val="34"/>
    <w:qFormat/>
    <w:rsid w:val="004A3F3B"/>
    <w:pPr>
      <w:ind w:left="720"/>
      <w:contextualSpacing/>
    </w:pPr>
  </w:style>
  <w:style w:type="character" w:styleId="IntenseEmphasis">
    <w:name w:val="Intense Emphasis"/>
    <w:basedOn w:val="DefaultParagraphFont"/>
    <w:uiPriority w:val="21"/>
    <w:qFormat/>
    <w:rsid w:val="004A3F3B"/>
    <w:rPr>
      <w:i/>
      <w:iCs/>
      <w:color w:val="0F4761" w:themeColor="accent1" w:themeShade="BF"/>
    </w:rPr>
  </w:style>
  <w:style w:type="paragraph" w:styleId="IntenseQuote">
    <w:name w:val="Intense Quote"/>
    <w:basedOn w:val="Normal"/>
    <w:next w:val="Normal"/>
    <w:link w:val="IntenseQuoteChar"/>
    <w:uiPriority w:val="30"/>
    <w:qFormat/>
    <w:rsid w:val="004A3F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3F3B"/>
    <w:rPr>
      <w:i/>
      <w:iCs/>
      <w:color w:val="0F4761" w:themeColor="accent1" w:themeShade="BF"/>
    </w:rPr>
  </w:style>
  <w:style w:type="character" w:styleId="IntenseReference">
    <w:name w:val="Intense Reference"/>
    <w:basedOn w:val="DefaultParagraphFont"/>
    <w:uiPriority w:val="32"/>
    <w:qFormat/>
    <w:rsid w:val="004A3F3B"/>
    <w:rPr>
      <w:b/>
      <w:bCs/>
      <w:smallCaps/>
      <w:color w:val="0F4761" w:themeColor="accent1" w:themeShade="BF"/>
      <w:spacing w:val="5"/>
    </w:rPr>
  </w:style>
  <w:style w:type="character" w:styleId="CommentReference">
    <w:name w:val="annotation reference"/>
    <w:basedOn w:val="DefaultParagraphFont"/>
    <w:uiPriority w:val="99"/>
    <w:semiHidden/>
    <w:unhideWhenUsed/>
    <w:rsid w:val="00D10C0D"/>
    <w:rPr>
      <w:sz w:val="16"/>
      <w:szCs w:val="16"/>
    </w:rPr>
  </w:style>
  <w:style w:type="paragraph" w:styleId="CommentText">
    <w:name w:val="annotation text"/>
    <w:basedOn w:val="Normal"/>
    <w:link w:val="CommentTextChar"/>
    <w:uiPriority w:val="99"/>
    <w:unhideWhenUsed/>
    <w:rsid w:val="00D10C0D"/>
    <w:pPr>
      <w:spacing w:line="240" w:lineRule="auto"/>
    </w:pPr>
    <w:rPr>
      <w:sz w:val="20"/>
      <w:szCs w:val="20"/>
    </w:rPr>
  </w:style>
  <w:style w:type="character" w:customStyle="1" w:styleId="CommentTextChar">
    <w:name w:val="Comment Text Char"/>
    <w:basedOn w:val="DefaultParagraphFont"/>
    <w:link w:val="CommentText"/>
    <w:uiPriority w:val="99"/>
    <w:rsid w:val="00D10C0D"/>
    <w:rPr>
      <w:sz w:val="20"/>
      <w:szCs w:val="20"/>
    </w:rPr>
  </w:style>
  <w:style w:type="paragraph" w:styleId="CommentSubject">
    <w:name w:val="annotation subject"/>
    <w:basedOn w:val="CommentText"/>
    <w:next w:val="CommentText"/>
    <w:link w:val="CommentSubjectChar"/>
    <w:uiPriority w:val="99"/>
    <w:semiHidden/>
    <w:unhideWhenUsed/>
    <w:rsid w:val="00D10C0D"/>
    <w:rPr>
      <w:b/>
      <w:bCs/>
    </w:rPr>
  </w:style>
  <w:style w:type="character" w:customStyle="1" w:styleId="CommentSubjectChar">
    <w:name w:val="Comment Subject Char"/>
    <w:basedOn w:val="CommentTextChar"/>
    <w:link w:val="CommentSubject"/>
    <w:uiPriority w:val="99"/>
    <w:semiHidden/>
    <w:rsid w:val="00D10C0D"/>
    <w:rPr>
      <w:b/>
      <w:bCs/>
      <w:sz w:val="20"/>
      <w:szCs w:val="20"/>
    </w:rPr>
  </w:style>
  <w:style w:type="paragraph" w:styleId="BalloonText">
    <w:name w:val="Balloon Text"/>
    <w:basedOn w:val="Normal"/>
    <w:link w:val="BalloonTextChar"/>
    <w:uiPriority w:val="99"/>
    <w:semiHidden/>
    <w:unhideWhenUsed/>
    <w:rsid w:val="00983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9E9"/>
    <w:rPr>
      <w:rFonts w:ascii="Segoe UI" w:hAnsi="Segoe UI" w:cs="Segoe UI"/>
      <w:sz w:val="18"/>
      <w:szCs w:val="18"/>
    </w:rPr>
  </w:style>
  <w:style w:type="paragraph" w:styleId="Revision">
    <w:name w:val="Revision"/>
    <w:hidden/>
    <w:uiPriority w:val="99"/>
    <w:semiHidden/>
    <w:rsid w:val="003A7E54"/>
    <w:pPr>
      <w:spacing w:after="0" w:line="240" w:lineRule="auto"/>
    </w:pPr>
  </w:style>
  <w:style w:type="character" w:styleId="PlaceholderText">
    <w:name w:val="Placeholder Text"/>
    <w:basedOn w:val="DefaultParagraphFont"/>
    <w:uiPriority w:val="99"/>
    <w:semiHidden/>
    <w:rsid w:val="006E146C"/>
    <w:rPr>
      <w:color w:val="666666"/>
    </w:rPr>
  </w:style>
  <w:style w:type="paragraph" w:styleId="Footer">
    <w:name w:val="footer"/>
    <w:basedOn w:val="Normal"/>
    <w:link w:val="FooterChar"/>
    <w:uiPriority w:val="99"/>
    <w:unhideWhenUsed/>
    <w:rsid w:val="00541C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CBB"/>
  </w:style>
  <w:style w:type="character" w:styleId="PageNumber">
    <w:name w:val="page number"/>
    <w:basedOn w:val="DefaultParagraphFont"/>
    <w:uiPriority w:val="99"/>
    <w:semiHidden/>
    <w:unhideWhenUsed/>
    <w:rsid w:val="00541CBB"/>
  </w:style>
  <w:style w:type="paragraph" w:styleId="Bibliography">
    <w:name w:val="Bibliography"/>
    <w:basedOn w:val="Normal"/>
    <w:next w:val="Normal"/>
    <w:uiPriority w:val="37"/>
    <w:unhideWhenUsed/>
    <w:rsid w:val="004D3407"/>
    <w:pPr>
      <w:tabs>
        <w:tab w:val="left" w:pos="260"/>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c1e910d-4918-42f1-af2c-ed1101d63a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18" ma:contentTypeDescription="Create a new document." ma:contentTypeScope="" ma:versionID="3280b1e6b9d73c98bcfe9d9eeddbb337">
  <xsd:schema xmlns:xsd="http://www.w3.org/2001/XMLSchema" xmlns:xs="http://www.w3.org/2001/XMLSchema" xmlns:p="http://schemas.microsoft.com/office/2006/metadata/properties" xmlns:ns3="0c1e910d-4918-42f1-af2c-ed1101d63abc" xmlns:ns4="786e620f-b1da-4f59-878c-ef7546d25bf1" targetNamespace="http://schemas.microsoft.com/office/2006/metadata/properties" ma:root="true" ma:fieldsID="501a25625a8851e63ce2f325f7e0679d" ns3:_="" ns4:_="">
    <xsd:import namespace="0c1e910d-4918-42f1-af2c-ed1101d63abc"/>
    <xsd:import namespace="786e620f-b1da-4f59-878c-ef7546d25b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e620f-b1da-4f59-878c-ef7546d25b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00BE65-7A39-4164-AEA9-8AC881C1586E}">
  <ds:schemaRefs>
    <ds:schemaRef ds:uri="http://schemas.microsoft.com/office/2006/metadata/properties"/>
    <ds:schemaRef ds:uri="http://schemas.microsoft.com/office/infopath/2007/PartnerControls"/>
    <ds:schemaRef ds:uri="0c1e910d-4918-42f1-af2c-ed1101d63abc"/>
  </ds:schemaRefs>
</ds:datastoreItem>
</file>

<file path=customXml/itemProps2.xml><?xml version="1.0" encoding="utf-8"?>
<ds:datastoreItem xmlns:ds="http://schemas.openxmlformats.org/officeDocument/2006/customXml" ds:itemID="{641D7666-1114-4978-BFA6-49D397AE1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e910d-4918-42f1-af2c-ed1101d63abc"/>
    <ds:schemaRef ds:uri="786e620f-b1da-4f59-878c-ef7546d25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3CBEEF-9AB1-402E-9D2A-033F39CA24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Regules Medel</dc:creator>
  <cp:keywords/>
  <dc:description/>
  <cp:lastModifiedBy>Sidahmed Abayzeed (staff)</cp:lastModifiedBy>
  <cp:revision>96</cp:revision>
  <dcterms:created xsi:type="dcterms:W3CDTF">2025-08-13T20:35:00Z</dcterms:created>
  <dcterms:modified xsi:type="dcterms:W3CDTF">2025-08-14T00:51:00Z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0x010100F57573F99DE79145B2C4B20841E12603</vt:lpwstr>
  </property>
  <property fmtid="{D5CDD505-2E9C-101B-9397-08002B2CF9AE}" pid="3" name="ZOTERO_PREF_1">
    <vt:lpwstr>&lt;data data-version="3" zotero-version="7.0.22"&gt;&lt;session id="60qUdZ4q"/&gt;&lt;style id="http://www.zotero.org/styles/nature" hasBibliography="1" bibliographyStyleHasBeenSet="1"/&gt;&lt;prefs&gt;&lt;pref name="fieldType" value="Field"/&gt;&lt;/prefs&gt;&lt;/data&gt;</vt:lpwstr>
  </property>
</Properties>
</file>