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5BE1A" w14:textId="77777777" w:rsidR="00EF6286" w:rsidRDefault="00EF6286" w:rsidP="00EF6286">
      <w:pPr>
        <w:widowControl/>
        <w:wordWrap/>
        <w:autoSpaceDE/>
        <w:autoSpaceDN/>
        <w:rPr>
          <w:rFonts w:ascii="Times New Roman" w:eastAsiaTheme="majorHAnsi" w:hAnsi="Times New Roman" w:cs="Times New Roman"/>
          <w:b/>
          <w:bCs/>
          <w:sz w:val="22"/>
        </w:rPr>
      </w:pPr>
      <w:r w:rsidRPr="00276FEF">
        <w:rPr>
          <w:rFonts w:ascii="Times New Roman" w:eastAsiaTheme="majorHAnsi" w:hAnsi="Times New Roman" w:cs="Times New Roman"/>
          <w:b/>
          <w:bCs/>
          <w:sz w:val="22"/>
        </w:rPr>
        <w:t>Tables</w:t>
      </w:r>
    </w:p>
    <w:tbl>
      <w:tblPr>
        <w:tblStyle w:val="TableGrid"/>
        <w:tblpPr w:leftFromText="142" w:rightFromText="142" w:vertAnchor="page" w:horzAnchor="margin" w:tblpY="2533"/>
        <w:tblW w:w="1388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0"/>
        <w:gridCol w:w="1585"/>
        <w:gridCol w:w="1586"/>
        <w:gridCol w:w="1513"/>
        <w:gridCol w:w="918"/>
        <w:gridCol w:w="918"/>
        <w:gridCol w:w="918"/>
        <w:gridCol w:w="918"/>
        <w:gridCol w:w="918"/>
        <w:gridCol w:w="923"/>
      </w:tblGrid>
      <w:tr w:rsidR="00EF6286" w:rsidRPr="00BC7DF6" w14:paraId="5E3A7B57" w14:textId="77777777" w:rsidTr="00280681">
        <w:trPr>
          <w:cantSplit/>
          <w:trHeight w:val="287"/>
        </w:trPr>
        <w:tc>
          <w:tcPr>
            <w:tcW w:w="3690" w:type="dxa"/>
            <w:vMerge w:val="restar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091AC71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Identified Proteins</w:t>
            </w:r>
          </w:p>
        </w:tc>
        <w:tc>
          <w:tcPr>
            <w:tcW w:w="3171" w:type="dxa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354501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Accession No.</w:t>
            </w:r>
          </w:p>
        </w:tc>
        <w:tc>
          <w:tcPr>
            <w:tcW w:w="151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914591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Gene</w:t>
            </w:r>
          </w:p>
        </w:tc>
        <w:tc>
          <w:tcPr>
            <w:tcW w:w="275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426A2E4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2759" w:type="dxa"/>
            <w:gridSpan w:val="3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1943EF27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  <w:t>Log₂ Fold Change</w:t>
            </w:r>
          </w:p>
        </w:tc>
      </w:tr>
      <w:tr w:rsidR="00EF6286" w:rsidRPr="00BC7DF6" w14:paraId="6539F465" w14:textId="77777777" w:rsidTr="00280681">
        <w:trPr>
          <w:cantSplit/>
          <w:trHeight w:val="287"/>
        </w:trPr>
        <w:tc>
          <w:tcPr>
            <w:tcW w:w="3690" w:type="dxa"/>
            <w:vMerge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049AA01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171" w:type="dxa"/>
            <w:gridSpan w:val="2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FC198D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</w:p>
        </w:tc>
        <w:tc>
          <w:tcPr>
            <w:tcW w:w="151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6CFA7B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D22CBC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500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0AD914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1,000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369143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2,000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6F6547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500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8CFAAB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1,000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5779583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color w:val="000000"/>
                <w:w w:val="90"/>
                <w:sz w:val="16"/>
                <w:szCs w:val="16"/>
              </w:rPr>
              <w:t>KRG 2,000</w:t>
            </w:r>
          </w:p>
        </w:tc>
      </w:tr>
      <w:tr w:rsidR="00EF6286" w:rsidRPr="00BC7DF6" w14:paraId="19BF230C" w14:textId="77777777" w:rsidTr="00280681">
        <w:trPr>
          <w:cantSplit/>
          <w:trHeight w:val="287"/>
        </w:trPr>
        <w:tc>
          <w:tcPr>
            <w:tcW w:w="3690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14:paraId="7B61AC4A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Serotransferrin</w:t>
            </w:r>
          </w:p>
        </w:tc>
        <w:tc>
          <w:tcPr>
            <w:tcW w:w="158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1B9EC6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P12346</w:t>
            </w:r>
          </w:p>
        </w:tc>
        <w:tc>
          <w:tcPr>
            <w:tcW w:w="158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A6F090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TRFE_RAT</w:t>
            </w:r>
          </w:p>
        </w:tc>
        <w:tc>
          <w:tcPr>
            <w:tcW w:w="151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67AE09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TF</w:t>
            </w:r>
          </w:p>
        </w:tc>
        <w:tc>
          <w:tcPr>
            <w:tcW w:w="9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8C746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55B355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719355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2077C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9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9F6B4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923" w:type="dxa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3BE34AF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0.68</w:t>
            </w:r>
          </w:p>
        </w:tc>
      </w:tr>
      <w:tr w:rsidR="00EF6286" w:rsidRPr="00BC7DF6" w14:paraId="004B797F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54B043DF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Serum albumin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8AAEA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P02770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191D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ALBU_RAT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60110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ALB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38FC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F1A9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BB1C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0EB9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B3C8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7F3DC8C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0.80</w:t>
            </w:r>
          </w:p>
        </w:tc>
      </w:tr>
      <w:tr w:rsidR="00EF6286" w:rsidRPr="00BC7DF6" w14:paraId="5B189FB0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6A80A778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Carboxylic ester hydrolase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5987C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D3ZGK7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7B8DE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D3ZGK7_RAT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C0519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Ces1c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C71D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06B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2CB9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8EE2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5B5B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366851D8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0.41</w:t>
            </w:r>
          </w:p>
        </w:tc>
      </w:tr>
      <w:tr w:rsidR="00EF6286" w:rsidRPr="00BC7DF6" w14:paraId="229B0113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5AB30312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Ig kappa chain C region, A allele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9A51B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P01836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FAEE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KACA_RAT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6F485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　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F692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2116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174A8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51BB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D8C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2A9B4B0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0.56</w:t>
            </w:r>
          </w:p>
        </w:tc>
      </w:tr>
      <w:tr w:rsidR="00EF6286" w:rsidRPr="00BC7DF6" w14:paraId="71FAB6BE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2F84F717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Serine protease inhibitor A3M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8083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F1LR92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11907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F1LR92_RAT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9E799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Serpina3m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6D26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313A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6FEF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0DE4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CA76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17A00C0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0.31</w:t>
            </w:r>
          </w:p>
        </w:tc>
      </w:tr>
      <w:tr w:rsidR="00EF6286" w:rsidRPr="00BC7DF6" w14:paraId="2AF5A336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3A41926E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Thymosin beta-4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B6619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P62329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88247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TYB4_RAT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ADCA6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TMSB4X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F9F1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7774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76F3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0.1500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1EF4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4C13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4D75602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4FDFDD81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2C832490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30 kDa adipocyte complement-related protein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E68E7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Q8K3R4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2F6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Q8K3R4_RAT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72357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Adipoq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3AA08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EBE2F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303A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F7A0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8408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2350051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4FC924F6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5A4186C3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Microfibrillar-associated protein 4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BCC12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D4A7W8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09139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D4A7W8_RAT 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02AD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LOC102553715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8DE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55EC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221A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0AD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8819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157F4D67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EF6286" w:rsidRPr="00BC7DF6" w14:paraId="05C3DC86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729BD937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Phospholipase A2, group VII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909B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Q5M7T7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7941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Q5M7T7_RAT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A116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PLA2G7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B43D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730C7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0.0067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724A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0.0500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C74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7E51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117D0F6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1FB691AF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45EFC3D1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Protein Ugp2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7F92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A0A0G2K542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EFB6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A0A0G2K542_RAT 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07AC3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Ugp2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24F8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0.0046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29D5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B6A5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0.0016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AC9D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D44B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79B13E7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4EE8AA1A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39FFA571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Apolipoprotein B-100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A2B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F1M6Z1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1F976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F1M6Z1_RAT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C04A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APOB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C2E6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CD8D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6BAF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07FC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30FDF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1B34AD4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0.33</w:t>
            </w:r>
          </w:p>
        </w:tc>
      </w:tr>
      <w:tr w:rsidR="00EF6286" w:rsidRPr="00BC7DF6" w14:paraId="09475DF1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4ED28674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Carboxylesterase 1C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CF644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P10959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07EA5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EST1C_RAT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7682B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Ces1c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4068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A1DE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A636F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599D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B2147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0DF84A4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0.37</w:t>
            </w:r>
          </w:p>
        </w:tc>
      </w:tr>
      <w:tr w:rsidR="00EF6286" w:rsidRPr="00BC7DF6" w14:paraId="65EA2E09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11EBA498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Proprotein convertase subtilisin/kexin type 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61DFC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P59996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8F9F5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PCSK9_RAT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9E253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PCSK9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C7E7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B8B4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0.0280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B98B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E3724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1C5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4439512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0.42</w:t>
            </w:r>
          </w:p>
        </w:tc>
      </w:tr>
      <w:tr w:rsidR="00EF6286" w:rsidRPr="00BC7DF6" w14:paraId="3E669FAD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63F5014F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Isoform Gamma-A of Fibrinogen gamma chain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01F12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P02680-2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4DA8B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FIBG_RAT 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0DAA4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FGG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09EB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6BEB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EFDF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0FEB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959A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3DF0151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282C32B4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020874C9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Thyroxine-binding globulin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4FAB2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P35577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23092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THBG_RAT 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E1A78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SERPINA7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47B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EBE7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E3D9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0.0092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D9994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9A6CB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21F0A66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752B6E44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42A1FE34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Apolipoprotein B-100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1F06C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Q7TMA5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14FC6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APOB_RAT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E5863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APOB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B8BD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8FE48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FDEE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0.0250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7407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05145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70EAA792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5477A90A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1E322C01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Apolipoprotein F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EDB3D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Q5M889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D6177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APOF_RAT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0F5CF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APOF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2EF79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9D6A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D0C33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0.0350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9F59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E8AE0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1CD28CFE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F6286" w:rsidRPr="00BC7DF6" w14:paraId="2A768D72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0D9CCA64" w14:textId="77777777" w:rsidR="00EF6286" w:rsidRPr="00BC7DF6" w:rsidRDefault="00EF6286" w:rsidP="00280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Alpha-2-macroglobulin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D0511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P06238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8337E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A2MG_RAT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C4C34" w14:textId="77777777" w:rsidR="00EF6286" w:rsidRPr="00BC7DF6" w:rsidRDefault="00EF6286" w:rsidP="00280681">
            <w:pPr>
              <w:rPr>
                <w:rFonts w:ascii="Times New Roman" w:hAnsi="Times New Roman" w:cs="Times New Roman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A3M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44227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AB526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44A9F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F8B1C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86061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25362D5A" w14:textId="77777777" w:rsidR="00EF6286" w:rsidRPr="00BC7DF6" w:rsidRDefault="00EF6286" w:rsidP="002806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0.61</w:t>
            </w:r>
          </w:p>
        </w:tc>
      </w:tr>
      <w:tr w:rsidR="00EF6286" w:rsidRPr="00BC7DF6" w14:paraId="673532B7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211D0749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Protein Pltp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D5030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E9PSP1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A2505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E9PSP1_RAT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AF3BA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Pltf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50847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B603D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7D2D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02AF2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C392B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6719E363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0.40</w:t>
            </w:r>
          </w:p>
        </w:tc>
      </w:tr>
      <w:tr w:rsidR="00EF6286" w:rsidRPr="00BC7DF6" w14:paraId="0EDD5D7B" w14:textId="77777777" w:rsidTr="00280681">
        <w:trPr>
          <w:cantSplit/>
          <w:trHeight w:val="287"/>
        </w:trPr>
        <w:tc>
          <w:tcPr>
            <w:tcW w:w="3690" w:type="dxa"/>
            <w:tcBorders>
              <w:top w:val="nil"/>
              <w:bottom w:val="nil"/>
              <w:right w:val="nil"/>
            </w:tcBorders>
            <w:vAlign w:val="center"/>
          </w:tcPr>
          <w:p w14:paraId="7EE789F1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SPARC-like protein 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3DF3C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P24054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BDDE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 xml:space="preserve">SPRL1_RAT 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BA28C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Sparcl1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7B7D8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0.0009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48AFF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534F3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0.0019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D1FBA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6E70F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</w:tcBorders>
            <w:vAlign w:val="center"/>
          </w:tcPr>
          <w:p w14:paraId="511ADEAC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0.27</w:t>
            </w:r>
          </w:p>
        </w:tc>
      </w:tr>
      <w:tr w:rsidR="00EF6286" w:rsidRPr="00BC7DF6" w14:paraId="4C6F5D62" w14:textId="77777777" w:rsidTr="00280681">
        <w:trPr>
          <w:cantSplit/>
          <w:trHeight w:val="54"/>
        </w:trPr>
        <w:tc>
          <w:tcPr>
            <w:tcW w:w="3690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D57E7DC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Fibrinogen beta chain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66DB43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P14480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F641E0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FIBB_RAT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4A127C" w14:textId="77777777" w:rsidR="00EF6286" w:rsidRPr="00BC7DF6" w:rsidRDefault="00EF6286" w:rsidP="00280681">
            <w:pPr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w w:val="90"/>
                <w:sz w:val="18"/>
                <w:szCs w:val="18"/>
              </w:rPr>
              <w:t>FGB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B3C5EF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BD4615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364873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color w:val="000000"/>
                <w:sz w:val="18"/>
                <w:szCs w:val="18"/>
              </w:rPr>
              <w:t>&lt; 0.0001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866627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09C21B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66685AC6" w14:textId="77777777" w:rsidR="00EF6286" w:rsidRPr="00BC7DF6" w:rsidRDefault="00EF6286" w:rsidP="00280681">
            <w:pPr>
              <w:jc w:val="center"/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</w:pPr>
            <w:r w:rsidRPr="00BC7DF6">
              <w:rPr>
                <w:rFonts w:ascii="Times New Roman" w:hAnsi="Times New Roman" w:cs="Times New Roman"/>
                <w:color w:val="46464A"/>
                <w:shd w:val="clear" w:color="auto" w:fill="FFFFFF"/>
              </w:rPr>
              <w:t>−</w:t>
            </w:r>
            <w:r w:rsidRPr="00BC7DF6">
              <w:rPr>
                <w:rFonts w:ascii="Times New Roman" w:eastAsia="Malgun Gothic" w:hAnsi="Times New Roman" w:cs="Times New Roman"/>
                <w:color w:val="000000"/>
                <w:sz w:val="16"/>
                <w:szCs w:val="16"/>
              </w:rPr>
              <w:t>0.39</w:t>
            </w:r>
          </w:p>
        </w:tc>
      </w:tr>
    </w:tbl>
    <w:p w14:paraId="675E5151" w14:textId="77777777" w:rsidR="00EF6286" w:rsidRPr="00C256F1" w:rsidRDefault="00EF6286" w:rsidP="00EF6286">
      <w:pPr>
        <w:spacing w:before="240" w:line="36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C256F1">
        <w:rPr>
          <w:rFonts w:ascii="Times New Roman" w:hAnsi="Times New Roman" w:cs="Times New Roman"/>
          <w:b/>
          <w:bCs/>
          <w:sz w:val="22"/>
          <w:szCs w:val="24"/>
        </w:rPr>
        <w:t xml:space="preserve">Table 1. </w:t>
      </w:r>
      <w:r w:rsidRPr="00C256F1">
        <w:rPr>
          <w:rFonts w:ascii="Times New Roman" w:hAnsi="Times New Roman" w:cs="Times New Roman"/>
          <w:sz w:val="22"/>
          <w:szCs w:val="24"/>
        </w:rPr>
        <w:t xml:space="preserve">(a) </w:t>
      </w:r>
      <w:r w:rsidRPr="00C256F1">
        <w:rPr>
          <w:rFonts w:ascii="Times New Roman" w:eastAsiaTheme="majorHAnsi" w:hAnsi="Times New Roman" w:cs="Times New Roman"/>
          <w:sz w:val="22"/>
        </w:rPr>
        <w:t>Representatives of selected DEPs in the sera-treated rat model.</w:t>
      </w:r>
    </w:p>
    <w:p w14:paraId="28626CAA" w14:textId="77777777" w:rsidR="00EF6286" w:rsidRDefault="00EF6286" w:rsidP="00EF6286">
      <w:pPr>
        <w:spacing w:line="480" w:lineRule="auto"/>
        <w:rPr>
          <w:rFonts w:ascii="Times New Roman" w:eastAsiaTheme="majorHAnsi" w:hAnsi="Times New Roman" w:cs="Times New Roman"/>
          <w:b/>
          <w:bCs/>
          <w:sz w:val="22"/>
        </w:rPr>
      </w:pPr>
      <w:r w:rsidRPr="00BC7DF6">
        <w:rPr>
          <w:rFonts w:ascii="Times New Roman" w:eastAsiaTheme="majorHAnsi" w:hAnsi="Times New Roman" w:cs="Times New Roman"/>
          <w:sz w:val="22"/>
        </w:rPr>
        <w:t>|log</w:t>
      </w:r>
      <w:r w:rsidRPr="00BC7DF6">
        <w:rPr>
          <w:rFonts w:ascii="Times New Roman" w:eastAsiaTheme="majorHAnsi" w:hAnsi="Times New Roman" w:cs="Times New Roman"/>
          <w:sz w:val="22"/>
          <w:vertAlign w:val="subscript"/>
        </w:rPr>
        <w:t>2</w:t>
      </w:r>
      <w:r w:rsidRPr="00BC7DF6">
        <w:rPr>
          <w:rFonts w:ascii="Times New Roman" w:eastAsiaTheme="majorHAnsi" w:hAnsi="Times New Roman" w:cs="Times New Roman"/>
          <w:sz w:val="22"/>
        </w:rPr>
        <w:t>(</w:t>
      </w:r>
      <w:r w:rsidRPr="00BC7DF6">
        <w:rPr>
          <w:rFonts w:ascii="Times New Roman" w:eastAsiaTheme="majorHAnsi" w:hAnsi="Times New Roman" w:cs="Times New Roman"/>
          <w:i/>
          <w:iCs/>
          <w:sz w:val="22"/>
        </w:rPr>
        <w:t>x</w:t>
      </w:r>
      <w:r w:rsidRPr="00BC7DF6">
        <w:rPr>
          <w:rFonts w:ascii="Times New Roman" w:eastAsiaTheme="majorHAnsi" w:hAnsi="Times New Roman" w:cs="Times New Roman"/>
          <w:sz w:val="22"/>
        </w:rPr>
        <w:t>)| value = Log</w:t>
      </w:r>
      <w:r w:rsidRPr="00BC7DF6">
        <w:rPr>
          <w:rFonts w:ascii="Times New Roman" w:eastAsiaTheme="majorHAnsi" w:hAnsi="Times New Roman" w:cs="Times New Roman"/>
          <w:sz w:val="22"/>
          <w:vertAlign w:val="subscript"/>
        </w:rPr>
        <w:t>2</w:t>
      </w:r>
      <w:r w:rsidRPr="00BC7DF6">
        <w:rPr>
          <w:rFonts w:ascii="Times New Roman" w:eastAsiaTheme="majorHAnsi" w:hAnsi="Times New Roman" w:cs="Times New Roman"/>
          <w:sz w:val="22"/>
        </w:rPr>
        <w:t xml:space="preserve"> fold change (FC) of the concentration among 500, 1,000, and 2,000 mg/kg, respectively. Proteins that showed greater |log2x| values than 0.2 in the sera, compared to the control (0 mg/kg), were included. These proteins exhibit the same increase or decrease tendency within at least 2 different concentrations among 500, 1,000, and 2,000 mg/kg (Mann–Whitney test </w:t>
      </w:r>
      <w:r w:rsidRPr="00BC7DF6">
        <w:rPr>
          <w:rFonts w:ascii="Times New Roman" w:eastAsiaTheme="majorHAnsi" w:hAnsi="Times New Roman" w:cs="Times New Roman"/>
          <w:i/>
          <w:iCs/>
          <w:sz w:val="22"/>
        </w:rPr>
        <w:t>p</w:t>
      </w:r>
      <w:r w:rsidRPr="00BC7DF6">
        <w:rPr>
          <w:rFonts w:ascii="Times New Roman" w:eastAsiaTheme="majorHAnsi" w:hAnsi="Times New Roman" w:cs="Times New Roman"/>
          <w:sz w:val="22"/>
        </w:rPr>
        <w:t xml:space="preserve"> &lt; 0.01).</w:t>
      </w:r>
    </w:p>
    <w:tbl>
      <w:tblPr>
        <w:tblpPr w:leftFromText="180" w:rightFromText="180" w:vertAnchor="text" w:horzAnchor="margin" w:tblpY="601"/>
        <w:tblW w:w="1365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2001"/>
        <w:gridCol w:w="2354"/>
        <w:gridCol w:w="1030"/>
        <w:gridCol w:w="942"/>
        <w:gridCol w:w="4207"/>
      </w:tblGrid>
      <w:tr w:rsidR="00EF6286" w:rsidRPr="00BC7DF6" w14:paraId="70C37E85" w14:textId="77777777" w:rsidTr="00280681">
        <w:trPr>
          <w:trHeight w:val="547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2EF803C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Disease and Disorder</w:t>
            </w:r>
          </w:p>
        </w:tc>
        <w:tc>
          <w:tcPr>
            <w:tcW w:w="20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9176CC5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-Value Range</w:t>
            </w:r>
          </w:p>
        </w:tc>
        <w:tc>
          <w:tcPr>
            <w:tcW w:w="23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2B4756B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Related Function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0095805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-Value</w:t>
            </w:r>
          </w:p>
        </w:tc>
        <w:tc>
          <w:tcPr>
            <w:tcW w:w="9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82A2F8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  <w:t>Z-Score</w:t>
            </w:r>
          </w:p>
        </w:tc>
        <w:tc>
          <w:tcPr>
            <w:tcW w:w="42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BB2ADD4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  <w:t>Proteins</w:t>
            </w:r>
          </w:p>
        </w:tc>
      </w:tr>
      <w:tr w:rsidR="00EF6286" w:rsidRPr="00BC7DF6" w14:paraId="3B957954" w14:textId="77777777" w:rsidTr="00280681">
        <w:trPr>
          <w:trHeight w:val="547"/>
        </w:trPr>
        <w:tc>
          <w:tcPr>
            <w:tcW w:w="311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D9B2B9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Cardiovascular disease</w:t>
            </w:r>
          </w:p>
        </w:tc>
        <w:tc>
          <w:tcPr>
            <w:tcW w:w="2001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AA272B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4.75×10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−2</w:t>
            </w: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 xml:space="preserve"> – 1.52×10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−10</w:t>
            </w:r>
          </w:p>
        </w:tc>
        <w:tc>
          <w:tcPr>
            <w:tcW w:w="235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AD6CCB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Hyperlipidemia</w:t>
            </w:r>
          </w:p>
        </w:tc>
        <w:tc>
          <w:tcPr>
            <w:tcW w:w="103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338F3A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3.27×10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−5</w:t>
            </w:r>
          </w:p>
        </w:tc>
        <w:tc>
          <w:tcPr>
            <w:tcW w:w="94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0A51B4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−1.067</w:t>
            </w:r>
          </w:p>
        </w:tc>
        <w:tc>
          <w:tcPr>
            <w:tcW w:w="420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9ED31A0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APOB, PCSK9, PLA2G7, PLTP</w:t>
            </w:r>
          </w:p>
        </w:tc>
      </w:tr>
      <w:tr w:rsidR="00EF6286" w:rsidRPr="00BC7DF6" w14:paraId="58FE4658" w14:textId="77777777" w:rsidTr="00280681">
        <w:trPr>
          <w:trHeight w:val="547"/>
        </w:trPr>
        <w:tc>
          <w:tcPr>
            <w:tcW w:w="3119" w:type="dxa"/>
            <w:vMerge/>
            <w:shd w:val="clear" w:color="auto" w:fill="auto"/>
            <w:noWrap/>
            <w:vAlign w:val="center"/>
            <w:hideMark/>
          </w:tcPr>
          <w:p w14:paraId="705C59D0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14:paraId="21EE79A6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54BD9D29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Occlusion of artery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09430F28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4.75×10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−5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6CA91C2A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−0.517</w:t>
            </w:r>
          </w:p>
        </w:tc>
        <w:tc>
          <w:tcPr>
            <w:tcW w:w="4207" w:type="dxa"/>
            <w:shd w:val="clear" w:color="auto" w:fill="auto"/>
            <w:vAlign w:val="center"/>
            <w:hideMark/>
          </w:tcPr>
          <w:p w14:paraId="2EAA5EA9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ALB, APOB, FGB, FGG, PCSK9, PLA2G7 PLTP, TF</w:t>
            </w:r>
          </w:p>
        </w:tc>
      </w:tr>
      <w:tr w:rsidR="00EF6286" w:rsidRPr="00BC7DF6" w14:paraId="5C3AC071" w14:textId="77777777" w:rsidTr="00280681">
        <w:trPr>
          <w:trHeight w:val="547"/>
        </w:trPr>
        <w:tc>
          <w:tcPr>
            <w:tcW w:w="3119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DD8CB7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6C0DCA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59D8E5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Atherosclerosis</w:t>
            </w:r>
          </w:p>
        </w:tc>
        <w:tc>
          <w:tcPr>
            <w:tcW w:w="10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E2B337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3.27×10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−5</w:t>
            </w:r>
          </w:p>
        </w:tc>
        <w:tc>
          <w:tcPr>
            <w:tcW w:w="94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021FB8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−0.517</w:t>
            </w:r>
          </w:p>
        </w:tc>
        <w:tc>
          <w:tcPr>
            <w:tcW w:w="420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87AE68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ALB, APOB, PCSK9, PLA2G7, PLTP, TF</w:t>
            </w:r>
          </w:p>
        </w:tc>
      </w:tr>
      <w:tr w:rsidR="00EF6286" w:rsidRPr="00BC7DF6" w14:paraId="48E04754" w14:textId="77777777" w:rsidTr="00280681">
        <w:trPr>
          <w:trHeight w:val="547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F5A822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Molecular and Cellular Functions</w:t>
            </w:r>
          </w:p>
        </w:tc>
        <w:tc>
          <w:tcPr>
            <w:tcW w:w="20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400E92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-Value Range</w:t>
            </w:r>
          </w:p>
        </w:tc>
        <w:tc>
          <w:tcPr>
            <w:tcW w:w="23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7BD84D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Related Function</w:t>
            </w:r>
          </w:p>
        </w:tc>
        <w:tc>
          <w:tcPr>
            <w:tcW w:w="10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25ACC2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-Value</w:t>
            </w:r>
          </w:p>
        </w:tc>
        <w:tc>
          <w:tcPr>
            <w:tcW w:w="94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615D75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  <w:t>Z-Score</w:t>
            </w:r>
          </w:p>
        </w:tc>
        <w:tc>
          <w:tcPr>
            <w:tcW w:w="42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F4AEFDA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  <w:t>Proteins</w:t>
            </w:r>
          </w:p>
        </w:tc>
      </w:tr>
      <w:tr w:rsidR="00EF6286" w:rsidRPr="00BC7DF6" w14:paraId="16CB34A9" w14:textId="77777777" w:rsidTr="00280681">
        <w:trPr>
          <w:trHeight w:val="547"/>
        </w:trPr>
        <w:tc>
          <w:tcPr>
            <w:tcW w:w="3119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1D2B48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Lipid metabolism</w:t>
            </w:r>
          </w:p>
        </w:tc>
        <w:tc>
          <w:tcPr>
            <w:tcW w:w="2001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124F81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4.75×10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−2</w:t>
            </w: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 xml:space="preserve"> – 1.52×10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−10</w:t>
            </w:r>
          </w:p>
        </w:tc>
        <w:tc>
          <w:tcPr>
            <w:tcW w:w="235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810CB6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Quantity of steroid</w:t>
            </w:r>
          </w:p>
        </w:tc>
        <w:tc>
          <w:tcPr>
            <w:tcW w:w="103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17DE7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3.23×10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−4</w:t>
            </w:r>
          </w:p>
        </w:tc>
        <w:tc>
          <w:tcPr>
            <w:tcW w:w="94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D7F450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−1.324</w:t>
            </w:r>
          </w:p>
        </w:tc>
        <w:tc>
          <w:tcPr>
            <w:tcW w:w="4207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DC48266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ALB, APOB, PCSK9, PLA2G7, PLTP</w:t>
            </w:r>
          </w:p>
        </w:tc>
      </w:tr>
      <w:tr w:rsidR="00EF6286" w:rsidRPr="00BC7DF6" w14:paraId="25E7BB7D" w14:textId="77777777" w:rsidTr="00280681">
        <w:trPr>
          <w:trHeight w:val="547"/>
        </w:trPr>
        <w:tc>
          <w:tcPr>
            <w:tcW w:w="3119" w:type="dxa"/>
            <w:vMerge/>
            <w:shd w:val="clear" w:color="auto" w:fill="auto"/>
            <w:noWrap/>
            <w:vAlign w:val="center"/>
            <w:hideMark/>
          </w:tcPr>
          <w:p w14:paraId="0CAFF451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shd w:val="clear" w:color="auto" w:fill="auto"/>
            <w:noWrap/>
            <w:vAlign w:val="center"/>
            <w:hideMark/>
          </w:tcPr>
          <w:p w14:paraId="553C6E63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4" w:type="dxa"/>
            <w:shd w:val="clear" w:color="auto" w:fill="auto"/>
            <w:noWrap/>
            <w:vAlign w:val="center"/>
            <w:hideMark/>
          </w:tcPr>
          <w:p w14:paraId="0A63B731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Hyperlipidemia</w:t>
            </w:r>
          </w:p>
        </w:tc>
        <w:tc>
          <w:tcPr>
            <w:tcW w:w="1030" w:type="dxa"/>
            <w:shd w:val="clear" w:color="auto" w:fill="auto"/>
            <w:noWrap/>
            <w:vAlign w:val="center"/>
            <w:hideMark/>
          </w:tcPr>
          <w:p w14:paraId="2E778381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3.27×10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−5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14:paraId="39FCC840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−1.067</w:t>
            </w:r>
          </w:p>
        </w:tc>
        <w:tc>
          <w:tcPr>
            <w:tcW w:w="4207" w:type="dxa"/>
            <w:shd w:val="clear" w:color="auto" w:fill="auto"/>
            <w:vAlign w:val="center"/>
            <w:hideMark/>
          </w:tcPr>
          <w:p w14:paraId="319B17AB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APOB, PCSK9, PLA2G7, PLTP</w:t>
            </w:r>
          </w:p>
        </w:tc>
      </w:tr>
      <w:tr w:rsidR="00EF6286" w:rsidRPr="00BC7DF6" w14:paraId="30DAE5BB" w14:textId="77777777" w:rsidTr="00280681">
        <w:trPr>
          <w:trHeight w:val="547"/>
        </w:trPr>
        <w:tc>
          <w:tcPr>
            <w:tcW w:w="3119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105F03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1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19BD32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7C0F76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Concentration of cholesterol</w:t>
            </w:r>
          </w:p>
        </w:tc>
        <w:tc>
          <w:tcPr>
            <w:tcW w:w="10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6A1C14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5.90×10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−4</w:t>
            </w:r>
          </w:p>
        </w:tc>
        <w:tc>
          <w:tcPr>
            <w:tcW w:w="942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C3E88F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−1.045</w:t>
            </w:r>
          </w:p>
        </w:tc>
        <w:tc>
          <w:tcPr>
            <w:tcW w:w="4207" w:type="dxa"/>
            <w:tcBorders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0BD7FC0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  <w:t>ADIPOQ, APOB, PCSK9, PLA2G8, PLTP</w:t>
            </w:r>
          </w:p>
        </w:tc>
      </w:tr>
      <w:tr w:rsidR="00EF6286" w:rsidRPr="00BC7DF6" w14:paraId="7BC391EA" w14:textId="77777777" w:rsidTr="00280681">
        <w:trPr>
          <w:trHeight w:val="547"/>
        </w:trPr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AC0FDF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Top ML Disease Pathway</w:t>
            </w:r>
          </w:p>
        </w:tc>
        <w:tc>
          <w:tcPr>
            <w:tcW w:w="20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BE9CF27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-Value</w:t>
            </w:r>
          </w:p>
        </w:tc>
        <w:tc>
          <w:tcPr>
            <w:tcW w:w="4326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3BCEFA6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Expected Regulation</w:t>
            </w:r>
          </w:p>
        </w:tc>
        <w:tc>
          <w:tcPr>
            <w:tcW w:w="42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427D08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b/>
                <w:bCs/>
                <w:sz w:val="18"/>
                <w:szCs w:val="18"/>
              </w:rPr>
              <w:t>Proteins</w:t>
            </w:r>
          </w:p>
        </w:tc>
      </w:tr>
      <w:tr w:rsidR="00EF6286" w:rsidRPr="00BC7DF6" w14:paraId="62B9A738" w14:textId="77777777" w:rsidTr="00280681">
        <w:trPr>
          <w:trHeight w:val="547"/>
        </w:trPr>
        <w:tc>
          <w:tcPr>
            <w:tcW w:w="3119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8C1C182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200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C2969AC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7.95×10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−7</w:t>
            </w:r>
          </w:p>
        </w:tc>
        <w:tc>
          <w:tcPr>
            <w:tcW w:w="4326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BC7D655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downregulated`</w:t>
            </w:r>
          </w:p>
        </w:tc>
        <w:tc>
          <w:tcPr>
            <w:tcW w:w="420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765577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sz w:val="18"/>
                <w:szCs w:val="18"/>
              </w:rPr>
              <w:t>APOB, PCSK9, PLT</w:t>
            </w:r>
          </w:p>
        </w:tc>
      </w:tr>
      <w:tr w:rsidR="00EF6286" w:rsidRPr="00BC7DF6" w14:paraId="6A9E4FC2" w14:textId="77777777" w:rsidTr="00280681">
        <w:trPr>
          <w:trHeight w:val="547"/>
        </w:trPr>
        <w:tc>
          <w:tcPr>
            <w:tcW w:w="311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7510C41" w14:textId="77777777" w:rsidR="00EF6286" w:rsidRPr="00BC7DF6" w:rsidRDefault="00EF6286" w:rsidP="00280681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Hyperlipidemia</w:t>
            </w:r>
          </w:p>
        </w:tc>
        <w:tc>
          <w:tcPr>
            <w:tcW w:w="200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B4FC539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836×10</w:t>
            </w:r>
            <w:r w:rsidRPr="00BC7DF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−6</w:t>
            </w:r>
          </w:p>
        </w:tc>
        <w:tc>
          <w:tcPr>
            <w:tcW w:w="4326" w:type="dxa"/>
            <w:gridSpan w:val="3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E4DEA9B" w14:textId="77777777" w:rsidR="00EF6286" w:rsidRPr="00BC7DF6" w:rsidRDefault="00EF6286" w:rsidP="00280681">
            <w:pPr>
              <w:pStyle w:val="NoSpacing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C7DF6">
              <w:rPr>
                <w:rFonts w:ascii="Times New Roman" w:hAnsi="Times New Roman" w:cs="Times New Roman"/>
                <w:sz w:val="18"/>
                <w:szCs w:val="18"/>
              </w:rPr>
              <w:t>downregulated</w:t>
            </w:r>
          </w:p>
        </w:tc>
        <w:tc>
          <w:tcPr>
            <w:tcW w:w="420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2E206A" w14:textId="77777777" w:rsidR="00EF6286" w:rsidRPr="00BC7DF6" w:rsidRDefault="00EF6286" w:rsidP="0028068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 w:val="18"/>
                <w:szCs w:val="18"/>
              </w:rPr>
            </w:pPr>
            <w:r w:rsidRPr="00BC7DF6">
              <w:rPr>
                <w:rFonts w:ascii="Times New Roman" w:eastAsia="Malgun Gothic" w:hAnsi="Times New Roman" w:cs="Times New Roman"/>
                <w:sz w:val="18"/>
                <w:szCs w:val="18"/>
              </w:rPr>
              <w:t>APOB, PCSK9</w:t>
            </w:r>
          </w:p>
        </w:tc>
      </w:tr>
    </w:tbl>
    <w:p w14:paraId="5666A9BB" w14:textId="77777777" w:rsidR="00EF6286" w:rsidRPr="00BC7DF6" w:rsidRDefault="00EF6286" w:rsidP="00EF6286">
      <w:pPr>
        <w:spacing w:after="0" w:line="480" w:lineRule="auto"/>
        <w:jc w:val="left"/>
        <w:rPr>
          <w:rFonts w:ascii="Times New Roman" w:eastAsiaTheme="majorHAnsi" w:hAnsi="Times New Roman" w:cs="Times New Roman"/>
          <w:sz w:val="22"/>
        </w:rPr>
      </w:pPr>
      <w:r w:rsidRPr="00BC7DF6">
        <w:rPr>
          <w:rFonts w:ascii="Times New Roman" w:hAnsi="Times New Roman" w:cs="Times New Roman"/>
          <w:b/>
          <w:bCs/>
          <w:sz w:val="22"/>
        </w:rPr>
        <w:t>Table 1</w:t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t>.</w:t>
      </w:r>
      <w:r w:rsidRPr="00BC7DF6">
        <w:rPr>
          <w:rFonts w:ascii="Times New Roman" w:eastAsiaTheme="majorHAnsi" w:hAnsi="Times New Roman" w:cs="Times New Roman"/>
          <w:sz w:val="22"/>
        </w:rPr>
        <w:t xml:space="preserve"> (b) Functional annotations of proteins in Table 1. a. that were obtained from IPA.</w:t>
      </w:r>
    </w:p>
    <w:p w14:paraId="3B8A461F" w14:textId="77777777" w:rsidR="00EF6286" w:rsidRPr="00BC7DF6" w:rsidRDefault="00EF6286" w:rsidP="00EF6286">
      <w:pPr>
        <w:spacing w:after="0" w:line="480" w:lineRule="auto"/>
        <w:rPr>
          <w:rFonts w:ascii="Times New Roman" w:eastAsiaTheme="majorHAnsi" w:hAnsi="Times New Roman" w:cs="Times New Roman"/>
          <w:sz w:val="22"/>
        </w:rPr>
      </w:pPr>
      <w:r w:rsidRPr="00BC7DF6">
        <w:rPr>
          <w:rFonts w:ascii="Times New Roman" w:eastAsiaTheme="majorHAnsi" w:hAnsi="Times New Roman" w:cs="Times New Roman"/>
          <w:sz w:val="22"/>
        </w:rPr>
        <w:t xml:space="preserve">The </w:t>
      </w:r>
      <w:r w:rsidRPr="00BC7DF6">
        <w:rPr>
          <w:rFonts w:ascii="Times New Roman" w:eastAsiaTheme="majorHAnsi" w:hAnsi="Times New Roman" w:cs="Times New Roman"/>
          <w:i/>
          <w:iCs/>
          <w:sz w:val="22"/>
        </w:rPr>
        <w:t>p</w:t>
      </w:r>
      <w:r w:rsidRPr="00BC7DF6">
        <w:rPr>
          <w:rFonts w:ascii="Times New Roman" w:eastAsiaTheme="majorHAnsi" w:hAnsi="Times New Roman" w:cs="Times New Roman"/>
          <w:sz w:val="22"/>
        </w:rPr>
        <w:t xml:space="preserve">-value represents the probability of associated molecules appearing in experimental data sets by chance. The Z-score is a statistical measure of the match between expected relations and observed protein expression. It also indicates an overall increase (+) or decrease (−) of identified proteins in the IPA database (Mann–Whitney test </w:t>
      </w:r>
      <w:r w:rsidRPr="00BC7DF6">
        <w:rPr>
          <w:rFonts w:ascii="Times New Roman" w:eastAsiaTheme="majorHAnsi" w:hAnsi="Times New Roman" w:cs="Times New Roman"/>
          <w:i/>
          <w:iCs/>
          <w:sz w:val="22"/>
        </w:rPr>
        <w:t>p</w:t>
      </w:r>
      <w:r w:rsidRPr="00BC7DF6">
        <w:rPr>
          <w:rFonts w:ascii="Times New Roman" w:eastAsiaTheme="majorHAnsi" w:hAnsi="Times New Roman" w:cs="Times New Roman"/>
          <w:sz w:val="22"/>
        </w:rPr>
        <w:t xml:space="preserve"> &lt; 0.01).</w:t>
      </w:r>
    </w:p>
    <w:p w14:paraId="42B0EF46" w14:textId="77777777" w:rsidR="00EF6286" w:rsidRPr="00BC7DF6" w:rsidRDefault="00EF6286" w:rsidP="00EF6286">
      <w:pPr>
        <w:spacing w:line="480" w:lineRule="auto"/>
        <w:rPr>
          <w:rFonts w:ascii="Times New Roman" w:eastAsiaTheme="majorHAnsi" w:hAnsi="Times New Roman" w:cs="Times New Roman"/>
          <w:sz w:val="22"/>
        </w:rPr>
      </w:pPr>
      <w:r w:rsidRPr="00BC7DF6">
        <w:rPr>
          <w:rFonts w:ascii="Times New Roman" w:eastAsiaTheme="majorHAnsi" w:hAnsi="Times New Roman" w:cs="Times New Roman"/>
          <w:b/>
          <w:bCs/>
          <w:sz w:val="22"/>
        </w:rPr>
        <w:fldChar w:fldCharType="begin"/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instrText xml:space="preserve"> ADDIN </w:instrText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fldChar w:fldCharType="end"/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fldChar w:fldCharType="begin"/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instrText xml:space="preserve"> ADDIN </w:instrText>
      </w:r>
      <w:r w:rsidRPr="00BC7DF6">
        <w:rPr>
          <w:rFonts w:ascii="Times New Roman" w:eastAsiaTheme="majorHAnsi" w:hAnsi="Times New Roman" w:cs="Times New Roman"/>
          <w:b/>
          <w:bCs/>
          <w:sz w:val="22"/>
        </w:rPr>
        <w:fldChar w:fldCharType="end"/>
      </w:r>
    </w:p>
    <w:p w14:paraId="05315577" w14:textId="77777777" w:rsidR="00865217" w:rsidRDefault="00865217"/>
    <w:sectPr w:rsidR="00865217" w:rsidSect="00EF6286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286"/>
    <w:rsid w:val="002E281E"/>
    <w:rsid w:val="003201BB"/>
    <w:rsid w:val="00865217"/>
    <w:rsid w:val="00BE5CF0"/>
    <w:rsid w:val="00EF6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6443D"/>
  <w15:chartTrackingRefBased/>
  <w15:docId w15:val="{646487AD-6B9E-4CC6-B2B9-8D1D61EF9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286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286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286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286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6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286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6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286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6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286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6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28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28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F6286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table" w:styleId="TableGrid">
    <w:name w:val="Table Grid"/>
    <w:basedOn w:val="TableNormal"/>
    <w:uiPriority w:val="39"/>
    <w:rsid w:val="00EF6286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565</Words>
  <Characters>3226</Characters>
  <Application>Microsoft Office Word</Application>
  <DocSecurity>0</DocSecurity>
  <Lines>26</Lines>
  <Paragraphs>7</Paragraphs>
  <ScaleCrop>false</ScaleCrop>
  <Company>Springer Nature</Company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2025-06-18T21:19:00Z</dcterms:created>
  <dcterms:modified xsi:type="dcterms:W3CDTF">2025-06-18T21:20:00Z</dcterms:modified>
</cp:coreProperties>
</file>