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A06D" w14:textId="5947E3D6" w:rsidR="1CEF10CB" w:rsidRPr="00FF49CF" w:rsidRDefault="00A56B2F" w:rsidP="17D9FF5F">
      <w:pPr>
        <w:rPr>
          <w:rFonts w:ascii="Calibri" w:eastAsia="Times New Roman" w:hAnsi="Calibri" w:cs="Calibri"/>
          <w:b/>
          <w:bCs/>
        </w:rPr>
      </w:pPr>
      <w:r w:rsidRPr="00FF49CF">
        <w:rPr>
          <w:rFonts w:ascii="Calibri" w:eastAsia="Times New Roman" w:hAnsi="Calibri" w:cs="Calibri"/>
          <w:b/>
          <w:bCs/>
        </w:rPr>
        <w:t xml:space="preserve">Supplemental </w:t>
      </w:r>
      <w:r w:rsidR="1CEF10CB" w:rsidRPr="00FF49CF">
        <w:rPr>
          <w:rFonts w:ascii="Calibri" w:eastAsia="Times New Roman" w:hAnsi="Calibri" w:cs="Calibri"/>
          <w:b/>
          <w:bCs/>
        </w:rPr>
        <w:t xml:space="preserve">Table </w:t>
      </w:r>
      <w:r w:rsidRPr="00FF49CF">
        <w:rPr>
          <w:rFonts w:ascii="Calibri" w:eastAsia="Times New Roman" w:hAnsi="Calibri" w:cs="Calibri"/>
          <w:b/>
          <w:bCs/>
        </w:rPr>
        <w:t>1</w:t>
      </w:r>
      <w:r w:rsidR="1CEF10CB" w:rsidRPr="00FF49CF">
        <w:rPr>
          <w:rFonts w:ascii="Calibri" w:eastAsia="Times New Roman" w:hAnsi="Calibri" w:cs="Calibri"/>
          <w:b/>
          <w:bCs/>
        </w:rPr>
        <w:t xml:space="preserve">. </w:t>
      </w:r>
      <w:r w:rsidR="00DB3A08" w:rsidRPr="00FF49CF">
        <w:rPr>
          <w:rFonts w:ascii="Calibri" w:eastAsia="Times New Roman" w:hAnsi="Calibri" w:cs="Calibri"/>
          <w:b/>
          <w:bCs/>
        </w:rPr>
        <w:t>List of primers used.</w:t>
      </w:r>
    </w:p>
    <w:tbl>
      <w:tblPr>
        <w:tblStyle w:val="TableGrid"/>
        <w:tblW w:w="9484" w:type="dxa"/>
        <w:tblLayout w:type="fixed"/>
        <w:tblLook w:val="06A0" w:firstRow="1" w:lastRow="0" w:firstColumn="1" w:lastColumn="0" w:noHBand="1" w:noVBand="1"/>
      </w:tblPr>
      <w:tblGrid>
        <w:gridCol w:w="1271"/>
        <w:gridCol w:w="1134"/>
        <w:gridCol w:w="3969"/>
        <w:gridCol w:w="3110"/>
      </w:tblGrid>
      <w:tr w:rsidR="17D9FF5F" w14:paraId="40575A39" w14:textId="77777777" w:rsidTr="00114DD8">
        <w:trPr>
          <w:trHeight w:val="300"/>
        </w:trPr>
        <w:tc>
          <w:tcPr>
            <w:tcW w:w="1271" w:type="dxa"/>
          </w:tcPr>
          <w:p w14:paraId="5DA7B236" w14:textId="42F2CF91" w:rsidR="17D9FF5F" w:rsidRPr="00FF49CF" w:rsidRDefault="31BC585F" w:rsidP="2C1D39A6">
            <w:pPr>
              <w:rPr>
                <w:rFonts w:ascii="Calibri" w:eastAsia="Times New Roman" w:hAnsi="Calibri" w:cs="Calibri"/>
                <w:b/>
                <w:bCs/>
              </w:rPr>
            </w:pPr>
            <w:r w:rsidRPr="00FF49CF">
              <w:rPr>
                <w:rFonts w:ascii="Calibri" w:eastAsia="Times New Roman" w:hAnsi="Calibri" w:cs="Calibri"/>
                <w:b/>
                <w:bCs/>
              </w:rPr>
              <w:t xml:space="preserve">Gene </w:t>
            </w:r>
          </w:p>
        </w:tc>
        <w:tc>
          <w:tcPr>
            <w:tcW w:w="1134" w:type="dxa"/>
          </w:tcPr>
          <w:p w14:paraId="318F5A6D" w14:textId="14C94EA1" w:rsidR="4C43718C" w:rsidRPr="00FF49CF" w:rsidRDefault="4C43718C" w:rsidP="2C1D39A6">
            <w:pPr>
              <w:rPr>
                <w:rFonts w:ascii="Calibri" w:eastAsia="Times New Roman" w:hAnsi="Calibri" w:cs="Calibri"/>
                <w:b/>
                <w:bCs/>
              </w:rPr>
            </w:pPr>
            <w:r w:rsidRPr="00FF49CF">
              <w:rPr>
                <w:rFonts w:ascii="Calibri" w:eastAsia="Times New Roman" w:hAnsi="Calibri" w:cs="Calibri"/>
                <w:b/>
                <w:bCs/>
              </w:rPr>
              <w:t xml:space="preserve">Primer </w:t>
            </w:r>
          </w:p>
        </w:tc>
        <w:tc>
          <w:tcPr>
            <w:tcW w:w="3969" w:type="dxa"/>
          </w:tcPr>
          <w:p w14:paraId="16794B17" w14:textId="1B9AEE93" w:rsidR="4C43718C" w:rsidRPr="00FF49CF" w:rsidRDefault="4C43718C" w:rsidP="2C1D39A6">
            <w:pPr>
              <w:rPr>
                <w:rFonts w:ascii="Calibri" w:eastAsia="Times New Roman" w:hAnsi="Calibri" w:cs="Calibri"/>
                <w:b/>
                <w:bCs/>
              </w:rPr>
            </w:pPr>
            <w:r w:rsidRPr="00FF49CF">
              <w:rPr>
                <w:rFonts w:ascii="Calibri" w:eastAsia="Times New Roman" w:hAnsi="Calibri" w:cs="Calibri"/>
                <w:b/>
                <w:bCs/>
              </w:rPr>
              <w:t xml:space="preserve">Sequence </w:t>
            </w:r>
          </w:p>
        </w:tc>
        <w:tc>
          <w:tcPr>
            <w:tcW w:w="3110" w:type="dxa"/>
          </w:tcPr>
          <w:p w14:paraId="720E9A7F" w14:textId="1A40BEB0" w:rsidR="58F6E66B" w:rsidRPr="00FF49CF" w:rsidRDefault="58F6E66B" w:rsidP="2C1D39A6">
            <w:pPr>
              <w:rPr>
                <w:rFonts w:ascii="Calibri" w:eastAsia="Times New Roman" w:hAnsi="Calibri" w:cs="Calibri"/>
                <w:b/>
                <w:bCs/>
              </w:rPr>
            </w:pPr>
            <w:r w:rsidRPr="00FF49CF">
              <w:rPr>
                <w:rFonts w:ascii="Calibri" w:eastAsia="Times New Roman" w:hAnsi="Calibri" w:cs="Calibri"/>
                <w:b/>
                <w:bCs/>
              </w:rPr>
              <w:t xml:space="preserve">Reference </w:t>
            </w:r>
            <w:r w:rsidR="51870066" w:rsidRPr="00FF49CF">
              <w:rPr>
                <w:rFonts w:ascii="Calibri" w:eastAsia="Times New Roman" w:hAnsi="Calibri" w:cs="Calibri"/>
                <w:b/>
                <w:bCs/>
              </w:rPr>
              <w:t>Paper</w:t>
            </w:r>
          </w:p>
        </w:tc>
      </w:tr>
      <w:tr w:rsidR="00052E3B" w14:paraId="5B857D36" w14:textId="77777777" w:rsidTr="00114DD8">
        <w:trPr>
          <w:trHeight w:val="300"/>
        </w:trPr>
        <w:tc>
          <w:tcPr>
            <w:tcW w:w="1271" w:type="dxa"/>
            <w:vMerge w:val="restart"/>
          </w:tcPr>
          <w:p w14:paraId="7F00FEEB" w14:textId="65F43E06" w:rsidR="00052E3B" w:rsidRPr="00FF49CF" w:rsidRDefault="0051621C" w:rsidP="17D9FF5F">
            <w:pPr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il</w:t>
            </w:r>
            <w:r w:rsidR="00052E3B" w:rsidRPr="00FF49CF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-1β</w:t>
            </w:r>
          </w:p>
        </w:tc>
        <w:tc>
          <w:tcPr>
            <w:tcW w:w="1134" w:type="dxa"/>
          </w:tcPr>
          <w:p w14:paraId="40C6FB17" w14:textId="60CF7EB5" w:rsidR="00052E3B" w:rsidRPr="00FF49CF" w:rsidRDefault="00052E3B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 xml:space="preserve">Forward </w:t>
            </w:r>
          </w:p>
        </w:tc>
        <w:tc>
          <w:tcPr>
            <w:tcW w:w="3969" w:type="dxa"/>
          </w:tcPr>
          <w:p w14:paraId="14BB4157" w14:textId="3391366D" w:rsidR="00052E3B" w:rsidRPr="00FF49CF" w:rsidRDefault="00052E3B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>5’-ATG GCG AAC GTC ATC CAA GA-3’</w:t>
            </w:r>
          </w:p>
        </w:tc>
        <w:tc>
          <w:tcPr>
            <w:tcW w:w="3110" w:type="dxa"/>
            <w:vMerge w:val="restart"/>
          </w:tcPr>
          <w:p w14:paraId="2D498E68" w14:textId="6342F9DB" w:rsidR="00052E3B" w:rsidRPr="00FF49CF" w:rsidRDefault="00052E3B" w:rsidP="2C1D39A6">
            <w:pPr>
              <w:rPr>
                <w:rFonts w:ascii="Calibri" w:eastAsia="Times New Roman" w:hAnsi="Calibri" w:cs="Calibri"/>
              </w:rPr>
            </w:pPr>
            <w:r w:rsidRPr="00FF49CF">
              <w:rPr>
                <w:rFonts w:ascii="Calibri" w:eastAsia="Times New Roman" w:hAnsi="Calibri" w:cs="Calibri"/>
              </w:rPr>
              <w:t xml:space="preserve">Tsarouchas </w:t>
            </w:r>
            <w:r w:rsidRPr="00FF49CF">
              <w:rPr>
                <w:rFonts w:ascii="Calibri" w:eastAsia="Times New Roman" w:hAnsi="Calibri" w:cs="Calibri"/>
                <w:i/>
                <w:iCs/>
              </w:rPr>
              <w:t>et al.,</w:t>
            </w:r>
            <w:r w:rsidRPr="00FF49CF">
              <w:rPr>
                <w:rFonts w:ascii="Calibri" w:eastAsia="Times New Roman" w:hAnsi="Calibri" w:cs="Calibri"/>
              </w:rPr>
              <w:t xml:space="preserve"> 2018</w:t>
            </w:r>
          </w:p>
          <w:p w14:paraId="4904BA69" w14:textId="39F644E3" w:rsidR="00052E3B" w:rsidRPr="00FF49CF" w:rsidRDefault="00052E3B" w:rsidP="00052E3B">
            <w:pPr>
              <w:rPr>
                <w:rFonts w:ascii="Calibri" w:eastAsia="Times New Roman" w:hAnsi="Calibri" w:cs="Calibri"/>
              </w:rPr>
            </w:pPr>
          </w:p>
        </w:tc>
      </w:tr>
      <w:tr w:rsidR="00052E3B" w14:paraId="24EFE6FC" w14:textId="77777777" w:rsidTr="00114DD8">
        <w:trPr>
          <w:trHeight w:val="300"/>
        </w:trPr>
        <w:tc>
          <w:tcPr>
            <w:tcW w:w="1271" w:type="dxa"/>
            <w:vMerge/>
          </w:tcPr>
          <w:p w14:paraId="07EBC15E" w14:textId="77777777" w:rsidR="00052E3B" w:rsidRPr="00FF49CF" w:rsidRDefault="00052E3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10AE0E" w14:textId="40A3A69A" w:rsidR="00052E3B" w:rsidRPr="00FF49CF" w:rsidRDefault="00052E3B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 xml:space="preserve">Reverse </w:t>
            </w:r>
          </w:p>
        </w:tc>
        <w:tc>
          <w:tcPr>
            <w:tcW w:w="3969" w:type="dxa"/>
          </w:tcPr>
          <w:p w14:paraId="45D46BAD" w14:textId="1868D537" w:rsidR="00052E3B" w:rsidRPr="00FF49CF" w:rsidRDefault="00052E3B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>5’-GAG ACC CGC TGA TCT CCT TG-3’</w:t>
            </w:r>
          </w:p>
        </w:tc>
        <w:tc>
          <w:tcPr>
            <w:tcW w:w="3110" w:type="dxa"/>
            <w:vMerge/>
          </w:tcPr>
          <w:p w14:paraId="78168513" w14:textId="5ABCB909" w:rsidR="00052E3B" w:rsidRPr="00FF49CF" w:rsidRDefault="00052E3B" w:rsidP="2C1D39A6">
            <w:pPr>
              <w:rPr>
                <w:rFonts w:ascii="Calibri" w:eastAsia="Times New Roman" w:hAnsi="Calibri" w:cs="Calibri"/>
              </w:rPr>
            </w:pPr>
          </w:p>
        </w:tc>
      </w:tr>
      <w:tr w:rsidR="00052E3B" w14:paraId="0E2E1BE3" w14:textId="77777777" w:rsidTr="00114DD8">
        <w:trPr>
          <w:trHeight w:val="300"/>
        </w:trPr>
        <w:tc>
          <w:tcPr>
            <w:tcW w:w="1271" w:type="dxa"/>
            <w:vMerge w:val="restart"/>
          </w:tcPr>
          <w:p w14:paraId="37CF14C6" w14:textId="0E138AA8" w:rsidR="00052E3B" w:rsidRPr="00FF49CF" w:rsidRDefault="0051621C" w:rsidP="17D9FF5F">
            <w:pPr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il</w:t>
            </w:r>
            <w:r w:rsidR="00052E3B" w:rsidRPr="00FF49CF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-8</w:t>
            </w:r>
          </w:p>
          <w:p w14:paraId="197D1EFC" w14:textId="3600F264" w:rsidR="00052E3B" w:rsidRPr="00FF49CF" w:rsidRDefault="00052E3B" w:rsidP="17D9FF5F">
            <w:pPr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432E1E" w14:textId="0FD1C047" w:rsidR="00052E3B" w:rsidRPr="00FF49CF" w:rsidRDefault="00052E3B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 xml:space="preserve">Forward </w:t>
            </w:r>
          </w:p>
        </w:tc>
        <w:tc>
          <w:tcPr>
            <w:tcW w:w="3969" w:type="dxa"/>
          </w:tcPr>
          <w:p w14:paraId="22D757D4" w14:textId="5C0845AB" w:rsidR="00052E3B" w:rsidRPr="00FF49CF" w:rsidRDefault="00052E3B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>5’-GTC GCT GCA TTG AAA CAG AA-3’</w:t>
            </w:r>
          </w:p>
        </w:tc>
        <w:tc>
          <w:tcPr>
            <w:tcW w:w="3110" w:type="dxa"/>
            <w:vMerge w:val="restart"/>
          </w:tcPr>
          <w:p w14:paraId="77BDE225" w14:textId="11326C05" w:rsidR="00052E3B" w:rsidRPr="00FF49CF" w:rsidRDefault="00052E3B" w:rsidP="2C1D39A6">
            <w:pPr>
              <w:rPr>
                <w:rFonts w:ascii="Calibri" w:eastAsia="Times New Roman" w:hAnsi="Calibri" w:cs="Calibri"/>
              </w:rPr>
            </w:pPr>
            <w:r w:rsidRPr="00FF49CF">
              <w:rPr>
                <w:rFonts w:ascii="Calibri" w:eastAsia="Times New Roman" w:hAnsi="Calibri" w:cs="Calibri"/>
              </w:rPr>
              <w:t xml:space="preserve">Kyritsis </w:t>
            </w:r>
            <w:r w:rsidRPr="00FF49CF">
              <w:rPr>
                <w:rFonts w:ascii="Calibri" w:eastAsia="Times New Roman" w:hAnsi="Calibri" w:cs="Calibri"/>
                <w:i/>
                <w:iCs/>
              </w:rPr>
              <w:t>et al.,</w:t>
            </w:r>
            <w:r w:rsidRPr="00FF49CF">
              <w:rPr>
                <w:rFonts w:ascii="Calibri" w:eastAsia="Times New Roman" w:hAnsi="Calibri" w:cs="Calibri"/>
              </w:rPr>
              <w:t xml:space="preserve"> 2012</w:t>
            </w:r>
          </w:p>
          <w:p w14:paraId="0F081157" w14:textId="12A123AA" w:rsidR="00052E3B" w:rsidRPr="00FF49CF" w:rsidRDefault="00052E3B" w:rsidP="00052E3B">
            <w:pPr>
              <w:rPr>
                <w:rFonts w:ascii="Calibri" w:eastAsia="Times New Roman" w:hAnsi="Calibri" w:cs="Calibri"/>
              </w:rPr>
            </w:pPr>
          </w:p>
        </w:tc>
      </w:tr>
      <w:tr w:rsidR="00052E3B" w14:paraId="18925E65" w14:textId="77777777" w:rsidTr="00114DD8">
        <w:trPr>
          <w:trHeight w:val="300"/>
        </w:trPr>
        <w:tc>
          <w:tcPr>
            <w:tcW w:w="1271" w:type="dxa"/>
            <w:vMerge/>
          </w:tcPr>
          <w:p w14:paraId="0D3FA5A1" w14:textId="77777777" w:rsidR="00052E3B" w:rsidRPr="00FF49CF" w:rsidRDefault="00052E3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B0A5E9" w14:textId="32645161" w:rsidR="00052E3B" w:rsidRPr="00FF49CF" w:rsidRDefault="00052E3B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 xml:space="preserve">Reverse </w:t>
            </w:r>
          </w:p>
        </w:tc>
        <w:tc>
          <w:tcPr>
            <w:tcW w:w="3969" w:type="dxa"/>
          </w:tcPr>
          <w:p w14:paraId="2E5123F1" w14:textId="3EE4D902" w:rsidR="00052E3B" w:rsidRPr="00FF49CF" w:rsidRDefault="00052E3B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>5’-AGG GGT CCA GAC AGA TCT CC-3’</w:t>
            </w:r>
          </w:p>
        </w:tc>
        <w:tc>
          <w:tcPr>
            <w:tcW w:w="3110" w:type="dxa"/>
            <w:vMerge/>
          </w:tcPr>
          <w:p w14:paraId="6EF23DBB" w14:textId="558463CB" w:rsidR="00052E3B" w:rsidRPr="00FF49CF" w:rsidRDefault="00052E3B" w:rsidP="2C1D39A6">
            <w:pPr>
              <w:rPr>
                <w:rFonts w:ascii="Calibri" w:eastAsia="Times New Roman" w:hAnsi="Calibri" w:cs="Calibri"/>
              </w:rPr>
            </w:pPr>
          </w:p>
        </w:tc>
      </w:tr>
      <w:tr w:rsidR="00052E3B" w14:paraId="6D81473E" w14:textId="77777777" w:rsidTr="00114DD8">
        <w:trPr>
          <w:trHeight w:val="300"/>
        </w:trPr>
        <w:tc>
          <w:tcPr>
            <w:tcW w:w="1271" w:type="dxa"/>
            <w:vMerge w:val="restart"/>
          </w:tcPr>
          <w:p w14:paraId="7FE1BA2B" w14:textId="4E4D143E" w:rsidR="00052E3B" w:rsidRPr="00FF49CF" w:rsidRDefault="0051621C" w:rsidP="17D9FF5F">
            <w:pPr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</w:pPr>
            <w:proofErr w:type="spellStart"/>
            <w:r w:rsidRPr="00FF49CF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tgf</w:t>
            </w:r>
            <w:proofErr w:type="spellEnd"/>
            <w:r w:rsidR="00052E3B" w:rsidRPr="00FF49CF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-β1a</w:t>
            </w:r>
          </w:p>
        </w:tc>
        <w:tc>
          <w:tcPr>
            <w:tcW w:w="1134" w:type="dxa"/>
          </w:tcPr>
          <w:p w14:paraId="56A905C6" w14:textId="0FD1C047" w:rsidR="00052E3B" w:rsidRPr="00FF49CF" w:rsidRDefault="00052E3B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 xml:space="preserve">Forward </w:t>
            </w:r>
          </w:p>
        </w:tc>
        <w:tc>
          <w:tcPr>
            <w:tcW w:w="3969" w:type="dxa"/>
          </w:tcPr>
          <w:p w14:paraId="14927056" w14:textId="2DD6C13A" w:rsidR="00052E3B" w:rsidRPr="00FF49CF" w:rsidRDefault="00052E3B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>5’-GCT GTA TGC GCA AGC TTT ACA-3’</w:t>
            </w:r>
          </w:p>
        </w:tc>
        <w:tc>
          <w:tcPr>
            <w:tcW w:w="3110" w:type="dxa"/>
            <w:vMerge w:val="restart"/>
          </w:tcPr>
          <w:p w14:paraId="3BEC09E5" w14:textId="61FC4728" w:rsidR="00052E3B" w:rsidRPr="00FF49CF" w:rsidRDefault="00052E3B" w:rsidP="2C1D39A6">
            <w:pPr>
              <w:rPr>
                <w:rFonts w:ascii="Calibri" w:eastAsia="Times New Roman" w:hAnsi="Calibri" w:cs="Calibri"/>
              </w:rPr>
            </w:pPr>
            <w:r w:rsidRPr="00FF49CF">
              <w:rPr>
                <w:rFonts w:ascii="Calibri" w:eastAsia="Times New Roman" w:hAnsi="Calibri" w:cs="Calibri"/>
              </w:rPr>
              <w:t xml:space="preserve">Tsarouchas </w:t>
            </w:r>
            <w:r w:rsidRPr="00FF49CF">
              <w:rPr>
                <w:rFonts w:ascii="Calibri" w:eastAsia="Times New Roman" w:hAnsi="Calibri" w:cs="Calibri"/>
                <w:i/>
                <w:iCs/>
              </w:rPr>
              <w:t>et al.,</w:t>
            </w:r>
            <w:r w:rsidRPr="00FF49CF">
              <w:rPr>
                <w:rFonts w:ascii="Calibri" w:eastAsia="Times New Roman" w:hAnsi="Calibri" w:cs="Calibri"/>
              </w:rPr>
              <w:t xml:space="preserve"> 2018</w:t>
            </w:r>
          </w:p>
          <w:p w14:paraId="72586399" w14:textId="12AACC50" w:rsidR="00052E3B" w:rsidRPr="00FF49CF" w:rsidRDefault="00052E3B" w:rsidP="00052E3B">
            <w:pPr>
              <w:rPr>
                <w:rFonts w:ascii="Calibri" w:eastAsia="Times New Roman" w:hAnsi="Calibri" w:cs="Calibri"/>
              </w:rPr>
            </w:pPr>
          </w:p>
        </w:tc>
      </w:tr>
      <w:tr w:rsidR="00052E3B" w14:paraId="055750BD" w14:textId="77777777" w:rsidTr="00114DD8">
        <w:trPr>
          <w:trHeight w:val="300"/>
        </w:trPr>
        <w:tc>
          <w:tcPr>
            <w:tcW w:w="1271" w:type="dxa"/>
            <w:vMerge/>
          </w:tcPr>
          <w:p w14:paraId="7CEE302F" w14:textId="77777777" w:rsidR="00052E3B" w:rsidRPr="00FF49CF" w:rsidRDefault="00052E3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EB3900" w14:textId="32645161" w:rsidR="00052E3B" w:rsidRPr="00FF49CF" w:rsidRDefault="00052E3B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 xml:space="preserve">Reverse </w:t>
            </w:r>
          </w:p>
        </w:tc>
        <w:tc>
          <w:tcPr>
            <w:tcW w:w="3969" w:type="dxa"/>
          </w:tcPr>
          <w:p w14:paraId="2AFC372A" w14:textId="3B119652" w:rsidR="00052E3B" w:rsidRPr="00FF49CF" w:rsidRDefault="00052E3B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>5’-GGA CAA TTG CTC CAC CTT GTG-3’</w:t>
            </w:r>
          </w:p>
        </w:tc>
        <w:tc>
          <w:tcPr>
            <w:tcW w:w="3110" w:type="dxa"/>
            <w:vMerge/>
          </w:tcPr>
          <w:p w14:paraId="13EFA6FC" w14:textId="1A08DC4A" w:rsidR="00052E3B" w:rsidRPr="00FF49CF" w:rsidRDefault="00052E3B" w:rsidP="2C1D39A6">
            <w:pPr>
              <w:rPr>
                <w:rFonts w:ascii="Calibri" w:eastAsia="Times New Roman" w:hAnsi="Calibri" w:cs="Calibri"/>
              </w:rPr>
            </w:pPr>
          </w:p>
        </w:tc>
      </w:tr>
      <w:tr w:rsidR="004E1837" w14:paraId="2FCB2825" w14:textId="77777777" w:rsidTr="00114DD8">
        <w:trPr>
          <w:trHeight w:val="300"/>
        </w:trPr>
        <w:tc>
          <w:tcPr>
            <w:tcW w:w="1271" w:type="dxa"/>
            <w:vMerge w:val="restart"/>
          </w:tcPr>
          <w:p w14:paraId="3C52A809" w14:textId="7E0E75B2" w:rsidR="004E1837" w:rsidRPr="00FF49CF" w:rsidRDefault="0051621C" w:rsidP="17D9FF5F">
            <w:pPr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</w:pPr>
            <w:proofErr w:type="spellStart"/>
            <w:r w:rsidRPr="00FF49CF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tgf</w:t>
            </w:r>
            <w:proofErr w:type="spellEnd"/>
            <w:r w:rsidR="004E1837" w:rsidRPr="00FF49CF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>-β3</w:t>
            </w:r>
          </w:p>
        </w:tc>
        <w:tc>
          <w:tcPr>
            <w:tcW w:w="1134" w:type="dxa"/>
          </w:tcPr>
          <w:p w14:paraId="4B6654EB" w14:textId="0FD1C047" w:rsidR="004E1837" w:rsidRPr="00FF49CF" w:rsidRDefault="004E1837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 xml:space="preserve">Forward </w:t>
            </w:r>
          </w:p>
        </w:tc>
        <w:tc>
          <w:tcPr>
            <w:tcW w:w="3969" w:type="dxa"/>
          </w:tcPr>
          <w:p w14:paraId="7F5FB9ED" w14:textId="5DBC309B" w:rsidR="004E1837" w:rsidRPr="00FF49CF" w:rsidRDefault="004E1837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>5’-AAA ACG CCA GCA ACC TGT TC-3’</w:t>
            </w:r>
          </w:p>
        </w:tc>
        <w:tc>
          <w:tcPr>
            <w:tcW w:w="3110" w:type="dxa"/>
            <w:vMerge w:val="restart"/>
          </w:tcPr>
          <w:p w14:paraId="2F140394" w14:textId="77B5B125" w:rsidR="004E1837" w:rsidRPr="00FF49CF" w:rsidRDefault="004E1837" w:rsidP="2C1D39A6">
            <w:pPr>
              <w:rPr>
                <w:rFonts w:ascii="Calibri" w:eastAsia="Times New Roman" w:hAnsi="Calibri" w:cs="Calibri"/>
              </w:rPr>
            </w:pPr>
            <w:r w:rsidRPr="00FF49CF">
              <w:rPr>
                <w:rFonts w:ascii="Calibri" w:eastAsia="Times New Roman" w:hAnsi="Calibri" w:cs="Calibri"/>
              </w:rPr>
              <w:t xml:space="preserve">Tsarouchas </w:t>
            </w:r>
            <w:r w:rsidRPr="00FF49CF">
              <w:rPr>
                <w:rFonts w:ascii="Calibri" w:eastAsia="Times New Roman" w:hAnsi="Calibri" w:cs="Calibri"/>
                <w:i/>
                <w:iCs/>
              </w:rPr>
              <w:t>et al.,</w:t>
            </w:r>
            <w:r w:rsidRPr="00FF49CF">
              <w:rPr>
                <w:rFonts w:ascii="Calibri" w:eastAsia="Times New Roman" w:hAnsi="Calibri" w:cs="Calibri"/>
              </w:rPr>
              <w:t xml:space="preserve"> 2018</w:t>
            </w:r>
          </w:p>
          <w:p w14:paraId="795487E3" w14:textId="3A596933" w:rsidR="004E1837" w:rsidRPr="00FF49CF" w:rsidRDefault="004E1837" w:rsidP="004E1837">
            <w:pPr>
              <w:rPr>
                <w:rFonts w:ascii="Calibri" w:eastAsia="Times New Roman" w:hAnsi="Calibri" w:cs="Calibri"/>
              </w:rPr>
            </w:pPr>
          </w:p>
        </w:tc>
      </w:tr>
      <w:tr w:rsidR="004E1837" w14:paraId="70E0AE9F" w14:textId="77777777" w:rsidTr="00114DD8">
        <w:trPr>
          <w:trHeight w:val="300"/>
        </w:trPr>
        <w:tc>
          <w:tcPr>
            <w:tcW w:w="1271" w:type="dxa"/>
            <w:vMerge/>
          </w:tcPr>
          <w:p w14:paraId="6E8641C9" w14:textId="77777777" w:rsidR="004E1837" w:rsidRPr="00FF49CF" w:rsidRDefault="004E1837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3B104E" w14:textId="32645161" w:rsidR="004E1837" w:rsidRPr="00FF49CF" w:rsidRDefault="004E1837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 xml:space="preserve">Reverse </w:t>
            </w:r>
          </w:p>
        </w:tc>
        <w:tc>
          <w:tcPr>
            <w:tcW w:w="3969" w:type="dxa"/>
          </w:tcPr>
          <w:p w14:paraId="3A1DCE51" w14:textId="606D0D99" w:rsidR="004E1837" w:rsidRPr="00FF49CF" w:rsidRDefault="004E1837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>5’-CCT CAA CGT CCA TCC CTC TG-3’</w:t>
            </w:r>
          </w:p>
        </w:tc>
        <w:tc>
          <w:tcPr>
            <w:tcW w:w="3110" w:type="dxa"/>
            <w:vMerge/>
          </w:tcPr>
          <w:p w14:paraId="6EB0080C" w14:textId="7EA76C45" w:rsidR="004E1837" w:rsidRPr="00FF49CF" w:rsidRDefault="004E1837" w:rsidP="00A56B2F">
            <w:pPr>
              <w:rPr>
                <w:rFonts w:ascii="Calibri" w:eastAsia="Times New Roman" w:hAnsi="Calibri" w:cs="Calibri"/>
              </w:rPr>
            </w:pPr>
          </w:p>
        </w:tc>
      </w:tr>
      <w:tr w:rsidR="004E1837" w14:paraId="73ADB198" w14:textId="77777777" w:rsidTr="00114DD8">
        <w:trPr>
          <w:trHeight w:val="300"/>
        </w:trPr>
        <w:tc>
          <w:tcPr>
            <w:tcW w:w="1271" w:type="dxa"/>
            <w:vMerge w:val="restart"/>
          </w:tcPr>
          <w:p w14:paraId="1F5F7147" w14:textId="4D89C76E" w:rsidR="004E1837" w:rsidRPr="00FF49CF" w:rsidRDefault="004E1837" w:rsidP="17D9FF5F">
            <w:pPr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  <w:t xml:space="preserve">β actin </w:t>
            </w:r>
          </w:p>
        </w:tc>
        <w:tc>
          <w:tcPr>
            <w:tcW w:w="1134" w:type="dxa"/>
          </w:tcPr>
          <w:p w14:paraId="28D4A78B" w14:textId="3A931E8F" w:rsidR="004E1837" w:rsidRPr="00FF49CF" w:rsidRDefault="004E1837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 xml:space="preserve">Forward </w:t>
            </w:r>
          </w:p>
        </w:tc>
        <w:tc>
          <w:tcPr>
            <w:tcW w:w="3969" w:type="dxa"/>
          </w:tcPr>
          <w:p w14:paraId="70E23091" w14:textId="43E69B95" w:rsidR="004E1837" w:rsidRPr="00FF49CF" w:rsidRDefault="004E1837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>5’-CTC TTC CAG CCT TCC TTC CT-3’</w:t>
            </w:r>
          </w:p>
        </w:tc>
        <w:tc>
          <w:tcPr>
            <w:tcW w:w="3110" w:type="dxa"/>
            <w:vMerge w:val="restart"/>
          </w:tcPr>
          <w:p w14:paraId="628B00DE" w14:textId="38FB4A58" w:rsidR="004E1837" w:rsidRPr="00FF49CF" w:rsidRDefault="004E1837" w:rsidP="2C1D39A6">
            <w:pPr>
              <w:rPr>
                <w:rFonts w:ascii="Calibri" w:eastAsia="Times New Roman" w:hAnsi="Calibri" w:cs="Calibri"/>
              </w:rPr>
            </w:pPr>
            <w:r w:rsidRPr="00FF49CF">
              <w:rPr>
                <w:rFonts w:ascii="Calibri" w:eastAsia="Times New Roman" w:hAnsi="Calibri" w:cs="Calibri"/>
              </w:rPr>
              <w:t xml:space="preserve">Sun </w:t>
            </w:r>
            <w:r w:rsidRPr="00FF49CF">
              <w:rPr>
                <w:rFonts w:ascii="Calibri" w:eastAsia="Times New Roman" w:hAnsi="Calibri" w:cs="Calibri"/>
                <w:i/>
                <w:iCs/>
              </w:rPr>
              <w:t>et al.,</w:t>
            </w:r>
            <w:r w:rsidRPr="00FF49CF">
              <w:rPr>
                <w:rFonts w:ascii="Calibri" w:eastAsia="Times New Roman" w:hAnsi="Calibri" w:cs="Calibri"/>
              </w:rPr>
              <w:t xml:space="preserve"> 2020</w:t>
            </w:r>
          </w:p>
          <w:p w14:paraId="0726DC70" w14:textId="27BB075B" w:rsidR="004E1837" w:rsidRPr="00FF49CF" w:rsidRDefault="004E1837" w:rsidP="004E1837">
            <w:pPr>
              <w:rPr>
                <w:rFonts w:ascii="Calibri" w:eastAsia="Times New Roman" w:hAnsi="Calibri" w:cs="Calibri"/>
              </w:rPr>
            </w:pPr>
          </w:p>
        </w:tc>
      </w:tr>
      <w:tr w:rsidR="004E1837" w14:paraId="25943489" w14:textId="77777777" w:rsidTr="00114DD8">
        <w:trPr>
          <w:trHeight w:val="300"/>
        </w:trPr>
        <w:tc>
          <w:tcPr>
            <w:tcW w:w="1271" w:type="dxa"/>
            <w:vMerge/>
          </w:tcPr>
          <w:p w14:paraId="308614AB" w14:textId="77777777" w:rsidR="004E1837" w:rsidRPr="007E51C6" w:rsidRDefault="004E183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0DACCF3" w14:textId="67D56F67" w:rsidR="004E1837" w:rsidRPr="00FF49CF" w:rsidRDefault="004E1837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>Reverse</w:t>
            </w:r>
          </w:p>
        </w:tc>
        <w:tc>
          <w:tcPr>
            <w:tcW w:w="3969" w:type="dxa"/>
          </w:tcPr>
          <w:p w14:paraId="12F369ED" w14:textId="33B91263" w:rsidR="004E1837" w:rsidRPr="00FF49CF" w:rsidRDefault="004E1837" w:rsidP="17D9FF5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F49CF">
              <w:rPr>
                <w:rFonts w:ascii="Calibri" w:eastAsia="Times New Roman" w:hAnsi="Calibri" w:cs="Calibri"/>
                <w:sz w:val="22"/>
                <w:szCs w:val="22"/>
              </w:rPr>
              <w:t>5’-CTT CTG CAT ACG GTC AGC AA-3’</w:t>
            </w:r>
          </w:p>
        </w:tc>
        <w:tc>
          <w:tcPr>
            <w:tcW w:w="3110" w:type="dxa"/>
            <w:vMerge/>
          </w:tcPr>
          <w:p w14:paraId="18DBABCA" w14:textId="02460346" w:rsidR="004E1837" w:rsidRPr="007E51C6" w:rsidRDefault="004E1837" w:rsidP="2C1D39A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0E3EC1D" w14:textId="5EA9EEBA" w:rsidR="17D9FF5F" w:rsidRDefault="17D9FF5F"/>
    <w:p w14:paraId="08AC489C" w14:textId="5042ADF2" w:rsidR="00F96EE8" w:rsidRPr="00174F2B" w:rsidRDefault="00F96EE8" w:rsidP="00F96EE8">
      <w:pPr>
        <w:tabs>
          <w:tab w:val="left" w:pos="1611"/>
        </w:tabs>
        <w:spacing w:line="240" w:lineRule="auto"/>
        <w:rPr>
          <w:rFonts w:ascii="Calibri" w:hAnsi="Calibri" w:cs="Calibri"/>
        </w:rPr>
      </w:pPr>
      <w:r w:rsidRPr="00174F2B">
        <w:rPr>
          <w:rFonts w:ascii="Calibri" w:hAnsi="Calibri" w:cs="Calibri"/>
        </w:rPr>
        <w:t xml:space="preserve">Tsarouchas TM, Wehner D, </w:t>
      </w:r>
      <w:proofErr w:type="spellStart"/>
      <w:r w:rsidRPr="00174F2B">
        <w:rPr>
          <w:rFonts w:ascii="Calibri" w:hAnsi="Calibri" w:cs="Calibri"/>
        </w:rPr>
        <w:t>Cavone</w:t>
      </w:r>
      <w:proofErr w:type="spellEnd"/>
      <w:r w:rsidRPr="00174F2B">
        <w:rPr>
          <w:rFonts w:ascii="Calibri" w:hAnsi="Calibri" w:cs="Calibri"/>
        </w:rPr>
        <w:t xml:space="preserve"> L, Munir T, Keatinge M, Lambertus M, et al. Dynamic control of proinflammatory cytokines Il-1β and </w:t>
      </w:r>
      <w:proofErr w:type="spellStart"/>
      <w:r w:rsidRPr="00174F2B">
        <w:rPr>
          <w:rFonts w:ascii="Calibri" w:hAnsi="Calibri" w:cs="Calibri"/>
        </w:rPr>
        <w:t>Tnf</w:t>
      </w:r>
      <w:proofErr w:type="spellEnd"/>
      <w:r w:rsidRPr="00174F2B">
        <w:rPr>
          <w:rFonts w:ascii="Calibri" w:hAnsi="Calibri" w:cs="Calibri"/>
        </w:rPr>
        <w:t xml:space="preserve">-α by macrophages in zebrafish spinal cord regeneration. Nat Commun. 2018; 9:4670. </w:t>
      </w:r>
      <w:hyperlink r:id="rId6" w:history="1">
        <w:r w:rsidRPr="00174F2B">
          <w:rPr>
            <w:rStyle w:val="Hyperlink"/>
            <w:rFonts w:ascii="Calibri" w:hAnsi="Calibri" w:cs="Calibri"/>
          </w:rPr>
          <w:t>https://doi.org/10.1038/s41467-018-07036-w</w:t>
        </w:r>
      </w:hyperlink>
    </w:p>
    <w:p w14:paraId="4283CC34" w14:textId="4795D5B8" w:rsidR="003E0A73" w:rsidRPr="00174F2B" w:rsidRDefault="003E0A73" w:rsidP="00F96EE8">
      <w:pPr>
        <w:tabs>
          <w:tab w:val="left" w:pos="1611"/>
        </w:tabs>
        <w:spacing w:line="240" w:lineRule="auto"/>
        <w:rPr>
          <w:rFonts w:ascii="Calibri" w:hAnsi="Calibri" w:cs="Calibri"/>
        </w:rPr>
      </w:pPr>
      <w:r w:rsidRPr="00174F2B">
        <w:rPr>
          <w:rFonts w:ascii="Calibri" w:hAnsi="Calibri" w:cs="Calibri"/>
        </w:rPr>
        <w:t xml:space="preserve">Kyritsis N, Kizil C, Zocher S, </w:t>
      </w:r>
      <w:proofErr w:type="spellStart"/>
      <w:r w:rsidRPr="00174F2B">
        <w:rPr>
          <w:rFonts w:ascii="Calibri" w:hAnsi="Calibri" w:cs="Calibri"/>
        </w:rPr>
        <w:t>Kroehne</w:t>
      </w:r>
      <w:proofErr w:type="spellEnd"/>
      <w:r w:rsidRPr="00174F2B">
        <w:rPr>
          <w:rFonts w:ascii="Calibri" w:hAnsi="Calibri" w:cs="Calibri"/>
        </w:rPr>
        <w:t xml:space="preserve"> V, Kaslin J, </w:t>
      </w:r>
      <w:proofErr w:type="spellStart"/>
      <w:r w:rsidRPr="00174F2B">
        <w:rPr>
          <w:rFonts w:ascii="Calibri" w:hAnsi="Calibri" w:cs="Calibri"/>
        </w:rPr>
        <w:t>Freudenreich</w:t>
      </w:r>
      <w:proofErr w:type="spellEnd"/>
      <w:r w:rsidRPr="00174F2B">
        <w:rPr>
          <w:rFonts w:ascii="Calibri" w:hAnsi="Calibri" w:cs="Calibri"/>
        </w:rPr>
        <w:t xml:space="preserve"> D, et al. Acute inflammation initiates the regenerative response in the adult zebrafish brain. Science. 2012; 338:1353–1356. </w:t>
      </w:r>
      <w:hyperlink r:id="rId7" w:history="1">
        <w:r w:rsidRPr="00174F2B">
          <w:rPr>
            <w:rStyle w:val="Hyperlink"/>
            <w:rFonts w:ascii="Calibri" w:hAnsi="Calibri" w:cs="Calibri"/>
          </w:rPr>
          <w:t>https://doi.org/10.1126/science.1228773</w:t>
        </w:r>
      </w:hyperlink>
      <w:r w:rsidRPr="00174F2B">
        <w:rPr>
          <w:rFonts w:ascii="Calibri" w:hAnsi="Calibri" w:cs="Calibri"/>
        </w:rPr>
        <w:t xml:space="preserve"> </w:t>
      </w:r>
    </w:p>
    <w:p w14:paraId="26A56485" w14:textId="3A0F43C7" w:rsidR="006E46E8" w:rsidRPr="006C56A7" w:rsidRDefault="006E46E8" w:rsidP="00F96EE8">
      <w:pPr>
        <w:tabs>
          <w:tab w:val="left" w:pos="1611"/>
        </w:tabs>
        <w:spacing w:line="240" w:lineRule="auto"/>
        <w:rPr>
          <w:rFonts w:ascii="Calibri" w:hAnsi="Calibri" w:cs="Calibri"/>
        </w:rPr>
      </w:pPr>
      <w:r w:rsidRPr="006C56A7">
        <w:rPr>
          <w:rFonts w:ascii="Calibri" w:hAnsi="Calibri" w:cs="Calibri"/>
        </w:rPr>
        <w:t xml:space="preserve">Sun L, Ling Y, Jiang J, Wang D, Wang J, Li J, et al. Differential mechanisms regarding triclosan vs. bisphenol A and fluorene-9-bisphenol induced zebrafish lipid-metabolism disorders by RNA-Seq. Chemosphere. 2020; 251:126318. </w:t>
      </w:r>
      <w:hyperlink r:id="rId8" w:history="1">
        <w:r w:rsidRPr="006C56A7">
          <w:rPr>
            <w:rStyle w:val="Hyperlink"/>
            <w:rFonts w:ascii="Calibri" w:hAnsi="Calibri" w:cs="Calibri"/>
          </w:rPr>
          <w:t>https://doi.org/10.1016/j.chemosphere.2020.126318</w:t>
        </w:r>
      </w:hyperlink>
      <w:r w:rsidRPr="006C56A7">
        <w:rPr>
          <w:rFonts w:ascii="Calibri" w:hAnsi="Calibri" w:cs="Calibri"/>
        </w:rPr>
        <w:t xml:space="preserve"> </w:t>
      </w:r>
    </w:p>
    <w:p w14:paraId="2BF3D1CD" w14:textId="60952325" w:rsidR="00FF49CF" w:rsidRDefault="00FF49CF"/>
    <w:p w14:paraId="3B58AB42" w14:textId="77777777" w:rsidR="009D265C" w:rsidRDefault="009D265C"/>
    <w:p w14:paraId="26ECD234" w14:textId="77777777" w:rsidR="00F96EE8" w:rsidRDefault="00F96EE8"/>
    <w:p w14:paraId="11C5899E" w14:textId="77777777" w:rsidR="00F96EE8" w:rsidRDefault="00F96EE8"/>
    <w:p w14:paraId="5DEB9F2B" w14:textId="77777777" w:rsidR="00F96EE8" w:rsidRDefault="00F96EE8"/>
    <w:p w14:paraId="385DA6AE" w14:textId="54722592" w:rsidR="00DC149C" w:rsidRDefault="00DC149C" w:rsidP="00DC149C">
      <w:pPr>
        <w:spacing w:line="480" w:lineRule="auto"/>
        <w:jc w:val="both"/>
        <w:rPr>
          <w:rFonts w:ascii="Calibri" w:hAnsi="Calibri" w:cs="Calibri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4E345D4" wp14:editId="3A1837CB">
            <wp:simplePos x="0" y="0"/>
            <wp:positionH relativeFrom="margin">
              <wp:align>left</wp:align>
            </wp:positionH>
            <wp:positionV relativeFrom="paragraph">
              <wp:posOffset>78844</wp:posOffset>
            </wp:positionV>
            <wp:extent cx="6045835" cy="1812925"/>
            <wp:effectExtent l="0" t="0" r="0" b="0"/>
            <wp:wrapTight wrapText="bothSides">
              <wp:wrapPolygon edited="0">
                <wp:start x="0" y="454"/>
                <wp:lineTo x="0" y="19292"/>
                <wp:lineTo x="15994" y="20881"/>
                <wp:lineTo x="17015" y="20881"/>
                <wp:lineTo x="17151" y="19292"/>
                <wp:lineTo x="18376" y="18839"/>
                <wp:lineTo x="19465" y="17477"/>
                <wp:lineTo x="19057" y="15434"/>
                <wp:lineTo x="19057" y="11802"/>
                <wp:lineTo x="21235" y="11122"/>
                <wp:lineTo x="21235" y="8171"/>
                <wp:lineTo x="19057" y="8171"/>
                <wp:lineTo x="19125" y="2497"/>
                <wp:lineTo x="16198" y="1135"/>
                <wp:lineTo x="12183" y="454"/>
                <wp:lineTo x="0" y="454"/>
              </wp:wrapPolygon>
            </wp:wrapTight>
            <wp:docPr id="276564992" name="Picture 1" descr="A close-up of a cross-section of a br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64992" name="Picture 1" descr="A close-up of a cross-section of a brai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CA56C" w14:textId="77777777" w:rsidR="00DC149C" w:rsidRDefault="00DC149C" w:rsidP="00DC149C">
      <w:pPr>
        <w:spacing w:line="480" w:lineRule="auto"/>
        <w:jc w:val="both"/>
        <w:rPr>
          <w:rFonts w:ascii="Calibri" w:hAnsi="Calibri" w:cs="Calibri"/>
          <w:b/>
          <w:bCs/>
        </w:rPr>
      </w:pPr>
    </w:p>
    <w:p w14:paraId="1B4F2092" w14:textId="77777777" w:rsidR="00DC149C" w:rsidRDefault="00DC149C" w:rsidP="00DC149C">
      <w:pPr>
        <w:spacing w:line="480" w:lineRule="auto"/>
        <w:jc w:val="both"/>
        <w:rPr>
          <w:rFonts w:ascii="Calibri" w:hAnsi="Calibri" w:cs="Calibri"/>
          <w:b/>
          <w:bCs/>
        </w:rPr>
      </w:pPr>
    </w:p>
    <w:p w14:paraId="321A36EA" w14:textId="77777777" w:rsidR="00DC149C" w:rsidRDefault="00DC149C" w:rsidP="00DC149C">
      <w:pPr>
        <w:spacing w:line="480" w:lineRule="auto"/>
        <w:jc w:val="both"/>
        <w:rPr>
          <w:rFonts w:ascii="Calibri" w:hAnsi="Calibri" w:cs="Calibri"/>
          <w:b/>
          <w:bCs/>
        </w:rPr>
      </w:pPr>
    </w:p>
    <w:p w14:paraId="6CA7AFE3" w14:textId="32B98481" w:rsidR="00DC149C" w:rsidRDefault="00DC149C" w:rsidP="00DC149C">
      <w:pPr>
        <w:spacing w:line="480" w:lineRule="auto"/>
        <w:jc w:val="both"/>
        <w:rPr>
          <w:rFonts w:ascii="Calibri" w:hAnsi="Calibri" w:cs="Calibri"/>
        </w:rPr>
      </w:pPr>
      <w:r w:rsidRPr="00872594">
        <w:rPr>
          <w:rFonts w:ascii="Calibri" w:hAnsi="Calibri" w:cs="Calibri"/>
          <w:b/>
          <w:bCs/>
        </w:rPr>
        <w:t>Supplemental Fig. 1</w:t>
      </w:r>
      <w:r w:rsidRPr="00872594">
        <w:rPr>
          <w:rFonts w:ascii="Calibri" w:hAnsi="Calibri" w:cs="Calibri"/>
        </w:rPr>
        <w:t xml:space="preserve"> Comparison of horizontal and vertical axes between juvenile and adult spinal cords. </w:t>
      </w:r>
      <w:r w:rsidRPr="00872594">
        <w:rPr>
          <w:rFonts w:ascii="Calibri" w:hAnsi="Calibri" w:cs="Calibri"/>
          <w:b/>
          <w:bCs/>
        </w:rPr>
        <w:t xml:space="preserve">a-b </w:t>
      </w:r>
      <w:r w:rsidRPr="00872594">
        <w:rPr>
          <w:rFonts w:ascii="Calibri" w:hAnsi="Calibri" w:cs="Calibri"/>
        </w:rPr>
        <w:t>Hematoxylin and Eosin (H&amp;E) cross-sections of juvenile (</w:t>
      </w:r>
      <w:r w:rsidRPr="00872594">
        <w:rPr>
          <w:rFonts w:ascii="Calibri" w:hAnsi="Calibri" w:cs="Calibri"/>
          <w:b/>
          <w:bCs/>
        </w:rPr>
        <w:t>a</w:t>
      </w:r>
      <w:r w:rsidRPr="00872594">
        <w:rPr>
          <w:rFonts w:ascii="Calibri" w:hAnsi="Calibri" w:cs="Calibri"/>
        </w:rPr>
        <w:t>) and adult (</w:t>
      </w:r>
      <w:r w:rsidRPr="00872594">
        <w:rPr>
          <w:rFonts w:ascii="Calibri" w:hAnsi="Calibri" w:cs="Calibri"/>
          <w:b/>
          <w:bCs/>
        </w:rPr>
        <w:t>b</w:t>
      </w:r>
      <w:r w:rsidRPr="00872594">
        <w:rPr>
          <w:rFonts w:ascii="Calibri" w:hAnsi="Calibri" w:cs="Calibri"/>
        </w:rPr>
        <w:t xml:space="preserve">) uninjured spinal cord showing measurements of the horizontal and vertical axes taken at level of the central canal (c). </w:t>
      </w:r>
      <w:r w:rsidRPr="00872594">
        <w:rPr>
          <w:rFonts w:ascii="Calibri" w:hAnsi="Calibri" w:cs="Calibri"/>
          <w:b/>
          <w:bCs/>
        </w:rPr>
        <w:t>c</w:t>
      </w:r>
      <w:r w:rsidRPr="00872594">
        <w:rPr>
          <w:rFonts w:ascii="Calibri" w:hAnsi="Calibri" w:cs="Calibri"/>
        </w:rPr>
        <w:t xml:space="preserve"> Comparison of horizontal and vertical spinal cord axes between juvenile and adult zebrafish. n = 10 animals/group measured. Statistics: Independent samples t-test. ***</w:t>
      </w:r>
      <w:r w:rsidRPr="00872594">
        <w:rPr>
          <w:rFonts w:ascii="Calibri" w:hAnsi="Calibri" w:cs="Calibri"/>
          <w:i/>
          <w:iCs/>
        </w:rPr>
        <w:t xml:space="preserve">p </w:t>
      </w:r>
      <w:r w:rsidRPr="00872594">
        <w:rPr>
          <w:rFonts w:ascii="Calibri" w:hAnsi="Calibri" w:cs="Calibri"/>
        </w:rPr>
        <w:t>&lt;0.001, ****</w:t>
      </w:r>
      <w:r w:rsidRPr="00872594">
        <w:rPr>
          <w:rFonts w:ascii="Calibri" w:hAnsi="Calibri" w:cs="Calibri"/>
          <w:i/>
          <w:iCs/>
        </w:rPr>
        <w:t xml:space="preserve">p </w:t>
      </w:r>
      <w:r w:rsidRPr="00872594">
        <w:rPr>
          <w:rFonts w:ascii="Calibri" w:hAnsi="Calibri" w:cs="Calibri"/>
        </w:rPr>
        <w:t>&lt;0.0001. Scale bars: (</w:t>
      </w:r>
      <w:r w:rsidRPr="00872594">
        <w:rPr>
          <w:rFonts w:ascii="Calibri" w:hAnsi="Calibri" w:cs="Calibri"/>
          <w:b/>
          <w:bCs/>
        </w:rPr>
        <w:t>a</w:t>
      </w:r>
      <w:r w:rsidRPr="00872594">
        <w:rPr>
          <w:rFonts w:ascii="Calibri" w:hAnsi="Calibri" w:cs="Calibri"/>
        </w:rPr>
        <w:t>) 50 µm, (</w:t>
      </w:r>
      <w:r w:rsidRPr="00872594">
        <w:rPr>
          <w:rFonts w:ascii="Calibri" w:hAnsi="Calibri" w:cs="Calibri"/>
          <w:b/>
          <w:bCs/>
        </w:rPr>
        <w:t>b</w:t>
      </w:r>
      <w:r w:rsidRPr="00872594">
        <w:rPr>
          <w:rFonts w:ascii="Calibri" w:hAnsi="Calibri" w:cs="Calibri"/>
        </w:rPr>
        <w:t>) 75 µm.</w:t>
      </w:r>
      <w:r>
        <w:rPr>
          <w:rFonts w:ascii="Calibri" w:hAnsi="Calibri" w:cs="Calibri"/>
        </w:rPr>
        <w:t xml:space="preserve"> </w:t>
      </w:r>
    </w:p>
    <w:p w14:paraId="50D23B07" w14:textId="40A5A801" w:rsidR="00FF49CF" w:rsidRDefault="00FF49CF"/>
    <w:p w14:paraId="3144273F" w14:textId="043BAFEF" w:rsidR="00FF49CF" w:rsidRDefault="00FF49CF"/>
    <w:sectPr w:rsidR="00FF49C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ED7F" w14:textId="77777777" w:rsidR="00F96EE8" w:rsidRDefault="00F96EE8" w:rsidP="00F96EE8">
      <w:pPr>
        <w:spacing w:after="0" w:line="240" w:lineRule="auto"/>
      </w:pPr>
      <w:r>
        <w:separator/>
      </w:r>
    </w:p>
  </w:endnote>
  <w:endnote w:type="continuationSeparator" w:id="0">
    <w:p w14:paraId="0EBF79BB" w14:textId="77777777" w:rsidR="00F96EE8" w:rsidRDefault="00F96EE8" w:rsidP="00F9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230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0AFAAD" w14:textId="5B963CE5" w:rsidR="00F96EE8" w:rsidRDefault="00F96E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339BA2" w14:textId="77777777" w:rsidR="00F96EE8" w:rsidRDefault="00F96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E878" w14:textId="77777777" w:rsidR="00F96EE8" w:rsidRDefault="00F96EE8" w:rsidP="00F96EE8">
      <w:pPr>
        <w:spacing w:after="0" w:line="240" w:lineRule="auto"/>
      </w:pPr>
      <w:r>
        <w:separator/>
      </w:r>
    </w:p>
  </w:footnote>
  <w:footnote w:type="continuationSeparator" w:id="0">
    <w:p w14:paraId="3DDEB5A0" w14:textId="77777777" w:rsidR="00F96EE8" w:rsidRDefault="00F96EE8" w:rsidP="00F96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7C5B3C"/>
    <w:rsid w:val="00052E3B"/>
    <w:rsid w:val="000B776A"/>
    <w:rsid w:val="000F3790"/>
    <w:rsid w:val="00114DD8"/>
    <w:rsid w:val="001C0D60"/>
    <w:rsid w:val="001C7DD4"/>
    <w:rsid w:val="00204622"/>
    <w:rsid w:val="00204E59"/>
    <w:rsid w:val="00271633"/>
    <w:rsid w:val="00313DC0"/>
    <w:rsid w:val="00340156"/>
    <w:rsid w:val="003E0A73"/>
    <w:rsid w:val="00440521"/>
    <w:rsid w:val="004B6E8E"/>
    <w:rsid w:val="004E1837"/>
    <w:rsid w:val="0051621C"/>
    <w:rsid w:val="005A56C6"/>
    <w:rsid w:val="006B07B2"/>
    <w:rsid w:val="006C56A7"/>
    <w:rsid w:val="006E46E8"/>
    <w:rsid w:val="007E51C6"/>
    <w:rsid w:val="00847F10"/>
    <w:rsid w:val="009D265C"/>
    <w:rsid w:val="00A13FB2"/>
    <w:rsid w:val="00A176C6"/>
    <w:rsid w:val="00A56B2F"/>
    <w:rsid w:val="00A70C30"/>
    <w:rsid w:val="00B34E4E"/>
    <w:rsid w:val="00DB3A08"/>
    <w:rsid w:val="00DC149C"/>
    <w:rsid w:val="00E32EFE"/>
    <w:rsid w:val="00E65204"/>
    <w:rsid w:val="00F96EE8"/>
    <w:rsid w:val="00FF49CF"/>
    <w:rsid w:val="02CDCFA5"/>
    <w:rsid w:val="062387A0"/>
    <w:rsid w:val="0676038C"/>
    <w:rsid w:val="0905F43C"/>
    <w:rsid w:val="09569B4D"/>
    <w:rsid w:val="0A189943"/>
    <w:rsid w:val="0B7B5929"/>
    <w:rsid w:val="0D843D67"/>
    <w:rsid w:val="0DC78B79"/>
    <w:rsid w:val="103EC093"/>
    <w:rsid w:val="125E83FD"/>
    <w:rsid w:val="137C5B3C"/>
    <w:rsid w:val="13EDD014"/>
    <w:rsid w:val="14D49563"/>
    <w:rsid w:val="1695F0A8"/>
    <w:rsid w:val="17D9FF5F"/>
    <w:rsid w:val="18532DC0"/>
    <w:rsid w:val="1883B99E"/>
    <w:rsid w:val="1A32EE5A"/>
    <w:rsid w:val="1CEF10CB"/>
    <w:rsid w:val="1D404500"/>
    <w:rsid w:val="1DFAAFF2"/>
    <w:rsid w:val="1F720CA1"/>
    <w:rsid w:val="1F72486A"/>
    <w:rsid w:val="20F5213E"/>
    <w:rsid w:val="21B78A5A"/>
    <w:rsid w:val="21C5539B"/>
    <w:rsid w:val="25146972"/>
    <w:rsid w:val="25602E58"/>
    <w:rsid w:val="2886C8F1"/>
    <w:rsid w:val="28C39430"/>
    <w:rsid w:val="292A1609"/>
    <w:rsid w:val="2A1F62B5"/>
    <w:rsid w:val="2A4A3342"/>
    <w:rsid w:val="2C1D39A6"/>
    <w:rsid w:val="2D129AB0"/>
    <w:rsid w:val="2E9567EC"/>
    <w:rsid w:val="2EF6A031"/>
    <w:rsid w:val="30DB96D8"/>
    <w:rsid w:val="31BC585F"/>
    <w:rsid w:val="31DA03CA"/>
    <w:rsid w:val="32D72068"/>
    <w:rsid w:val="33D506D6"/>
    <w:rsid w:val="35291723"/>
    <w:rsid w:val="35E38008"/>
    <w:rsid w:val="3A30C721"/>
    <w:rsid w:val="3F9D49FD"/>
    <w:rsid w:val="3FDF7527"/>
    <w:rsid w:val="40641A12"/>
    <w:rsid w:val="40C04822"/>
    <w:rsid w:val="41D71345"/>
    <w:rsid w:val="43245583"/>
    <w:rsid w:val="4391A7B1"/>
    <w:rsid w:val="440932BA"/>
    <w:rsid w:val="464C1F7A"/>
    <w:rsid w:val="46765F4E"/>
    <w:rsid w:val="476BF218"/>
    <w:rsid w:val="4776BD62"/>
    <w:rsid w:val="47FD11CF"/>
    <w:rsid w:val="4C43718C"/>
    <w:rsid w:val="4CB2510E"/>
    <w:rsid w:val="4CB95779"/>
    <w:rsid w:val="4CF48215"/>
    <w:rsid w:val="4DCB6868"/>
    <w:rsid w:val="4DD7D257"/>
    <w:rsid w:val="51870066"/>
    <w:rsid w:val="5453C4A4"/>
    <w:rsid w:val="57C88EF2"/>
    <w:rsid w:val="58794970"/>
    <w:rsid w:val="58AF55AA"/>
    <w:rsid w:val="58B9BF47"/>
    <w:rsid w:val="58F6E66B"/>
    <w:rsid w:val="599868BD"/>
    <w:rsid w:val="5A55920A"/>
    <w:rsid w:val="5B62AF82"/>
    <w:rsid w:val="5B9F101C"/>
    <w:rsid w:val="5C82A7BF"/>
    <w:rsid w:val="60397974"/>
    <w:rsid w:val="6082C02B"/>
    <w:rsid w:val="61B9D2B0"/>
    <w:rsid w:val="6222B846"/>
    <w:rsid w:val="62A1DE52"/>
    <w:rsid w:val="635DA8F5"/>
    <w:rsid w:val="63EA0295"/>
    <w:rsid w:val="6464DE58"/>
    <w:rsid w:val="66FD6CC5"/>
    <w:rsid w:val="672C1429"/>
    <w:rsid w:val="676F27AB"/>
    <w:rsid w:val="68C33F0A"/>
    <w:rsid w:val="68E8D5EA"/>
    <w:rsid w:val="6A8AD2C7"/>
    <w:rsid w:val="6C18A12F"/>
    <w:rsid w:val="6D1E51CC"/>
    <w:rsid w:val="71E5CDEA"/>
    <w:rsid w:val="726E6BFC"/>
    <w:rsid w:val="770AEFCD"/>
    <w:rsid w:val="78FFFE07"/>
    <w:rsid w:val="7B655307"/>
    <w:rsid w:val="7CD8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5B3C"/>
  <w15:chartTrackingRefBased/>
  <w15:docId w15:val="{888C8104-5573-4EA0-9190-8C5F5ABF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2C1D39A6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6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EE8"/>
  </w:style>
  <w:style w:type="paragraph" w:styleId="Footer">
    <w:name w:val="footer"/>
    <w:basedOn w:val="Normal"/>
    <w:link w:val="FooterChar"/>
    <w:uiPriority w:val="99"/>
    <w:unhideWhenUsed/>
    <w:rsid w:val="00F96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hemosphere.2020.1263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26/science.122877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38/s41467-018-07036-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Kharisma Del Mundo</dc:creator>
  <cp:keywords/>
  <dc:description/>
  <cp:lastModifiedBy>Benjamin Lindsey</cp:lastModifiedBy>
  <cp:revision>28</cp:revision>
  <dcterms:created xsi:type="dcterms:W3CDTF">2025-02-14T17:49:00Z</dcterms:created>
  <dcterms:modified xsi:type="dcterms:W3CDTF">2025-05-03T12:38:00Z</dcterms:modified>
</cp:coreProperties>
</file>