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70AA" w14:textId="77777777" w:rsidR="00DF33FF" w:rsidRPr="003F73E9" w:rsidRDefault="00DF33FF" w:rsidP="00DF33FF">
      <w:pPr>
        <w:widowControl/>
        <w:spacing w:beforeLines="0" w:before="0" w:afterLines="0" w:after="0"/>
        <w:jc w:val="left"/>
        <w:rPr>
          <w:rFonts w:ascii="Times New Roman" w:eastAsiaTheme="minorEastAsia" w:hAnsi="Times New Roman" w:cs="Times New Roman"/>
          <w:b/>
          <w:bCs/>
          <w:sz w:val="20"/>
          <w:szCs w:val="20"/>
        </w:rPr>
      </w:pPr>
      <w:r w:rsidRPr="003F73E9">
        <w:rPr>
          <w:rFonts w:ascii="Times New Roman" w:eastAsiaTheme="minorEastAsia" w:hAnsi="Times New Roman" w:cs="Times New Roman"/>
          <w:b/>
          <w:bCs/>
          <w:sz w:val="20"/>
          <w:szCs w:val="20"/>
        </w:rPr>
        <w:t xml:space="preserve">Table S1 </w:t>
      </w:r>
      <w:r w:rsidRPr="003F73E9">
        <w:rPr>
          <w:rFonts w:ascii="Times New Roman" w:hAnsi="Times New Roman" w:cs="Times New Roman"/>
          <w:sz w:val="20"/>
          <w:szCs w:val="20"/>
        </w:rPr>
        <w:t xml:space="preserve">Comparison of the constructed CL sensor based on </w:t>
      </w:r>
      <w:proofErr w:type="spellStart"/>
      <w:r w:rsidRPr="009313DF">
        <w:rPr>
          <w:rFonts w:ascii="Times New Roman" w:hAnsi="Times New Roman" w:cs="Times New Roman"/>
          <w:sz w:val="20"/>
          <w:szCs w:val="20"/>
        </w:rPr>
        <w:t>NiOOH</w:t>
      </w:r>
      <w:proofErr w:type="spellEnd"/>
      <w:r w:rsidRPr="009313DF">
        <w:rPr>
          <w:rFonts w:ascii="Times New Roman" w:hAnsi="Times New Roman" w:cs="Times New Roman"/>
          <w:sz w:val="20"/>
          <w:szCs w:val="20"/>
        </w:rPr>
        <w:t>/</w:t>
      </w:r>
      <w:proofErr w:type="gramStart"/>
      <w:r w:rsidRPr="009313DF">
        <w:rPr>
          <w:rFonts w:ascii="Times New Roman" w:hAnsi="Times New Roman" w:cs="Times New Roman"/>
          <w:sz w:val="20"/>
          <w:szCs w:val="20"/>
        </w:rPr>
        <w:t>Ni(</w:t>
      </w:r>
      <w:proofErr w:type="gramEnd"/>
      <w:r w:rsidRPr="009313DF">
        <w:rPr>
          <w:rFonts w:ascii="Times New Roman" w:hAnsi="Times New Roman" w:cs="Times New Roman"/>
          <w:sz w:val="20"/>
          <w:szCs w:val="20"/>
        </w:rPr>
        <w:t>OH)</w:t>
      </w:r>
      <w:r w:rsidRPr="009313DF">
        <w:rPr>
          <w:rFonts w:ascii="Times New Roman" w:hAnsi="Times New Roman" w:cs="Times New Roman"/>
          <w:sz w:val="20"/>
          <w:szCs w:val="20"/>
          <w:vertAlign w:val="subscript"/>
        </w:rPr>
        <w:t>2</w:t>
      </w:r>
      <w:r w:rsidRPr="009313DF">
        <w:rPr>
          <w:rFonts w:ascii="Times New Roman" w:hAnsi="Times New Roman" w:cs="Times New Roman"/>
          <w:sz w:val="20"/>
          <w:szCs w:val="20"/>
        </w:rPr>
        <w:t xml:space="preserve"> NFs</w:t>
      </w:r>
      <w:r w:rsidRPr="003F73E9">
        <w:rPr>
          <w:rFonts w:ascii="Times New Roman" w:hAnsi="Times New Roman" w:cs="Times New Roman"/>
          <w:sz w:val="20"/>
          <w:szCs w:val="20"/>
        </w:rPr>
        <w:t xml:space="preserve"> with other reported methods for detecting </w:t>
      </w:r>
      <w:r>
        <w:rPr>
          <w:rFonts w:ascii="Times New Roman" w:eastAsiaTheme="minorEastAsia" w:hAnsi="Times New Roman" w:cs="Times New Roman" w:hint="eastAsia"/>
          <w:sz w:val="20"/>
          <w:szCs w:val="20"/>
        </w:rPr>
        <w:t>Mn</w:t>
      </w:r>
      <w:r w:rsidRPr="003F73E9">
        <w:rPr>
          <w:rFonts w:ascii="Times New Roman" w:eastAsiaTheme="minorEastAsia" w:hAnsi="Times New Roman" w:cs="Times New Roman" w:hint="eastAsia"/>
          <w:sz w:val="20"/>
          <w:szCs w:val="20"/>
          <w:vertAlign w:val="superscript"/>
        </w:rPr>
        <w:t>2+</w:t>
      </w:r>
      <w:r w:rsidRPr="003F73E9">
        <w:rPr>
          <w:rFonts w:ascii="Times New Roman" w:hAnsi="Times New Roman" w:cs="Times New Roman"/>
          <w:sz w:val="20"/>
          <w:szCs w:val="20"/>
        </w:rPr>
        <w:t xml:space="preserve"> in water samples.</w:t>
      </w:r>
    </w:p>
    <w:tbl>
      <w:tblPr>
        <w:tblStyle w:val="af2"/>
        <w:tblpPr w:leftFromText="180" w:rightFromText="180" w:vertAnchor="text" w:horzAnchor="margin" w:tblpY="54"/>
        <w:tblW w:w="8856" w:type="dxa"/>
        <w:tblLayout w:type="fixed"/>
        <w:tblLook w:val="04A0" w:firstRow="1" w:lastRow="0" w:firstColumn="1" w:lastColumn="0" w:noHBand="0" w:noVBand="1"/>
      </w:tblPr>
      <w:tblGrid>
        <w:gridCol w:w="1951"/>
        <w:gridCol w:w="2444"/>
        <w:gridCol w:w="1984"/>
        <w:gridCol w:w="1276"/>
        <w:gridCol w:w="1201"/>
      </w:tblGrid>
      <w:tr w:rsidR="00DF33FF" w14:paraId="1F064D1D" w14:textId="77777777" w:rsidTr="00885695">
        <w:trPr>
          <w:cnfStyle w:val="100000000000" w:firstRow="1" w:lastRow="0" w:firstColumn="0" w:lastColumn="0" w:oddVBand="0" w:evenVBand="0" w:oddHBand="0" w:evenHBand="0" w:firstRowFirstColumn="0" w:firstRowLastColumn="0" w:lastRowFirstColumn="0" w:lastRowLastColumn="0"/>
        </w:trPr>
        <w:tc>
          <w:tcPr>
            <w:tcW w:w="1951" w:type="dxa"/>
            <w:vAlign w:val="center"/>
          </w:tcPr>
          <w:p w14:paraId="05A0D811" w14:textId="77777777" w:rsidR="00DF33FF" w:rsidRPr="009140D9" w:rsidRDefault="00DF33FF" w:rsidP="00885695">
            <w:pPr>
              <w:spacing w:beforeLines="0" w:before="0" w:afterLines="0" w:after="0"/>
              <w:jc w:val="center"/>
            </w:pPr>
            <w:r w:rsidRPr="009140D9">
              <w:t>Materials</w:t>
            </w:r>
          </w:p>
        </w:tc>
        <w:tc>
          <w:tcPr>
            <w:tcW w:w="2444" w:type="dxa"/>
            <w:vAlign w:val="center"/>
          </w:tcPr>
          <w:p w14:paraId="068DC166" w14:textId="77777777" w:rsidR="00DF33FF" w:rsidRPr="009140D9" w:rsidRDefault="00DF33FF" w:rsidP="00885695">
            <w:pPr>
              <w:spacing w:beforeLines="0" w:before="0" w:afterLines="0" w:after="0"/>
              <w:jc w:val="center"/>
            </w:pPr>
            <w:r w:rsidRPr="009140D9">
              <w:t>Methods</w:t>
            </w:r>
          </w:p>
        </w:tc>
        <w:tc>
          <w:tcPr>
            <w:tcW w:w="1984" w:type="dxa"/>
          </w:tcPr>
          <w:p w14:paraId="07410E07" w14:textId="77777777" w:rsidR="00DF33FF" w:rsidRPr="009140D9" w:rsidRDefault="00DF33FF" w:rsidP="00885695">
            <w:pPr>
              <w:spacing w:beforeLines="0" w:before="0" w:afterLines="0" w:after="0"/>
              <w:jc w:val="center"/>
            </w:pPr>
            <w:r w:rsidRPr="009140D9">
              <w:t>Linear range</w:t>
            </w:r>
            <w:r>
              <w:rPr>
                <w:rFonts w:eastAsiaTheme="minorEastAsia" w:hint="eastAsia"/>
              </w:rPr>
              <w:t xml:space="preserve"> </w:t>
            </w:r>
            <w:r w:rsidRPr="009140D9">
              <w:t>(μ</w:t>
            </w:r>
            <w:r>
              <w:rPr>
                <w:rFonts w:eastAsiaTheme="minorEastAsia" w:hint="eastAsia"/>
              </w:rPr>
              <w:t>mol</w:t>
            </w:r>
            <w:r w:rsidRPr="00425A4F">
              <w:rPr>
                <w:rFonts w:eastAsiaTheme="minorEastAsia"/>
              </w:rPr>
              <w:t>·</w:t>
            </w:r>
            <w:r w:rsidRPr="00E35B59">
              <w:t>L</w:t>
            </w:r>
            <w:r w:rsidRPr="00E5630E">
              <w:rPr>
                <w:vertAlign w:val="superscript"/>
              </w:rPr>
              <w:t>−1</w:t>
            </w:r>
            <w:r w:rsidRPr="009140D9">
              <w:t>)</w:t>
            </w:r>
          </w:p>
        </w:tc>
        <w:tc>
          <w:tcPr>
            <w:tcW w:w="1276" w:type="dxa"/>
          </w:tcPr>
          <w:p w14:paraId="65C3DDF0" w14:textId="77777777" w:rsidR="00DF33FF" w:rsidRPr="009140D9" w:rsidRDefault="00DF33FF" w:rsidP="00885695">
            <w:pPr>
              <w:spacing w:beforeLines="0" w:before="0" w:afterLines="0" w:after="0"/>
              <w:jc w:val="center"/>
            </w:pPr>
            <w:r w:rsidRPr="009140D9">
              <w:t>LOD</w:t>
            </w:r>
            <w:r>
              <w:rPr>
                <w:rFonts w:eastAsiaTheme="minorEastAsia" w:hint="eastAsia"/>
              </w:rPr>
              <w:t xml:space="preserve"> </w:t>
            </w:r>
            <w:r w:rsidRPr="009140D9">
              <w:t>(μ</w:t>
            </w:r>
            <w:r>
              <w:rPr>
                <w:rFonts w:eastAsiaTheme="minorEastAsia" w:hint="eastAsia"/>
              </w:rPr>
              <w:t>mol</w:t>
            </w:r>
            <w:r w:rsidRPr="00425A4F">
              <w:rPr>
                <w:rFonts w:eastAsiaTheme="minorEastAsia"/>
              </w:rPr>
              <w:t>·</w:t>
            </w:r>
            <w:r w:rsidRPr="00E35B59">
              <w:t>L</w:t>
            </w:r>
            <w:r w:rsidRPr="00E5630E">
              <w:rPr>
                <w:vertAlign w:val="superscript"/>
              </w:rPr>
              <w:t>−1</w:t>
            </w:r>
            <w:r w:rsidRPr="009140D9">
              <w:t>)</w:t>
            </w:r>
          </w:p>
        </w:tc>
        <w:tc>
          <w:tcPr>
            <w:tcW w:w="1201" w:type="dxa"/>
            <w:vAlign w:val="center"/>
          </w:tcPr>
          <w:p w14:paraId="26261BD4" w14:textId="77777777" w:rsidR="00DF33FF" w:rsidRPr="009140D9" w:rsidRDefault="00DF33FF" w:rsidP="00885695">
            <w:pPr>
              <w:spacing w:beforeLines="0" w:before="0" w:afterLines="0" w:after="0"/>
              <w:jc w:val="center"/>
            </w:pPr>
            <w:r w:rsidRPr="009140D9">
              <w:t>Reference</w:t>
            </w:r>
          </w:p>
        </w:tc>
      </w:tr>
      <w:tr w:rsidR="00DF33FF" w14:paraId="5757192D" w14:textId="77777777" w:rsidTr="00885695">
        <w:tc>
          <w:tcPr>
            <w:tcW w:w="1951" w:type="dxa"/>
          </w:tcPr>
          <w:p w14:paraId="4FC914BF" w14:textId="77777777" w:rsidR="00DF33FF" w:rsidRDefault="00DF33FF" w:rsidP="00885695">
            <w:pPr>
              <w:spacing w:beforeLines="0" w:before="0" w:afterLines="0" w:after="0"/>
              <w:jc w:val="center"/>
            </w:pPr>
            <w:r w:rsidRPr="00E2095F">
              <w:t>TCPP-GO</w:t>
            </w:r>
            <w:r>
              <w:t xml:space="preserve"> </w:t>
            </w:r>
            <w:r w:rsidRPr="00C739F3">
              <w:rPr>
                <w:vertAlign w:val="superscript"/>
              </w:rPr>
              <w:t>a</w:t>
            </w:r>
          </w:p>
        </w:tc>
        <w:tc>
          <w:tcPr>
            <w:tcW w:w="2444" w:type="dxa"/>
          </w:tcPr>
          <w:p w14:paraId="702DBA9A" w14:textId="77777777" w:rsidR="00DF33FF" w:rsidRDefault="00DF33FF" w:rsidP="00885695">
            <w:pPr>
              <w:spacing w:beforeLines="0" w:before="0" w:afterLines="0" w:after="0"/>
              <w:jc w:val="center"/>
            </w:pPr>
            <w:r>
              <w:t>Fluorescence</w:t>
            </w:r>
          </w:p>
        </w:tc>
        <w:tc>
          <w:tcPr>
            <w:tcW w:w="1984" w:type="dxa"/>
          </w:tcPr>
          <w:p w14:paraId="255C9045" w14:textId="77777777" w:rsidR="00DF33FF" w:rsidRDefault="00DF33FF" w:rsidP="00885695">
            <w:pPr>
              <w:spacing w:beforeLines="0" w:before="0" w:afterLines="0" w:after="0"/>
              <w:jc w:val="center"/>
            </w:pPr>
            <w:r>
              <w:t>25</w:t>
            </w:r>
            <w:r>
              <w:rPr>
                <w:rFonts w:eastAsiaTheme="minorEastAsia" w:hint="eastAsia"/>
              </w:rPr>
              <w:t>–</w:t>
            </w:r>
            <w:r>
              <w:t>270</w:t>
            </w:r>
          </w:p>
        </w:tc>
        <w:tc>
          <w:tcPr>
            <w:tcW w:w="1276" w:type="dxa"/>
          </w:tcPr>
          <w:p w14:paraId="6B177750" w14:textId="77777777" w:rsidR="00DF33FF" w:rsidRDefault="00DF33FF" w:rsidP="00885695">
            <w:pPr>
              <w:spacing w:beforeLines="0" w:before="0" w:afterLines="0" w:after="0"/>
              <w:jc w:val="center"/>
            </w:pPr>
            <w:r>
              <w:t>1.80</w:t>
            </w:r>
          </w:p>
        </w:tc>
        <w:tc>
          <w:tcPr>
            <w:tcW w:w="1201" w:type="dxa"/>
          </w:tcPr>
          <w:p w14:paraId="7E492681" w14:textId="77777777" w:rsidR="00DF33FF" w:rsidRPr="00A43E72" w:rsidRDefault="00DF33FF" w:rsidP="00885695">
            <w:pPr>
              <w:spacing w:beforeLines="0" w:before="0" w:afterLines="0" w:after="0"/>
              <w:jc w:val="center"/>
              <w:rPr>
                <w:rFonts w:eastAsiaTheme="minorEastAsia"/>
              </w:rPr>
            </w:pPr>
            <w:r>
              <w:rPr>
                <w:rFonts w:eastAsiaTheme="minorEastAsia"/>
              </w:rPr>
              <w:fldChar w:fldCharType="begin"/>
            </w:r>
            <w:r>
              <w:rPr>
                <w:rFonts w:eastAsiaTheme="minorEastAsia"/>
              </w:rPr>
              <w:instrText xml:space="preserve"> ADDIN ZOTERO_ITEM CSL_CITATION {"citationID":"UzT2w3k1","properties":{"formattedCitation":"[1]","plainCitation":"[1]","noteIndex":0},"citationItems":[{"id":1467,"uris":["http://zotero.org/users/12165797/items/ZB8AIBG2"],"itemData":{"id":1467,"type":"article-journal","abstract":"In this study, meso‑tetrakis(4-carboxyphenyl)porphyrin (TCPP) was chemically bonded to the surface of graphene oxide (GO) nanosheets and characterized by various techniques. The sensing prowess of the prepared composite towards metal ions was investigated through photoluminescence (PL) spectroscopy. Our results indicate that TCPP-GO can detect Mn2+ ions through fluorescence quenching. Therefore, experiments related to concentration, selectivity, detection limit, and response time were conducted to study the performance of the TCPP-GO sensor. A linear response of fluorescence intensity of TCPP-GO and Mn2+ in the 25–270 μM range with a detection limit of 1.8 μM was observed. The competition test displayed that the presence of other ions such as Sn2+, Pt2+, Ca2+, Na+, Fe3+, Fe2+, Zn2+, Cu2+, Cr2+, Co2+, Ni2+ had no significant effect on detecting Mn2+ ions. Furthermore, the suggested sensor demonstrated excellent performance for sensing manganese ions in real water samples.","container-title":"Journal of Molecular Structure","DOI":"10.1016/j.molstruc.2024.138897","ISSN":"0022-2860","journalAbbreviation":"Journal of Molecular Structure","page":"138897","source":"ScienceDirect","title":"Surface decorated graphene oxide with porphyrin: A promising on-off sensor for Mn2+ ions detection in aqueous media","title-short":"Surface decorated graphene oxide with porphyrin","volume":"1315","author":[{"family":"Rayati","given":"Saeed"},{"family":"Farahani","given":"Yeganeh Davoudabadi"},{"family":"Ghasemi","given":"Jahan B."}],"issued":{"date-parts":[["2024",11,5]]}}}],"schema":"https://github.com/citation-style-language/schema/raw/master/csl-citation.json"} </w:instrText>
            </w:r>
            <w:r>
              <w:rPr>
                <w:rFonts w:eastAsiaTheme="minorEastAsia"/>
              </w:rPr>
              <w:fldChar w:fldCharType="separate"/>
            </w:r>
            <w:r w:rsidRPr="00A43E72">
              <w:rPr>
                <w:rFonts w:eastAsiaTheme="minorEastAsia"/>
              </w:rPr>
              <w:t>[1]</w:t>
            </w:r>
            <w:r>
              <w:rPr>
                <w:rFonts w:eastAsiaTheme="minorEastAsia"/>
              </w:rPr>
              <w:fldChar w:fldCharType="end"/>
            </w:r>
          </w:p>
        </w:tc>
      </w:tr>
      <w:tr w:rsidR="00DF33FF" w14:paraId="155B736D" w14:textId="77777777" w:rsidTr="00885695">
        <w:tc>
          <w:tcPr>
            <w:tcW w:w="1951" w:type="dxa"/>
          </w:tcPr>
          <w:p w14:paraId="436DA5FE" w14:textId="77777777" w:rsidR="00DF33FF" w:rsidRPr="004207EF" w:rsidRDefault="00DF33FF" w:rsidP="00885695">
            <w:pPr>
              <w:spacing w:beforeLines="0" w:before="0" w:afterLines="0" w:after="0"/>
              <w:jc w:val="center"/>
            </w:pPr>
            <w:r w:rsidRPr="004207EF">
              <w:t>KBNCDs</w:t>
            </w:r>
            <w:r>
              <w:t xml:space="preserve"> </w:t>
            </w:r>
            <w:r w:rsidRPr="00C739F3">
              <w:rPr>
                <w:vertAlign w:val="superscript"/>
              </w:rPr>
              <w:t>b</w:t>
            </w:r>
          </w:p>
        </w:tc>
        <w:tc>
          <w:tcPr>
            <w:tcW w:w="2444" w:type="dxa"/>
          </w:tcPr>
          <w:p w14:paraId="6085E886" w14:textId="77777777" w:rsidR="00DF33FF" w:rsidRDefault="00DF33FF" w:rsidP="00885695">
            <w:pPr>
              <w:spacing w:beforeLines="0" w:before="0" w:afterLines="0" w:after="0"/>
              <w:jc w:val="center"/>
            </w:pPr>
            <w:r w:rsidRPr="005F73F1">
              <w:t>Fluorescence</w:t>
            </w:r>
          </w:p>
        </w:tc>
        <w:tc>
          <w:tcPr>
            <w:tcW w:w="1984" w:type="dxa"/>
          </w:tcPr>
          <w:p w14:paraId="0C364210" w14:textId="77777777" w:rsidR="00DF33FF" w:rsidRDefault="00DF33FF" w:rsidP="00885695">
            <w:pPr>
              <w:spacing w:beforeLines="0" w:before="0" w:afterLines="0" w:after="0"/>
              <w:jc w:val="center"/>
            </w:pPr>
            <w:r>
              <w:t>5</w:t>
            </w:r>
            <w:r>
              <w:rPr>
                <w:rFonts w:eastAsiaTheme="minorEastAsia" w:hint="eastAsia"/>
              </w:rPr>
              <w:t>–</w:t>
            </w:r>
            <w:r>
              <w:t>25</w:t>
            </w:r>
          </w:p>
        </w:tc>
        <w:tc>
          <w:tcPr>
            <w:tcW w:w="1276" w:type="dxa"/>
          </w:tcPr>
          <w:p w14:paraId="18910A13" w14:textId="77777777" w:rsidR="00DF33FF" w:rsidRDefault="00DF33FF" w:rsidP="00885695">
            <w:pPr>
              <w:spacing w:beforeLines="0" w:before="0" w:afterLines="0" w:after="0"/>
              <w:jc w:val="center"/>
            </w:pPr>
            <w:r>
              <w:t>1.20</w:t>
            </w:r>
          </w:p>
        </w:tc>
        <w:tc>
          <w:tcPr>
            <w:tcW w:w="1201" w:type="dxa"/>
          </w:tcPr>
          <w:p w14:paraId="0F3C3F77" w14:textId="77777777" w:rsidR="00DF33FF" w:rsidRDefault="00DF33FF" w:rsidP="00885695">
            <w:pPr>
              <w:spacing w:beforeLines="0" w:before="0" w:afterLines="0" w:after="0"/>
              <w:jc w:val="center"/>
            </w:pPr>
            <w:r>
              <w:fldChar w:fldCharType="begin"/>
            </w:r>
            <w:r>
              <w:instrText xml:space="preserve"> ADDIN ZOTERO_ITEM CSL_CITATION {"citationID":"3TaDkMnj","properties":{"formattedCitation":"[2]","plainCitation":"[2]","noteIndex":0},"citationItems":[{"id":1469,"uris":["http://zotero.org/users/12165797/items/P4UQ63AY"],"itemData":{"id":1469,"type":"article-journal","abstract":"In this study, a novel and sustainable approach was used to synthesize nitrogen-doped carbon dots (NCDs) from the waste biomass of Poa Pratensis (Kentucky bluegrass (KB)) by a facile hydrothermal method. The prepared KBNCDs were subjected to various characterization techniques, including X-ray diffraction, X-ray photoelectron spectroscopy, transmission electron microscopy, and Fourier-transform infrared spectroscopy to verify the formation of carbon dots and their surface functional groups. The KBNCDs exhibited good hydrophilic fluorescence (FLU) properties with an acceptable quantum yield (7%). The synthesized KBNCDs showed excitation wavelength-dependent FLU emission behavior with strong cyan-blue FLU upon irradiation with 365 nm UV-light. The hydrophilic optical properties of the as-synthesized KBNCDs were used to detect Fe3+ and Mn2+ ions in an aqueous medium with good selectivity and sensitivity. It was found that the FLU of the KBNCDs is quenched in the presence of Fe3+ and Mn2+ ions, and the quenching rate was linear with the concentration of Fe3+ and Mn2+ ions. The limit of detection (LOD) of KBNCDs with metal ions was calculated using the Stern–Volmer relationship. The LOD values for Fe3+ or Mn2+ ions were calculated as 1.4 and 1.2 μM, respectively with the detection range from 5.0 to 25 μM. Based on these results, this study provides an underpinning for the development of KBNCD as FLU sensors that can be used in aqueous media.","container-title":"Chemosphere","DOI":"10.1016/j.chemosphere.2021.131764","ISSN":"0045-6535","journalAbbreviation":"Chemosphere","page":"131764","source":"ScienceDirect","title":"Utilization of waste biomass of &lt;i&gt;Poa pratensis&lt;/i&gt; for green synthesis of n-doped carbon dots and its application in detection of Mn2+ and Fe3+","volume":"286","author":[{"family":"Krishnaiah","given":"Prakash"},{"family":"Atchudan","given":"Raji"},{"family":"Perumal","given":"Suguna"},{"family":"Salama","given":"El-Sayed"},{"family":"Lee","given":"Yong Rok"},{"family":"Jeon","given":"Byong-Hun"}],"issued":{"date-parts":[["2022",1,1]]}}}],"schema":"https://github.com/citation-style-language/schema/raw/master/csl-citation.json"} </w:instrText>
            </w:r>
            <w:r>
              <w:fldChar w:fldCharType="separate"/>
            </w:r>
            <w:r w:rsidRPr="008122C9">
              <w:t>[2]</w:t>
            </w:r>
            <w:r>
              <w:fldChar w:fldCharType="end"/>
            </w:r>
          </w:p>
        </w:tc>
      </w:tr>
      <w:tr w:rsidR="00DF33FF" w14:paraId="3FA5ECD5" w14:textId="77777777" w:rsidTr="00885695">
        <w:tc>
          <w:tcPr>
            <w:tcW w:w="1951" w:type="dxa"/>
          </w:tcPr>
          <w:p w14:paraId="7067E31A" w14:textId="77777777" w:rsidR="00DF33FF" w:rsidRDefault="00DF33FF" w:rsidP="00885695">
            <w:pPr>
              <w:spacing w:beforeLines="0" w:before="0" w:afterLines="0" w:after="0"/>
              <w:jc w:val="center"/>
            </w:pPr>
            <w:r>
              <w:t xml:space="preserve">NAC2 </w:t>
            </w:r>
            <w:r w:rsidRPr="00C739F3">
              <w:rPr>
                <w:vertAlign w:val="superscript"/>
              </w:rPr>
              <w:t>c</w:t>
            </w:r>
          </w:p>
        </w:tc>
        <w:tc>
          <w:tcPr>
            <w:tcW w:w="2444" w:type="dxa"/>
          </w:tcPr>
          <w:p w14:paraId="5C8059B9" w14:textId="77777777" w:rsidR="00DF33FF" w:rsidRDefault="00DF33FF" w:rsidP="00885695">
            <w:pPr>
              <w:spacing w:beforeLines="0" w:before="0" w:afterLines="0" w:after="0"/>
              <w:jc w:val="center"/>
            </w:pPr>
            <w:r w:rsidRPr="005F73F1">
              <w:t>Fluorescence</w:t>
            </w:r>
          </w:p>
        </w:tc>
        <w:tc>
          <w:tcPr>
            <w:tcW w:w="1984" w:type="dxa"/>
          </w:tcPr>
          <w:p w14:paraId="42FF0305" w14:textId="77777777" w:rsidR="00DF33FF" w:rsidRDefault="00DF33FF" w:rsidP="00885695">
            <w:pPr>
              <w:spacing w:beforeLines="0" w:before="0" w:afterLines="0" w:after="0"/>
              <w:jc w:val="center"/>
            </w:pPr>
            <w:r>
              <w:t>0</w:t>
            </w:r>
            <w:r>
              <w:rPr>
                <w:rFonts w:eastAsiaTheme="minorEastAsia" w:hint="eastAsia"/>
              </w:rPr>
              <w:t>–</w:t>
            </w:r>
            <w:r>
              <w:t>40</w:t>
            </w:r>
          </w:p>
        </w:tc>
        <w:tc>
          <w:tcPr>
            <w:tcW w:w="1276" w:type="dxa"/>
          </w:tcPr>
          <w:p w14:paraId="4C23B779" w14:textId="77777777" w:rsidR="00DF33FF" w:rsidRDefault="00DF33FF" w:rsidP="00885695">
            <w:pPr>
              <w:spacing w:beforeLines="0" w:before="0" w:afterLines="0" w:after="0"/>
              <w:jc w:val="center"/>
            </w:pPr>
            <w:r>
              <w:t>0.75</w:t>
            </w:r>
          </w:p>
        </w:tc>
        <w:tc>
          <w:tcPr>
            <w:tcW w:w="1201" w:type="dxa"/>
          </w:tcPr>
          <w:p w14:paraId="114282F0" w14:textId="77777777" w:rsidR="00DF33FF" w:rsidRPr="008122C9" w:rsidRDefault="00DF33FF" w:rsidP="00885695">
            <w:pPr>
              <w:spacing w:beforeLines="0" w:before="0" w:afterLines="0" w:after="0"/>
              <w:jc w:val="center"/>
              <w:rPr>
                <w:rFonts w:eastAsiaTheme="minorEastAsia"/>
              </w:rPr>
            </w:pPr>
            <w:r>
              <w:rPr>
                <w:rFonts w:eastAsiaTheme="minorEastAsia"/>
              </w:rPr>
              <w:fldChar w:fldCharType="begin"/>
            </w:r>
            <w:r>
              <w:rPr>
                <w:rFonts w:eastAsiaTheme="minorEastAsia"/>
              </w:rPr>
              <w:instrText xml:space="preserve"> ADDIN ZOTERO_ITEM CSL_CITATION {"citationID":"FOj7GaX2","properties":{"formattedCitation":"[3]","plainCitation":"[3]","noteIndex":0},"citationItems":[{"id":1472,"uris":["http://zotero.org/users/12165797/items/9I5YUFYA"],"itemData":{"id":1472,"type":"article-journal","abstract":"Building fluorescence sensors with intelligent performance on detecting target substrate in our living environment is of great significance. Two 1,8-naphthalimide fluorescence sensors with “vice” like phthalic acid recognition groups (NAC1, NAC2) were designed and synthesized via a facile method. The photophysical properties of the two compounds were investigated and compared. The research on structure-performance difference showed that NAC2, containing a n-dodecylamino group at the 4-position of the 1,8-naphthalimide moiety, had better fluorescence “turn-off” performance to Mn2+ and Zn2+. DFT calculations were applied to verify the results. NAC2 can detect the two kinds of metal ions within 1 min, and the detection limit was respectively determined to be 0.040 mg/L (for Mn2+), 0.085 mg/L (for Zn2+). NAC2 was also applied in the practical sample analysis, indicating that it is a potential visualization tool in environmental monitoring.","container-title":"Journal of Photochemistry and Photobiology A: Chemistry","DOI":"10.1016/j.jphotochem.2022.113951","ISSN":"1010-6030","journalAbbreviation":"Journal of Photochemistry and Photobiology A: Chemistry","page":"113951","source":"ScienceDirect","title":"Synthesis and photophysical properties of vice-like 1,8-naphthalimide fluorescent sensor for sensitive detection of Mn2+ and Zn2+","volume":"430","author":[{"family":"Nie","given":"Wo"},{"family":"Yang","given":"Jian"},{"family":"Wu","given":"Jiahui"},{"family":"Hu","given":"Liu"}],"issued":{"date-parts":[["2022",9,1]]}}}],"schema":"https://github.com/citation-style-language/schema/raw/master/csl-citation.json"} </w:instrText>
            </w:r>
            <w:r>
              <w:rPr>
                <w:rFonts w:eastAsiaTheme="minorEastAsia"/>
              </w:rPr>
              <w:fldChar w:fldCharType="separate"/>
            </w:r>
            <w:r w:rsidRPr="008122C9">
              <w:rPr>
                <w:rFonts w:eastAsiaTheme="minorEastAsia"/>
              </w:rPr>
              <w:t>[3]</w:t>
            </w:r>
            <w:r>
              <w:rPr>
                <w:rFonts w:eastAsiaTheme="minorEastAsia"/>
              </w:rPr>
              <w:fldChar w:fldCharType="end"/>
            </w:r>
          </w:p>
        </w:tc>
      </w:tr>
      <w:tr w:rsidR="00DF33FF" w14:paraId="58F84DAF" w14:textId="77777777" w:rsidTr="00885695">
        <w:tc>
          <w:tcPr>
            <w:tcW w:w="1951" w:type="dxa"/>
          </w:tcPr>
          <w:p w14:paraId="5B7B7155" w14:textId="77777777" w:rsidR="00DF33FF" w:rsidRDefault="00DF33FF" w:rsidP="00885695">
            <w:pPr>
              <w:spacing w:beforeLines="0" w:before="0" w:afterLines="0" w:after="0"/>
              <w:jc w:val="center"/>
            </w:pPr>
            <w:r>
              <w:t xml:space="preserve">ALC/PQ-2 </w:t>
            </w:r>
            <w:r w:rsidRPr="00C739F3">
              <w:rPr>
                <w:vertAlign w:val="superscript"/>
              </w:rPr>
              <w:t>d</w:t>
            </w:r>
          </w:p>
        </w:tc>
        <w:tc>
          <w:tcPr>
            <w:tcW w:w="2444" w:type="dxa"/>
          </w:tcPr>
          <w:p w14:paraId="29B7AE6F" w14:textId="77777777" w:rsidR="00DF33FF" w:rsidRDefault="00DF33FF" w:rsidP="00885695">
            <w:pPr>
              <w:spacing w:beforeLines="0" w:before="0" w:afterLines="0" w:after="0"/>
              <w:jc w:val="center"/>
            </w:pPr>
            <w:r w:rsidRPr="002E07FB">
              <w:t>Colorimetr</w:t>
            </w:r>
            <w:r>
              <w:t>y</w:t>
            </w:r>
          </w:p>
        </w:tc>
        <w:tc>
          <w:tcPr>
            <w:tcW w:w="1984" w:type="dxa"/>
          </w:tcPr>
          <w:p w14:paraId="06ABA907" w14:textId="77777777" w:rsidR="00DF33FF" w:rsidRDefault="00DF33FF" w:rsidP="00885695">
            <w:pPr>
              <w:spacing w:beforeLines="0" w:before="0" w:afterLines="0" w:after="0"/>
              <w:jc w:val="center"/>
            </w:pPr>
            <w:r>
              <w:t>0</w:t>
            </w:r>
            <w:r>
              <w:rPr>
                <w:rFonts w:eastAsiaTheme="minorEastAsia" w:hint="eastAsia"/>
              </w:rPr>
              <w:t>–</w:t>
            </w:r>
            <w:r>
              <w:t>40</w:t>
            </w:r>
          </w:p>
        </w:tc>
        <w:tc>
          <w:tcPr>
            <w:tcW w:w="1276" w:type="dxa"/>
          </w:tcPr>
          <w:p w14:paraId="028016B6" w14:textId="77777777" w:rsidR="00DF33FF" w:rsidRDefault="00DF33FF" w:rsidP="00885695">
            <w:pPr>
              <w:spacing w:beforeLines="0" w:before="0" w:afterLines="0" w:after="0"/>
              <w:jc w:val="center"/>
            </w:pPr>
            <w:r>
              <w:t>6.95</w:t>
            </w:r>
          </w:p>
        </w:tc>
        <w:tc>
          <w:tcPr>
            <w:tcW w:w="1201" w:type="dxa"/>
          </w:tcPr>
          <w:p w14:paraId="06F3FB31" w14:textId="77777777" w:rsidR="00DF33FF" w:rsidRPr="00F53247" w:rsidRDefault="00DF33FF" w:rsidP="00885695">
            <w:pPr>
              <w:spacing w:beforeLines="0" w:before="0" w:afterLines="0" w:after="0"/>
              <w:jc w:val="center"/>
              <w:rPr>
                <w:rFonts w:eastAsiaTheme="minorEastAsia"/>
              </w:rPr>
            </w:pPr>
            <w:r>
              <w:rPr>
                <w:rFonts w:eastAsiaTheme="minorEastAsia"/>
              </w:rPr>
              <w:fldChar w:fldCharType="begin"/>
            </w:r>
            <w:r>
              <w:rPr>
                <w:rFonts w:eastAsiaTheme="minorEastAsia"/>
              </w:rPr>
              <w:instrText xml:space="preserve"> ADDIN ZOTERO_ITEM CSL_CITATION {"citationID":"a36I9bQC","properties":{"formattedCitation":"[4]","plainCitation":"[4]","noteIndex":0},"citationItems":[{"id":1474,"uris":["http://zotero.org/users/12165797/items/JI4PQP3L"],"itemData":{"id":1474,"type":"article-journal","abstract":"A novel colorimetric probe for Mn2+ was easily prepared by mixing negatively charged alizarin complexone (ALC) with positively charged poly[bis(2-chloroethyl)ether-alt-1,3-bis[3-(dimethylamino)propyl]urea] (PQ-2) in aqueous solutions at pH 6.0. Upon adding Mn2+ to ALC alone, the solution underwent no distinct color change, while the mixture displayed selective detection of Mn2+ over different physiological and environmentally significant metal ions by an efficient naked-eye color change from red to purple. The detection of Mn2+ by the mixture was achieved from the electrostatic interactions between ALC and PQ-2. The quantitative determination of Mn2+ was obtained by spectrophotometric measurement and naked-eye observation. This sensing strategy can be an attractive approach for the development of new colorimetric probes due to the advantages such as no organic synthesis, facile fabrication, and simple visual detection.","container-title":"Journal of Fluorescence","DOI":"10.1007/s10895-023-03148-9","ISSN":"1573-4994","issue":"4","journalAbbreviation":"J Fluoresc","language":"en","page":"1367-1373","source":"Springer Link","title":"Colorimetric Probe for Mn2+ Using a Mixture of an Anionic Dye and a Cationic Polyelectrolyte in an Aqueous Solution","volume":"33","author":[{"family":"Shimizu","given":"Mahiro"},{"family":"Aikawa","given":"Shunichi"},{"family":"Fukushima","given":"Yasumasa"}],"issued":{"date-parts":[["2023",7,1]]}}}],"schema":"https://github.com/citation-style-language/schema/raw/master/csl-citation.json"} </w:instrText>
            </w:r>
            <w:r>
              <w:rPr>
                <w:rFonts w:eastAsiaTheme="minorEastAsia"/>
              </w:rPr>
              <w:fldChar w:fldCharType="separate"/>
            </w:r>
            <w:r w:rsidRPr="00F53247">
              <w:rPr>
                <w:rFonts w:eastAsiaTheme="minorEastAsia"/>
              </w:rPr>
              <w:t>[4]</w:t>
            </w:r>
            <w:r>
              <w:rPr>
                <w:rFonts w:eastAsiaTheme="minorEastAsia"/>
              </w:rPr>
              <w:fldChar w:fldCharType="end"/>
            </w:r>
          </w:p>
        </w:tc>
      </w:tr>
      <w:tr w:rsidR="00DF33FF" w14:paraId="7364F455" w14:textId="77777777" w:rsidTr="00885695">
        <w:tc>
          <w:tcPr>
            <w:tcW w:w="1951" w:type="dxa"/>
          </w:tcPr>
          <w:p w14:paraId="48C91CF6" w14:textId="77777777" w:rsidR="00DF33FF" w:rsidRDefault="00DF33FF" w:rsidP="00885695">
            <w:pPr>
              <w:spacing w:beforeLines="0" w:before="0" w:afterLines="0" w:after="0"/>
              <w:jc w:val="center"/>
            </w:pPr>
            <w:r w:rsidRPr="008306DA">
              <w:t>MNA-MA-</w:t>
            </w:r>
            <w:proofErr w:type="spellStart"/>
            <w:r w:rsidRPr="008306DA">
              <w:t>AgNPs</w:t>
            </w:r>
            <w:proofErr w:type="spellEnd"/>
            <w:r>
              <w:t xml:space="preserve"> </w:t>
            </w:r>
            <w:r w:rsidRPr="00C739F3">
              <w:rPr>
                <w:vertAlign w:val="superscript"/>
              </w:rPr>
              <w:t>e</w:t>
            </w:r>
          </w:p>
        </w:tc>
        <w:tc>
          <w:tcPr>
            <w:tcW w:w="2444" w:type="dxa"/>
          </w:tcPr>
          <w:p w14:paraId="6668F796" w14:textId="77777777" w:rsidR="00DF33FF" w:rsidRDefault="00DF33FF" w:rsidP="00885695">
            <w:pPr>
              <w:spacing w:beforeLines="0" w:before="0" w:afterLines="0" w:after="0"/>
              <w:jc w:val="center"/>
            </w:pPr>
            <w:r>
              <w:t>S</w:t>
            </w:r>
            <w:r w:rsidRPr="008306DA">
              <w:t xml:space="preserve">urface-enhanced Raman </w:t>
            </w:r>
            <w:r>
              <w:t>S</w:t>
            </w:r>
            <w:r w:rsidRPr="008306DA">
              <w:t>pectroscopy</w:t>
            </w:r>
          </w:p>
        </w:tc>
        <w:tc>
          <w:tcPr>
            <w:tcW w:w="1984" w:type="dxa"/>
            <w:vAlign w:val="center"/>
          </w:tcPr>
          <w:p w14:paraId="63EF16BF" w14:textId="77777777" w:rsidR="00DF33FF" w:rsidRDefault="00DF33FF" w:rsidP="00885695">
            <w:pPr>
              <w:spacing w:beforeLines="0" w:before="0" w:afterLines="0" w:after="0"/>
              <w:jc w:val="center"/>
            </w:pPr>
            <w:r>
              <w:t>10</w:t>
            </w:r>
            <w:r>
              <w:rPr>
                <w:rFonts w:eastAsiaTheme="minorEastAsia" w:hint="eastAsia"/>
              </w:rPr>
              <w:t>–</w:t>
            </w:r>
            <w:r>
              <w:t>100</w:t>
            </w:r>
          </w:p>
        </w:tc>
        <w:tc>
          <w:tcPr>
            <w:tcW w:w="1276" w:type="dxa"/>
            <w:vAlign w:val="center"/>
          </w:tcPr>
          <w:p w14:paraId="664894BF" w14:textId="77777777" w:rsidR="00DF33FF" w:rsidRDefault="00DF33FF" w:rsidP="00885695">
            <w:pPr>
              <w:spacing w:beforeLines="0" w:before="0" w:afterLines="0" w:after="0"/>
              <w:jc w:val="center"/>
            </w:pPr>
            <w:r>
              <w:t>4.00</w:t>
            </w:r>
          </w:p>
        </w:tc>
        <w:tc>
          <w:tcPr>
            <w:tcW w:w="1201" w:type="dxa"/>
            <w:vAlign w:val="center"/>
          </w:tcPr>
          <w:p w14:paraId="097F4ACB" w14:textId="77777777" w:rsidR="00DF33FF" w:rsidRDefault="00DF33FF" w:rsidP="00885695">
            <w:pPr>
              <w:spacing w:beforeLines="0" w:before="0" w:afterLines="0" w:after="0"/>
              <w:jc w:val="center"/>
            </w:pPr>
            <w:r>
              <w:fldChar w:fldCharType="begin"/>
            </w:r>
            <w:r>
              <w:instrText xml:space="preserve"> ADDIN ZOTERO_ITEM CSL_CITATION {"citationID":"wox7amlx","properties":{"formattedCitation":"[5]","plainCitation":"[5]","noteIndex":0},"citationItems":[{"id":1477,"uris":["http://zotero.org/users/12165797/items/8ID57AJB"],"itemData":{"id":1477,"type":"article-journal","abstract":"Heavy metal ions are difficult to determine directly by surface-enhanced Raman spectroscopy (SERS) due to the lack of Raman characteristic peaks for heavy metal. Herein, a SERS platform was promoted for the determination of divalent manganese ion (Mn2+) with the properties of cost-effectiveness and simplicity. The SERS platform was constructed into a hybrid system of silver nanoparticles (AgNPs), 6-mercaptonicotinic acid (MNA), and melamine (MA). The likely principle of the SERS analysis platform for Mn2+ is that 6-mercaptonic acid cooperates with melamine to combine manganese ions to cause the aggregation of silver nanoparticles, resulting in the rapid enhancement of Raman characteristic peak signals of 6-mercaptonic acid. The established SERS platform for the Mn2+ determination obtained good linearity in the range of Mn2+ concentration of 1.0 × 10−5–1.0 × 10−4 mol/L with a limit of detection (LOD) of 4.0 × 10−6 mol/L.","container-title":"Colloid and Polymer Science","DOI":"10.1007/s00396-023-05116-y","ISSN":"1435-1536","issue":"8","journalAbbreviation":"Colloid Polym Sci","language":"en","page":"949-956","source":"Springer Link","title":"SERS scaffold based on silver nanoparticles with multi-ingredient heavy metal ligands for the determination of Mn(II)","volume":"301","author":[{"family":"Chen","given":"Qinyu"},{"family":"Tang","given":"Jianshe"},{"family":"Huang","given":"Zhi"},{"family":"Li","given":"Hao"},{"family":"Chen","given":"Zhubin"},{"family":"Xiang","given":"Li"}],"issued":{"date-parts":[["2023",8,1]]}}}],"schema":"https://github.com/citation-style-language/schema/raw/master/csl-citation.json"} </w:instrText>
            </w:r>
            <w:r>
              <w:fldChar w:fldCharType="separate"/>
            </w:r>
            <w:r w:rsidRPr="00F53247">
              <w:t>[5]</w:t>
            </w:r>
            <w:r>
              <w:fldChar w:fldCharType="end"/>
            </w:r>
          </w:p>
        </w:tc>
      </w:tr>
      <w:tr w:rsidR="00DF33FF" w14:paraId="18565142" w14:textId="77777777" w:rsidTr="00885695">
        <w:tc>
          <w:tcPr>
            <w:tcW w:w="1951" w:type="dxa"/>
            <w:tcBorders>
              <w:bottom w:val="single" w:sz="12" w:space="0" w:color="auto"/>
            </w:tcBorders>
          </w:tcPr>
          <w:p w14:paraId="02FE4FA1" w14:textId="72C88026" w:rsidR="00DF33FF" w:rsidRPr="00DF33FF" w:rsidRDefault="00DF33FF" w:rsidP="00885695">
            <w:pPr>
              <w:spacing w:beforeLines="0" w:before="0" w:afterLines="0" w:after="0"/>
              <w:jc w:val="center"/>
              <w:rPr>
                <w:rFonts w:eastAsiaTheme="minorEastAsia" w:hint="eastAsia"/>
              </w:rPr>
            </w:pPr>
            <w:proofErr w:type="spellStart"/>
            <w:r>
              <w:t>NiOOH</w:t>
            </w:r>
            <w:proofErr w:type="spellEnd"/>
            <w:r>
              <w:t>/</w:t>
            </w:r>
            <w:proofErr w:type="gramStart"/>
            <w:r>
              <w:t>Ni(</w:t>
            </w:r>
            <w:proofErr w:type="gramEnd"/>
            <w:r>
              <w:t>OH)</w:t>
            </w:r>
            <w:r w:rsidRPr="00DF33FF">
              <w:rPr>
                <w:rFonts w:eastAsiaTheme="minorEastAsia" w:hint="eastAsia"/>
                <w:vertAlign w:val="subscript"/>
              </w:rPr>
              <w:t>2</w:t>
            </w:r>
          </w:p>
        </w:tc>
        <w:tc>
          <w:tcPr>
            <w:tcW w:w="2444" w:type="dxa"/>
            <w:tcBorders>
              <w:bottom w:val="single" w:sz="12" w:space="0" w:color="auto"/>
            </w:tcBorders>
          </w:tcPr>
          <w:p w14:paraId="71417295" w14:textId="77777777" w:rsidR="00DF33FF" w:rsidRDefault="00DF33FF" w:rsidP="00885695">
            <w:pPr>
              <w:spacing w:beforeLines="0" w:before="0" w:afterLines="0" w:after="0"/>
              <w:jc w:val="center"/>
            </w:pPr>
            <w:r>
              <w:t>Chemiluminescence</w:t>
            </w:r>
          </w:p>
        </w:tc>
        <w:tc>
          <w:tcPr>
            <w:tcW w:w="1984" w:type="dxa"/>
            <w:tcBorders>
              <w:bottom w:val="single" w:sz="12" w:space="0" w:color="auto"/>
            </w:tcBorders>
          </w:tcPr>
          <w:p w14:paraId="76D5A694" w14:textId="77777777" w:rsidR="00DF33FF" w:rsidRDefault="00DF33FF" w:rsidP="00885695">
            <w:pPr>
              <w:spacing w:beforeLines="0" w:before="0" w:afterLines="0" w:after="0"/>
              <w:jc w:val="center"/>
            </w:pPr>
            <w:r>
              <w:t>1</w:t>
            </w:r>
            <w:r>
              <w:rPr>
                <w:rFonts w:eastAsiaTheme="minorEastAsia" w:hint="eastAsia"/>
              </w:rPr>
              <w:t>–</w:t>
            </w:r>
            <w:r>
              <w:t>30</w:t>
            </w:r>
          </w:p>
        </w:tc>
        <w:tc>
          <w:tcPr>
            <w:tcW w:w="1276" w:type="dxa"/>
            <w:tcBorders>
              <w:bottom w:val="single" w:sz="12" w:space="0" w:color="auto"/>
            </w:tcBorders>
          </w:tcPr>
          <w:p w14:paraId="7D64749F" w14:textId="77777777" w:rsidR="00DF33FF" w:rsidRPr="00EB7438" w:rsidRDefault="00DF33FF" w:rsidP="00885695">
            <w:pPr>
              <w:spacing w:beforeLines="0" w:before="0" w:afterLines="0" w:after="0"/>
              <w:jc w:val="center"/>
              <w:rPr>
                <w:rFonts w:eastAsiaTheme="minorEastAsia"/>
              </w:rPr>
            </w:pPr>
            <w:r>
              <w:t>0.6</w:t>
            </w:r>
            <w:r>
              <w:rPr>
                <w:rFonts w:eastAsiaTheme="minorEastAsia" w:hint="eastAsia"/>
              </w:rPr>
              <w:t>0</w:t>
            </w:r>
          </w:p>
        </w:tc>
        <w:tc>
          <w:tcPr>
            <w:tcW w:w="1201" w:type="dxa"/>
            <w:tcBorders>
              <w:bottom w:val="single" w:sz="12" w:space="0" w:color="auto"/>
            </w:tcBorders>
          </w:tcPr>
          <w:p w14:paraId="11DAF785" w14:textId="77777777" w:rsidR="00DF33FF" w:rsidRDefault="00DF33FF" w:rsidP="00885695">
            <w:pPr>
              <w:spacing w:beforeLines="0" w:before="0" w:afterLines="0" w:after="0"/>
              <w:jc w:val="center"/>
            </w:pPr>
            <w:r>
              <w:t>This work</w:t>
            </w:r>
          </w:p>
        </w:tc>
      </w:tr>
    </w:tbl>
    <w:p w14:paraId="4277FD56" w14:textId="77777777" w:rsidR="00DF33FF" w:rsidRPr="00C4773A" w:rsidRDefault="00DF33FF" w:rsidP="00DF33FF">
      <w:pPr>
        <w:spacing w:before="156" w:after="156" w:line="400" w:lineRule="exact"/>
        <w:rPr>
          <w:rFonts w:ascii="Times New Roman" w:hAnsi="Times New Roman" w:cs="Times New Roman"/>
        </w:rPr>
      </w:pPr>
      <w:r w:rsidRPr="00C4773A">
        <w:rPr>
          <w:rFonts w:ascii="Times New Roman" w:hAnsi="Times New Roman" w:cs="Times New Roman"/>
          <w:vertAlign w:val="superscript"/>
        </w:rPr>
        <w:t>a</w:t>
      </w:r>
      <w:r w:rsidRPr="00C4773A">
        <w:rPr>
          <w:rFonts w:ascii="Times New Roman" w:hAnsi="Times New Roman" w:cs="Times New Roman"/>
        </w:rPr>
        <w:t xml:space="preserve"> Meso‑</w:t>
      </w:r>
      <w:proofErr w:type="spellStart"/>
      <w:r w:rsidRPr="00C4773A">
        <w:rPr>
          <w:rFonts w:ascii="Times New Roman" w:hAnsi="Times New Roman" w:cs="Times New Roman"/>
        </w:rPr>
        <w:t>tetrakis</w:t>
      </w:r>
      <w:proofErr w:type="spellEnd"/>
      <w:r w:rsidRPr="00C4773A">
        <w:rPr>
          <w:rFonts w:ascii="Times New Roman" w:hAnsi="Times New Roman" w:cs="Times New Roman"/>
        </w:rPr>
        <w:t>(4-</w:t>
      </w:r>
      <w:proofErr w:type="gramStart"/>
      <w:r w:rsidRPr="00C4773A">
        <w:rPr>
          <w:rFonts w:ascii="Times New Roman" w:hAnsi="Times New Roman" w:cs="Times New Roman"/>
        </w:rPr>
        <w:t>carboxyphenyl)porphyrin</w:t>
      </w:r>
      <w:proofErr w:type="gramEnd"/>
      <w:r w:rsidRPr="00C4773A">
        <w:rPr>
          <w:rFonts w:ascii="Times New Roman" w:hAnsi="Times New Roman" w:cs="Times New Roman"/>
        </w:rPr>
        <w:t>-graphene oxide</w:t>
      </w:r>
    </w:p>
    <w:p w14:paraId="103E941A" w14:textId="77777777" w:rsidR="00DF33FF" w:rsidRPr="00C4773A" w:rsidRDefault="00DF33FF" w:rsidP="00DF33FF">
      <w:pPr>
        <w:spacing w:before="156" w:after="156" w:line="400" w:lineRule="exact"/>
        <w:rPr>
          <w:rFonts w:ascii="Times New Roman" w:hAnsi="Times New Roman" w:cs="Times New Roman"/>
        </w:rPr>
      </w:pPr>
      <w:r w:rsidRPr="00C4773A">
        <w:rPr>
          <w:rFonts w:ascii="Times New Roman" w:hAnsi="Times New Roman" w:cs="Times New Roman"/>
          <w:vertAlign w:val="superscript"/>
        </w:rPr>
        <w:t>b</w:t>
      </w:r>
      <w:r w:rsidRPr="00C4773A">
        <w:rPr>
          <w:rFonts w:ascii="Times New Roman" w:hAnsi="Times New Roman" w:cs="Times New Roman"/>
        </w:rPr>
        <w:t xml:space="preserve"> Kentucky bluegrass nitrogen-doped carbon dots</w:t>
      </w:r>
    </w:p>
    <w:p w14:paraId="4BC46457" w14:textId="77777777" w:rsidR="00DF33FF" w:rsidRPr="00C4773A" w:rsidRDefault="00DF33FF" w:rsidP="00DF33FF">
      <w:pPr>
        <w:spacing w:before="156" w:after="156" w:line="400" w:lineRule="exact"/>
        <w:rPr>
          <w:rFonts w:ascii="Times New Roman" w:hAnsi="Times New Roman" w:cs="Times New Roman"/>
        </w:rPr>
      </w:pPr>
      <w:r w:rsidRPr="00C4773A">
        <w:rPr>
          <w:rFonts w:ascii="Times New Roman" w:hAnsi="Times New Roman" w:cs="Times New Roman"/>
          <w:vertAlign w:val="superscript"/>
        </w:rPr>
        <w:t>c</w:t>
      </w:r>
      <w:r w:rsidRPr="00C4773A">
        <w:rPr>
          <w:rFonts w:ascii="Times New Roman" w:hAnsi="Times New Roman" w:cs="Times New Roman"/>
        </w:rPr>
        <w:t xml:space="preserve"> </w:t>
      </w:r>
      <w:proofErr w:type="spellStart"/>
      <w:r w:rsidRPr="00C4773A">
        <w:rPr>
          <w:rFonts w:ascii="Times New Roman" w:hAnsi="Times New Roman" w:cs="Times New Roman"/>
        </w:rPr>
        <w:t>Naphthalimide</w:t>
      </w:r>
      <w:proofErr w:type="spellEnd"/>
      <w:r w:rsidRPr="00C4773A">
        <w:rPr>
          <w:rFonts w:ascii="Times New Roman" w:hAnsi="Times New Roman" w:cs="Times New Roman"/>
        </w:rPr>
        <w:t xml:space="preserve"> derivatives with </w:t>
      </w:r>
      <w:r w:rsidRPr="00C4773A">
        <w:rPr>
          <w:rFonts w:ascii="Times New Roman" w:hAnsi="Times New Roman" w:cs="Times New Roman"/>
          <w:i/>
          <w:iCs/>
        </w:rPr>
        <w:t>n-</w:t>
      </w:r>
      <w:proofErr w:type="gramStart"/>
      <w:r w:rsidRPr="00C4773A">
        <w:rPr>
          <w:rFonts w:ascii="Times New Roman" w:hAnsi="Times New Roman" w:cs="Times New Roman"/>
        </w:rPr>
        <w:t>dodecyl[</w:t>
      </w:r>
      <w:proofErr w:type="gramEnd"/>
      <w:r>
        <w:rPr>
          <w:rFonts w:ascii="Times New Roman" w:eastAsiaTheme="minorEastAsia" w:hAnsi="Times New Roman" w:cs="Times New Roman" w:hint="eastAsia"/>
        </w:rPr>
        <w:t>-</w:t>
      </w:r>
      <w:r w:rsidRPr="00C4773A">
        <w:rPr>
          <w:rFonts w:ascii="Times New Roman" w:hAnsi="Times New Roman" w:cs="Times New Roman"/>
        </w:rPr>
        <w:t>(CH</w:t>
      </w:r>
      <w:r w:rsidRPr="00C4773A">
        <w:rPr>
          <w:rFonts w:ascii="Times New Roman" w:hAnsi="Times New Roman" w:cs="Times New Roman"/>
          <w:vertAlign w:val="subscript"/>
        </w:rPr>
        <w:t>2</w:t>
      </w:r>
      <w:r w:rsidRPr="00C4773A">
        <w:rPr>
          <w:rFonts w:ascii="Times New Roman" w:hAnsi="Times New Roman" w:cs="Times New Roman"/>
        </w:rPr>
        <w:t>)</w:t>
      </w:r>
      <w:r w:rsidRPr="00C4773A">
        <w:rPr>
          <w:rFonts w:ascii="Times New Roman" w:hAnsi="Times New Roman" w:cs="Times New Roman"/>
          <w:vertAlign w:val="subscript"/>
        </w:rPr>
        <w:t>11</w:t>
      </w:r>
      <w:r w:rsidRPr="00C4773A">
        <w:rPr>
          <w:rFonts w:ascii="Times New Roman" w:hAnsi="Times New Roman" w:cs="Times New Roman"/>
        </w:rPr>
        <w:t>CH</w:t>
      </w:r>
      <w:r w:rsidRPr="00C4773A">
        <w:rPr>
          <w:rFonts w:ascii="Times New Roman" w:hAnsi="Times New Roman" w:cs="Times New Roman"/>
          <w:vertAlign w:val="subscript"/>
        </w:rPr>
        <w:t>3</w:t>
      </w:r>
      <w:r w:rsidRPr="00C4773A">
        <w:rPr>
          <w:rFonts w:ascii="Times New Roman" w:hAnsi="Times New Roman" w:cs="Times New Roman"/>
        </w:rPr>
        <w:t>]</w:t>
      </w:r>
    </w:p>
    <w:p w14:paraId="484A2E9A" w14:textId="77777777" w:rsidR="00DF33FF" w:rsidRPr="00C4773A" w:rsidRDefault="00DF33FF" w:rsidP="00DF33FF">
      <w:pPr>
        <w:spacing w:before="156" w:after="156" w:line="400" w:lineRule="exact"/>
        <w:rPr>
          <w:rFonts w:ascii="Times New Roman" w:eastAsiaTheme="minorEastAsia" w:hAnsi="Times New Roman" w:cs="Times New Roman"/>
        </w:rPr>
      </w:pPr>
      <w:r w:rsidRPr="00C4773A">
        <w:rPr>
          <w:rFonts w:ascii="Times New Roman" w:hAnsi="Times New Roman" w:cs="Times New Roman"/>
          <w:vertAlign w:val="superscript"/>
        </w:rPr>
        <w:t>d</w:t>
      </w:r>
      <w:r w:rsidRPr="00C4773A">
        <w:rPr>
          <w:rFonts w:ascii="Times New Roman" w:eastAsiaTheme="minorEastAsia" w:hAnsi="Times New Roman" w:cs="Times New Roman"/>
          <w:vertAlign w:val="superscript"/>
        </w:rPr>
        <w:t xml:space="preserve"> </w:t>
      </w:r>
      <w:r w:rsidRPr="00C4773A">
        <w:rPr>
          <w:rFonts w:ascii="Times New Roman" w:eastAsiaTheme="minorEastAsia" w:hAnsi="Times New Roman" w:cs="Times New Roman"/>
        </w:rPr>
        <w:t xml:space="preserve">alizarin </w:t>
      </w:r>
      <w:proofErr w:type="spellStart"/>
      <w:r w:rsidRPr="00C4773A">
        <w:rPr>
          <w:rFonts w:ascii="Times New Roman" w:eastAsiaTheme="minorEastAsia" w:hAnsi="Times New Roman" w:cs="Times New Roman"/>
        </w:rPr>
        <w:t>complexone</w:t>
      </w:r>
      <w:proofErr w:type="spellEnd"/>
      <w:r w:rsidRPr="00C4773A">
        <w:rPr>
          <w:rFonts w:ascii="Times New Roman" w:eastAsiaTheme="minorEastAsia" w:hAnsi="Times New Roman" w:cs="Times New Roman"/>
        </w:rPr>
        <w:t>/</w:t>
      </w:r>
      <w:r w:rsidRPr="00C4773A">
        <w:rPr>
          <w:rFonts w:ascii="Times New Roman" w:hAnsi="Times New Roman" w:cs="Times New Roman"/>
        </w:rPr>
        <w:t xml:space="preserve"> </w:t>
      </w:r>
      <w:r w:rsidRPr="00C4773A">
        <w:rPr>
          <w:rFonts w:ascii="Times New Roman" w:eastAsiaTheme="minorEastAsia" w:hAnsi="Times New Roman" w:cs="Times New Roman"/>
        </w:rPr>
        <w:t>poly[bis(2-</w:t>
      </w:r>
      <w:proofErr w:type="gramStart"/>
      <w:r w:rsidRPr="00C4773A">
        <w:rPr>
          <w:rFonts w:ascii="Times New Roman" w:eastAsiaTheme="minorEastAsia" w:hAnsi="Times New Roman" w:cs="Times New Roman"/>
        </w:rPr>
        <w:t>chloroethyl)ether</w:t>
      </w:r>
      <w:proofErr w:type="gramEnd"/>
      <w:r w:rsidRPr="00C4773A">
        <w:rPr>
          <w:rFonts w:ascii="Times New Roman" w:eastAsiaTheme="minorEastAsia" w:hAnsi="Times New Roman" w:cs="Times New Roman"/>
        </w:rPr>
        <w:t>-alt-1,3-bis[3-(dimethylamino)</w:t>
      </w:r>
      <w:proofErr w:type="gramStart"/>
      <w:r w:rsidRPr="00C4773A">
        <w:rPr>
          <w:rFonts w:ascii="Times New Roman" w:eastAsiaTheme="minorEastAsia" w:hAnsi="Times New Roman" w:cs="Times New Roman"/>
        </w:rPr>
        <w:t>propyl]urea</w:t>
      </w:r>
      <w:proofErr w:type="gramEnd"/>
      <w:r w:rsidRPr="00C4773A">
        <w:rPr>
          <w:rFonts w:ascii="Times New Roman" w:eastAsiaTheme="minorEastAsia" w:hAnsi="Times New Roman" w:cs="Times New Roman"/>
        </w:rPr>
        <w:t>]</w:t>
      </w:r>
    </w:p>
    <w:p w14:paraId="60EAB158" w14:textId="77777777" w:rsidR="00DF33FF" w:rsidRPr="00694043" w:rsidRDefault="00DF33FF" w:rsidP="00DF33FF">
      <w:pPr>
        <w:widowControl/>
        <w:spacing w:beforeLines="0" w:before="0" w:afterLines="0" w:after="0"/>
        <w:jc w:val="left"/>
        <w:rPr>
          <w:rFonts w:ascii="Times New Roman" w:eastAsiaTheme="minorEastAsia" w:hAnsi="Times New Roman" w:cs="Times New Roman"/>
        </w:rPr>
      </w:pPr>
      <w:r w:rsidRPr="00C4773A">
        <w:rPr>
          <w:rFonts w:ascii="Times New Roman" w:eastAsiaTheme="minorEastAsia" w:hAnsi="Times New Roman" w:cs="Times New Roman"/>
          <w:szCs w:val="24"/>
          <w:vertAlign w:val="superscript"/>
        </w:rPr>
        <w:t xml:space="preserve">e </w:t>
      </w:r>
      <w:r w:rsidRPr="00C4773A">
        <w:rPr>
          <w:rFonts w:ascii="Times New Roman" w:eastAsiaTheme="minorEastAsia" w:hAnsi="Times New Roman" w:cs="Times New Roman"/>
          <w:szCs w:val="24"/>
        </w:rPr>
        <w:t>6-mercaptonicotinic acid-melamine-</w:t>
      </w:r>
      <w:r w:rsidRPr="00C4773A">
        <w:rPr>
          <w:rFonts w:ascii="Times New Roman" w:hAnsi="Times New Roman" w:cs="Times New Roman"/>
        </w:rPr>
        <w:t>silver nanoparticles</w:t>
      </w:r>
    </w:p>
    <w:p w14:paraId="378722C4" w14:textId="77777777" w:rsidR="00FC563A" w:rsidRPr="00DF33FF" w:rsidRDefault="00FC563A">
      <w:pPr>
        <w:spacing w:before="156" w:after="156"/>
        <w:rPr>
          <w:rFonts w:hint="eastAsia"/>
        </w:rPr>
      </w:pPr>
    </w:p>
    <w:sectPr w:rsidR="00FC563A" w:rsidRPr="00DF33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9E21" w14:textId="77777777" w:rsidR="00966EFA" w:rsidRDefault="00966EFA" w:rsidP="00DF33FF">
      <w:pPr>
        <w:spacing w:before="120" w:after="120"/>
        <w:rPr>
          <w:rFonts w:hint="eastAsia"/>
        </w:rPr>
      </w:pPr>
      <w:r>
        <w:separator/>
      </w:r>
    </w:p>
  </w:endnote>
  <w:endnote w:type="continuationSeparator" w:id="0">
    <w:p w14:paraId="7E553F5C" w14:textId="77777777" w:rsidR="00966EFA" w:rsidRDefault="00966EFA" w:rsidP="00DF33FF">
      <w:pPr>
        <w:spacing w:before="120" w:after="1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51F5" w14:textId="77777777" w:rsidR="00966EFA" w:rsidRDefault="00966EFA" w:rsidP="00DF33FF">
      <w:pPr>
        <w:spacing w:before="120" w:after="120"/>
        <w:rPr>
          <w:rFonts w:hint="eastAsia"/>
        </w:rPr>
      </w:pPr>
      <w:r>
        <w:separator/>
      </w:r>
    </w:p>
  </w:footnote>
  <w:footnote w:type="continuationSeparator" w:id="0">
    <w:p w14:paraId="1929797A" w14:textId="77777777" w:rsidR="00966EFA" w:rsidRDefault="00966EFA" w:rsidP="00DF33FF">
      <w:pPr>
        <w:spacing w:before="120" w:after="1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13"/>
    <w:rsid w:val="001F7F8C"/>
    <w:rsid w:val="004C7A13"/>
    <w:rsid w:val="00557DF7"/>
    <w:rsid w:val="00594F63"/>
    <w:rsid w:val="005A32CE"/>
    <w:rsid w:val="0081361B"/>
    <w:rsid w:val="00855CDE"/>
    <w:rsid w:val="008F0B33"/>
    <w:rsid w:val="00966EFA"/>
    <w:rsid w:val="00985A79"/>
    <w:rsid w:val="00AF2534"/>
    <w:rsid w:val="00B92503"/>
    <w:rsid w:val="00C23A60"/>
    <w:rsid w:val="00DF33FF"/>
    <w:rsid w:val="00FC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72B3A"/>
  <w15:chartTrackingRefBased/>
  <w15:docId w15:val="{94972960-F4B7-4D02-90C9-C45F4DDC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3FF"/>
    <w:pPr>
      <w:widowControl w:val="0"/>
      <w:spacing w:beforeLines="50" w:before="50" w:afterLines="50" w:after="50"/>
      <w:jc w:val="both"/>
    </w:pPr>
    <w:rPr>
      <w:rFonts w:eastAsia="Times New Roman"/>
    </w:rPr>
  </w:style>
  <w:style w:type="paragraph" w:styleId="1">
    <w:name w:val="heading 1"/>
    <w:basedOn w:val="a"/>
    <w:next w:val="a"/>
    <w:link w:val="10"/>
    <w:uiPriority w:val="9"/>
    <w:qFormat/>
    <w:rsid w:val="004C7A13"/>
    <w:pPr>
      <w:keepNext/>
      <w:keepLines/>
      <w:spacing w:beforeLines="0" w:before="480" w:afterLines="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A13"/>
    <w:pPr>
      <w:keepNext/>
      <w:keepLines/>
      <w:spacing w:beforeLines="0" w:before="160" w:afterLines="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A13"/>
    <w:pPr>
      <w:keepNext/>
      <w:keepLines/>
      <w:spacing w:beforeLines="0" w:before="160" w:afterLines="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A13"/>
    <w:pPr>
      <w:keepNext/>
      <w:keepLines/>
      <w:spacing w:beforeLines="0" w:before="80" w:afterLines="0" w:after="40"/>
      <w:outlineLvl w:val="3"/>
    </w:pPr>
    <w:rPr>
      <w:rFonts w:eastAsiaTheme="minorEastAsia" w:cstheme="majorBidi"/>
      <w:color w:val="2F5496" w:themeColor="accent1" w:themeShade="BF"/>
      <w:sz w:val="28"/>
      <w:szCs w:val="28"/>
    </w:rPr>
  </w:style>
  <w:style w:type="paragraph" w:styleId="5">
    <w:name w:val="heading 5"/>
    <w:basedOn w:val="a"/>
    <w:next w:val="a"/>
    <w:link w:val="50"/>
    <w:uiPriority w:val="9"/>
    <w:semiHidden/>
    <w:unhideWhenUsed/>
    <w:qFormat/>
    <w:rsid w:val="004C7A13"/>
    <w:pPr>
      <w:keepNext/>
      <w:keepLines/>
      <w:spacing w:beforeLines="0" w:before="80" w:afterLines="0" w:after="40"/>
      <w:outlineLvl w:val="4"/>
    </w:pPr>
    <w:rPr>
      <w:rFonts w:eastAsiaTheme="minorEastAsia" w:cstheme="majorBidi"/>
      <w:color w:val="2F5496" w:themeColor="accent1" w:themeShade="BF"/>
      <w:sz w:val="24"/>
      <w:szCs w:val="24"/>
    </w:rPr>
  </w:style>
  <w:style w:type="paragraph" w:styleId="6">
    <w:name w:val="heading 6"/>
    <w:basedOn w:val="a"/>
    <w:next w:val="a"/>
    <w:link w:val="60"/>
    <w:uiPriority w:val="9"/>
    <w:semiHidden/>
    <w:unhideWhenUsed/>
    <w:qFormat/>
    <w:rsid w:val="004C7A13"/>
    <w:pPr>
      <w:keepNext/>
      <w:keepLines/>
      <w:spacing w:beforeLines="0" w:before="40" w:afterLines="0" w:after="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4C7A13"/>
    <w:pPr>
      <w:keepNext/>
      <w:keepLines/>
      <w:spacing w:beforeLines="0" w:before="40" w:afterLines="0" w:after="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4C7A13"/>
    <w:pPr>
      <w:keepNext/>
      <w:keepLines/>
      <w:spacing w:beforeLines="0" w:before="0" w:afterLines="0" w:after="0"/>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4C7A13"/>
    <w:pPr>
      <w:keepNext/>
      <w:keepLines/>
      <w:spacing w:beforeLines="0" w:before="0" w:afterLines="0"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A13"/>
    <w:rPr>
      <w:rFonts w:cstheme="majorBidi"/>
      <w:color w:val="2F5496" w:themeColor="accent1" w:themeShade="BF"/>
      <w:sz w:val="28"/>
      <w:szCs w:val="28"/>
    </w:rPr>
  </w:style>
  <w:style w:type="character" w:customStyle="1" w:styleId="50">
    <w:name w:val="标题 5 字符"/>
    <w:basedOn w:val="a0"/>
    <w:link w:val="5"/>
    <w:uiPriority w:val="9"/>
    <w:semiHidden/>
    <w:rsid w:val="004C7A13"/>
    <w:rPr>
      <w:rFonts w:cstheme="majorBidi"/>
      <w:color w:val="2F5496" w:themeColor="accent1" w:themeShade="BF"/>
      <w:sz w:val="24"/>
      <w:szCs w:val="24"/>
    </w:rPr>
  </w:style>
  <w:style w:type="character" w:customStyle="1" w:styleId="60">
    <w:name w:val="标题 6 字符"/>
    <w:basedOn w:val="a0"/>
    <w:link w:val="6"/>
    <w:uiPriority w:val="9"/>
    <w:semiHidden/>
    <w:rsid w:val="004C7A13"/>
    <w:rPr>
      <w:rFonts w:cstheme="majorBidi"/>
      <w:b/>
      <w:bCs/>
      <w:color w:val="2F5496" w:themeColor="accent1" w:themeShade="BF"/>
    </w:rPr>
  </w:style>
  <w:style w:type="character" w:customStyle="1" w:styleId="70">
    <w:name w:val="标题 7 字符"/>
    <w:basedOn w:val="a0"/>
    <w:link w:val="7"/>
    <w:uiPriority w:val="9"/>
    <w:semiHidden/>
    <w:rsid w:val="004C7A13"/>
    <w:rPr>
      <w:rFonts w:cstheme="majorBidi"/>
      <w:b/>
      <w:bCs/>
      <w:color w:val="595959" w:themeColor="text1" w:themeTint="A6"/>
    </w:rPr>
  </w:style>
  <w:style w:type="character" w:customStyle="1" w:styleId="80">
    <w:name w:val="标题 8 字符"/>
    <w:basedOn w:val="a0"/>
    <w:link w:val="8"/>
    <w:uiPriority w:val="9"/>
    <w:semiHidden/>
    <w:rsid w:val="004C7A13"/>
    <w:rPr>
      <w:rFonts w:cstheme="majorBidi"/>
      <w:color w:val="595959" w:themeColor="text1" w:themeTint="A6"/>
    </w:rPr>
  </w:style>
  <w:style w:type="character" w:customStyle="1" w:styleId="90">
    <w:name w:val="标题 9 字符"/>
    <w:basedOn w:val="a0"/>
    <w:link w:val="9"/>
    <w:uiPriority w:val="9"/>
    <w:semiHidden/>
    <w:rsid w:val="004C7A13"/>
    <w:rPr>
      <w:rFonts w:eastAsiaTheme="majorEastAsia" w:cstheme="majorBidi"/>
      <w:color w:val="595959" w:themeColor="text1" w:themeTint="A6"/>
    </w:rPr>
  </w:style>
  <w:style w:type="paragraph" w:styleId="a3">
    <w:name w:val="Title"/>
    <w:basedOn w:val="a"/>
    <w:next w:val="a"/>
    <w:link w:val="a4"/>
    <w:uiPriority w:val="10"/>
    <w:qFormat/>
    <w:rsid w:val="004C7A13"/>
    <w:pPr>
      <w:spacing w:beforeLines="0" w:before="0" w:afterLines="0"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A13"/>
    <w:pPr>
      <w:numPr>
        <w:ilvl w:val="1"/>
      </w:numPr>
      <w:spacing w:beforeLines="0" w:before="0" w:afterLines="0"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A13"/>
    <w:pPr>
      <w:spacing w:beforeLines="0" w:before="160" w:afterLines="0" w:after="160"/>
      <w:jc w:val="center"/>
    </w:pPr>
    <w:rPr>
      <w:rFonts w:eastAsiaTheme="minorEastAsia"/>
      <w:i/>
      <w:iCs/>
      <w:color w:val="404040" w:themeColor="text1" w:themeTint="BF"/>
    </w:rPr>
  </w:style>
  <w:style w:type="character" w:customStyle="1" w:styleId="a8">
    <w:name w:val="引用 字符"/>
    <w:basedOn w:val="a0"/>
    <w:link w:val="a7"/>
    <w:uiPriority w:val="29"/>
    <w:rsid w:val="004C7A13"/>
    <w:rPr>
      <w:i/>
      <w:iCs/>
      <w:color w:val="404040" w:themeColor="text1" w:themeTint="BF"/>
    </w:rPr>
  </w:style>
  <w:style w:type="paragraph" w:styleId="a9">
    <w:name w:val="List Paragraph"/>
    <w:basedOn w:val="a"/>
    <w:uiPriority w:val="34"/>
    <w:qFormat/>
    <w:rsid w:val="004C7A13"/>
    <w:pPr>
      <w:spacing w:beforeLines="0" w:before="0" w:afterLines="0" w:after="0"/>
      <w:ind w:left="720"/>
      <w:contextualSpacing/>
    </w:pPr>
    <w:rPr>
      <w:rFonts w:eastAsiaTheme="minorEastAsia"/>
    </w:rPr>
  </w:style>
  <w:style w:type="character" w:styleId="aa">
    <w:name w:val="Intense Emphasis"/>
    <w:basedOn w:val="a0"/>
    <w:uiPriority w:val="21"/>
    <w:qFormat/>
    <w:rsid w:val="004C7A13"/>
    <w:rPr>
      <w:i/>
      <w:iCs/>
      <w:color w:val="2F5496" w:themeColor="accent1" w:themeShade="BF"/>
    </w:rPr>
  </w:style>
  <w:style w:type="paragraph" w:styleId="ab">
    <w:name w:val="Intense Quote"/>
    <w:basedOn w:val="a"/>
    <w:next w:val="a"/>
    <w:link w:val="ac"/>
    <w:uiPriority w:val="30"/>
    <w:qFormat/>
    <w:rsid w:val="004C7A13"/>
    <w:pPr>
      <w:pBdr>
        <w:top w:val="single" w:sz="4" w:space="10" w:color="2F5496" w:themeColor="accent1" w:themeShade="BF"/>
        <w:bottom w:val="single" w:sz="4" w:space="10" w:color="2F5496" w:themeColor="accent1" w:themeShade="BF"/>
      </w:pBdr>
      <w:spacing w:beforeLines="0" w:before="360" w:afterLines="0" w:after="360"/>
      <w:ind w:left="864" w:right="864"/>
      <w:jc w:val="center"/>
    </w:pPr>
    <w:rPr>
      <w:rFonts w:eastAsiaTheme="minorEastAsia"/>
      <w:i/>
      <w:iCs/>
      <w:color w:val="2F5496" w:themeColor="accent1" w:themeShade="BF"/>
    </w:rPr>
  </w:style>
  <w:style w:type="character" w:customStyle="1" w:styleId="ac">
    <w:name w:val="明显引用 字符"/>
    <w:basedOn w:val="a0"/>
    <w:link w:val="ab"/>
    <w:uiPriority w:val="30"/>
    <w:rsid w:val="004C7A13"/>
    <w:rPr>
      <w:i/>
      <w:iCs/>
      <w:color w:val="2F5496" w:themeColor="accent1" w:themeShade="BF"/>
    </w:rPr>
  </w:style>
  <w:style w:type="character" w:styleId="ad">
    <w:name w:val="Intense Reference"/>
    <w:basedOn w:val="a0"/>
    <w:uiPriority w:val="32"/>
    <w:qFormat/>
    <w:rsid w:val="004C7A13"/>
    <w:rPr>
      <w:b/>
      <w:bCs/>
      <w:smallCaps/>
      <w:color w:val="2F5496" w:themeColor="accent1" w:themeShade="BF"/>
      <w:spacing w:val="5"/>
    </w:rPr>
  </w:style>
  <w:style w:type="paragraph" w:styleId="ae">
    <w:name w:val="header"/>
    <w:basedOn w:val="a"/>
    <w:link w:val="af"/>
    <w:uiPriority w:val="99"/>
    <w:unhideWhenUsed/>
    <w:rsid w:val="00DF33FF"/>
    <w:pPr>
      <w:tabs>
        <w:tab w:val="center" w:pos="4153"/>
        <w:tab w:val="right" w:pos="8306"/>
      </w:tabs>
      <w:snapToGrid w:val="0"/>
      <w:spacing w:beforeLines="0" w:before="0" w:afterLines="0" w:after="0"/>
      <w:jc w:val="center"/>
    </w:pPr>
    <w:rPr>
      <w:rFonts w:eastAsiaTheme="minorEastAsia"/>
      <w:sz w:val="18"/>
      <w:szCs w:val="18"/>
    </w:rPr>
  </w:style>
  <w:style w:type="character" w:customStyle="1" w:styleId="af">
    <w:name w:val="页眉 字符"/>
    <w:basedOn w:val="a0"/>
    <w:link w:val="ae"/>
    <w:uiPriority w:val="99"/>
    <w:rsid w:val="00DF33FF"/>
    <w:rPr>
      <w:sz w:val="18"/>
      <w:szCs w:val="18"/>
    </w:rPr>
  </w:style>
  <w:style w:type="paragraph" w:styleId="af0">
    <w:name w:val="footer"/>
    <w:basedOn w:val="a"/>
    <w:link w:val="af1"/>
    <w:uiPriority w:val="99"/>
    <w:unhideWhenUsed/>
    <w:rsid w:val="00DF33FF"/>
    <w:pPr>
      <w:tabs>
        <w:tab w:val="center" w:pos="4153"/>
        <w:tab w:val="right" w:pos="8306"/>
      </w:tabs>
      <w:snapToGrid w:val="0"/>
      <w:spacing w:beforeLines="0" w:before="0" w:afterLines="0" w:after="0"/>
      <w:jc w:val="left"/>
    </w:pPr>
    <w:rPr>
      <w:rFonts w:eastAsiaTheme="minorEastAsia"/>
      <w:sz w:val="18"/>
      <w:szCs w:val="18"/>
    </w:rPr>
  </w:style>
  <w:style w:type="character" w:customStyle="1" w:styleId="af1">
    <w:name w:val="页脚 字符"/>
    <w:basedOn w:val="a0"/>
    <w:link w:val="af0"/>
    <w:uiPriority w:val="99"/>
    <w:rsid w:val="00DF33FF"/>
    <w:rPr>
      <w:sz w:val="18"/>
      <w:szCs w:val="18"/>
    </w:rPr>
  </w:style>
  <w:style w:type="table" w:customStyle="1" w:styleId="af2">
    <w:name w:val="三线表"/>
    <w:basedOn w:val="a1"/>
    <w:uiPriority w:val="99"/>
    <w:rsid w:val="00DF33FF"/>
    <w:pPr>
      <w:spacing w:line="360" w:lineRule="exact"/>
    </w:pPr>
    <w:rPr>
      <w:rFonts w:ascii="Times New Roman" w:eastAsia="宋体" w:hAnsi="Times New Roman" w:cs="Times New Roman"/>
    </w:rPr>
    <w:tblPr>
      <w:tblBorders>
        <w:top w:val="single" w:sz="12" w:space="0" w:color="auto"/>
        <w:bottom w:val="single" w:sz="12" w:space="0" w:color="auto"/>
      </w:tblBorders>
    </w:tblPr>
    <w:tblStylePr w:type="firstRow">
      <w:pPr>
        <w:spacing w:line="360" w:lineRule="exact"/>
        <w:jc w:val="center"/>
      </w:pPr>
      <w:rPr>
        <w:rFonts w:ascii="Times New Roman" w:eastAsia="宋体" w:hAnsi="Times New Roman" w:cs="Times New Roman"/>
        <w:b/>
        <w:i w:val="0"/>
        <w:sz w:val="21"/>
      </w:rPr>
      <w:tblPr/>
      <w:tcPr>
        <w:tcBorders>
          <w:top w:val="single" w:sz="12" w:space="0" w:color="auto"/>
          <w:left w:val="nil"/>
          <w:bottom w:val="single" w:sz="6"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1445</Words>
  <Characters>9422</Characters>
  <Application>Microsoft Office Word</Application>
  <DocSecurity>0</DocSecurity>
  <Lines>376</Lines>
  <Paragraphs>265</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佳倩 祁</dc:creator>
  <cp:keywords/>
  <dc:description/>
  <cp:lastModifiedBy>佳倩 祁</cp:lastModifiedBy>
  <cp:revision>2</cp:revision>
  <dcterms:created xsi:type="dcterms:W3CDTF">2025-04-25T10:28:00Z</dcterms:created>
  <dcterms:modified xsi:type="dcterms:W3CDTF">2025-04-25T10:29:00Z</dcterms:modified>
</cp:coreProperties>
</file>