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193" w:rsidRPr="002E0E93" w:rsidRDefault="00EF2193" w:rsidP="00EF2193">
      <w:pPr>
        <w:widowControl w:val="0"/>
        <w:snapToGrid w:val="0"/>
        <w:spacing w:before="120"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>Extended Data Table 1.</w:t>
      </w:r>
      <w:r w:rsidRPr="002E0E93">
        <w:rPr>
          <w:rFonts w:ascii="Times New Roman" w:hAnsi="Times New Roman" w:cs="Times New Roman"/>
          <w:b/>
          <w:sz w:val="24"/>
          <w:szCs w:val="24"/>
        </w:rPr>
        <w:t xml:space="preserve"> Estimation of root-derived carbon inputs (I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root</w:t>
      </w:r>
      <w:r w:rsidRPr="002E0E93">
        <w:rPr>
          <w:rFonts w:ascii="Times New Roman" w:hAnsi="Times New Roman" w:cs="Times New Roman"/>
          <w:b/>
          <w:sz w:val="24"/>
          <w:szCs w:val="24"/>
        </w:rPr>
        <w:t>), carbon inputs to bulk soil (I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bulk</w:t>
      </w:r>
      <w:r w:rsidRPr="002E0E93">
        <w:rPr>
          <w:rFonts w:ascii="Times New Roman" w:hAnsi="Times New Roman" w:cs="Times New Roman"/>
          <w:b/>
          <w:sz w:val="24"/>
          <w:szCs w:val="24"/>
        </w:rPr>
        <w:t>) and direct carbon loss of 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root</w:t>
      </w:r>
      <w:r w:rsidRPr="002E0E93">
        <w:rPr>
          <w:rFonts w:ascii="Times New Roman" w:hAnsi="Times New Roman" w:cs="Times New Roman"/>
          <w:b/>
          <w:sz w:val="24"/>
          <w:szCs w:val="24"/>
        </w:rPr>
        <w:t xml:space="preserve"> (I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loss</w:t>
      </w:r>
      <w:r w:rsidRPr="002E0E93">
        <w:rPr>
          <w:rFonts w:ascii="Times New Roman" w:hAnsi="Times New Roman" w:cs="Times New Roman"/>
          <w:b/>
          <w:sz w:val="24"/>
          <w:szCs w:val="24"/>
        </w:rPr>
        <w:t>=I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root</w:t>
      </w:r>
      <w:r w:rsidRPr="002E0E93">
        <w:rPr>
          <w:rFonts w:ascii="Times New Roman" w:hAnsi="Times New Roman" w:cs="Times New Roman"/>
          <w:b/>
          <w:sz w:val="24"/>
          <w:szCs w:val="24"/>
        </w:rPr>
        <w:t>-I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bulk</w:t>
      </w:r>
      <w:r w:rsidRPr="002E0E93">
        <w:rPr>
          <w:rFonts w:ascii="Times New Roman" w:hAnsi="Times New Roman" w:cs="Times New Roman"/>
          <w:b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sz w:val="24"/>
          <w:szCs w:val="24"/>
        </w:rPr>
        <w:t xml:space="preserve">in soil profiles </w:t>
      </w:r>
      <w:r w:rsidRPr="002E0E93">
        <w:rPr>
          <w:rFonts w:ascii="Times New Roman" w:hAnsi="Times New Roman" w:cs="Times New Roman"/>
          <w:b/>
          <w:sz w:val="24"/>
          <w:szCs w:val="24"/>
        </w:rPr>
        <w:t>at NPP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</w:rPr>
        <w:t>data</w:t>
      </w:r>
      <w:r w:rsidRPr="002E0E9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  <w:lang w:val="en-AU"/>
        </w:rPr>
        <w:t>∆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  <w:vertAlign w:val="superscript"/>
        </w:rPr>
        <w:t>14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</w:rPr>
        <w:t>C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  <w:vertAlign w:val="subscript"/>
        </w:rPr>
        <w:t>data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</w:rPr>
        <w:t xml:space="preserve"> and Root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  <w:vertAlign w:val="subscript"/>
        </w:rPr>
        <w:t>data</w:t>
      </w:r>
      <w:r w:rsidRPr="002E0E93">
        <w:rPr>
          <w:rFonts w:ascii="Times New Roman" w:eastAsia="DengXian" w:hAnsi="Times New Roman" w:cs="Times New Roman"/>
          <w:b/>
          <w:kern w:val="2"/>
          <w:sz w:val="24"/>
          <w:szCs w:val="24"/>
        </w:rPr>
        <w:t xml:space="preserve"> sites, respectively</w:t>
      </w:r>
      <w:r w:rsidRPr="002E0E9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E0E93">
        <w:rPr>
          <w:rFonts w:ascii="Times New Roman" w:hAnsi="Times New Roman" w:cs="Times New Roman"/>
          <w:bCs/>
          <w:sz w:val="24"/>
          <w:szCs w:val="24"/>
        </w:rPr>
        <w:t>BNPP is the belowground net primary production (NPP), f</w:t>
      </w:r>
      <w:r w:rsidRPr="002E0E93">
        <w:rPr>
          <w:rFonts w:ascii="Times New Roman" w:hAnsi="Times New Roman" w:cs="Times New Roman"/>
          <w:bCs/>
          <w:sz w:val="24"/>
          <w:szCs w:val="24"/>
          <w:vertAlign w:val="subscript"/>
        </w:rPr>
        <w:t>BNPP</w:t>
      </w:r>
      <w:r w:rsidRPr="002E0E93">
        <w:rPr>
          <w:rFonts w:ascii="Times New Roman" w:hAnsi="Times New Roman" w:cs="Times New Roman"/>
          <w:bCs/>
          <w:sz w:val="24"/>
          <w:szCs w:val="24"/>
        </w:rPr>
        <w:t xml:space="preserve"> is the fraction of BNPP to NPP.</w:t>
      </w:r>
    </w:p>
    <w:tbl>
      <w:tblPr>
        <w:tblStyle w:val="TableGrid"/>
        <w:tblpPr w:leftFromText="180" w:rightFromText="180" w:vertAnchor="page" w:horzAnchor="margin" w:tblpY="3112"/>
        <w:tblW w:w="474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1"/>
        <w:gridCol w:w="5130"/>
        <w:gridCol w:w="2755"/>
        <w:gridCol w:w="2416"/>
        <w:gridCol w:w="1980"/>
      </w:tblGrid>
      <w:tr w:rsidR="00EF2193" w:rsidRPr="002E0E93" w:rsidTr="00771A53">
        <w:trPr>
          <w:trHeight w:val="549"/>
        </w:trPr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lastRenderedPageBreak/>
              <w:t>Sites</w:t>
            </w:r>
          </w:p>
        </w:tc>
        <w:tc>
          <w:tcPr>
            <w:tcW w:w="19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Variables to calculate 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root</w:t>
            </w:r>
          </w:p>
        </w:tc>
        <w:tc>
          <w:tcPr>
            <w:tcW w:w="1041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root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 xml:space="preserve"> 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(Mg ha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-1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 xml:space="preserve"> yr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-1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)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bulk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(Mg ha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-1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 xml:space="preserve"> yr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-1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)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360" w:lineRule="auto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(Mg ha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-1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 xml:space="preserve"> yr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-1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)</w:t>
            </w:r>
          </w:p>
        </w:tc>
      </w:tr>
      <w:tr w:rsidR="00EF2193" w:rsidRPr="002E0E93" w:rsidTr="00771A53">
        <w:trPr>
          <w:trHeight w:val="1157"/>
        </w:trPr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before="120" w:line="360" w:lineRule="auto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NPP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data</w:t>
            </w:r>
          </w:p>
        </w:tc>
        <w:tc>
          <w:tcPr>
            <w:tcW w:w="1938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❶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observed BNPP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❷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predicted BNPP depth distribution using </w:t>
            </w:r>
            <w:r w:rsidRPr="002E0E93">
              <w:rPr>
                <w:rFonts w:ascii="Times New Roman" w:eastAsia="DengXian" w:hAnsi="Times New Roman" w:cs="Times New Roman"/>
                <w:kern w:val="2"/>
                <w:lang w:val="en-AU"/>
              </w:rPr>
              <w:t>∆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perscript"/>
              </w:rPr>
              <w:t>14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C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data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-derived models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color w:val="FFC000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❸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MOD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MODIS NPP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❹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observed f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BNPP</w:t>
            </w:r>
          </w:p>
        </w:tc>
        <w:tc>
          <w:tcPr>
            <w:tcW w:w="1041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344" w:hanging="344"/>
              <w:jc w:val="both"/>
              <w:rPr>
                <w:rFonts w:ascii="Times New Roman" w:eastAsia="MS Gothic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❶</w:t>
            </w:r>
            <w:r w:rsidRPr="002E0E93">
              <w:rPr>
                <w:rFonts w:ascii="Times New Roman" w:eastAsia="MS Gothic" w:hAnsi="Times New Roman" w:cs="Times New Roman"/>
                <w:kern w:val="2"/>
                <w:sz w:val="24"/>
                <w:szCs w:val="24"/>
              </w:rPr>
              <w:t>=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❶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346" w:hanging="346"/>
              <w:jc w:val="both"/>
              <w:rPr>
                <w:rFonts w:ascii="Times New Roman" w:eastAsia="MS Gothic" w:hAnsi="Times New Roman" w:cs="Times New Roman"/>
                <w:color w:val="ED7D31"/>
                <w:kern w:val="2"/>
                <w14:textFill>
                  <w14:solidFill>
                    <w14:srgbClr w14:val="ED7D31">
                      <w14:lumMod w14:val="75000"/>
                    </w14:srgbClr>
                  </w14:solidFill>
                </w14:textFill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=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❸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MOD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❹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80" w:hangingChars="200" w:hanging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color w:val="00B050"/>
                <w:sz w:val="24"/>
                <w:szCs w:val="24"/>
              </w:rPr>
              <w:t>❶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 xml:space="preserve">: predicted using 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∆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14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data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 xml:space="preserve">-derived 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models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80" w:hangingChars="200" w:hanging="480"/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</w:pP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❶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–</w:t>
            </w: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❶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1)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–</w:t>
            </w: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❶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2)</w:t>
            </w:r>
          </w:p>
        </w:tc>
      </w:tr>
      <w:tr w:rsidR="00EF2193" w:rsidRPr="002E0E93" w:rsidTr="00771A53">
        <w:trPr>
          <w:trHeight w:val="1347"/>
        </w:trPr>
        <w:tc>
          <w:tcPr>
            <w:tcW w:w="359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before="120" w:line="360" w:lineRule="auto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lang w:val="en-AU"/>
              </w:rPr>
              <w:t>∆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perscript"/>
              </w:rPr>
              <w:t>14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C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data</w:t>
            </w:r>
          </w:p>
        </w:tc>
        <w:tc>
          <w:tcPr>
            <w:tcW w:w="1938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❺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predicted BNPP using NPP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data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-derived models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perscript"/>
              </w:rPr>
              <w:t xml:space="preserve"> 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❻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observed BNPP depth distribution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❼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MOD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MODIS NPP 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❽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2E0E93">
              <w:rPr>
                <w:rFonts w:ascii="Times New Roman" w:hAnsi="Times New Roman" w:cs="Times New Roman" w:hint="eastAsia"/>
                <w:sz w:val="24"/>
                <w:szCs w:val="24"/>
              </w:rPr>
              <w:t>predicted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f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BNPP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using NPP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data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-derived models</w:t>
            </w:r>
          </w:p>
        </w:tc>
        <w:tc>
          <w:tcPr>
            <w:tcW w:w="1041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344" w:hanging="344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❸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=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❺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❻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346" w:hanging="346"/>
              <w:jc w:val="both"/>
              <w:rPr>
                <w:rFonts w:ascii="Times New Roman" w:eastAsia="MS Gothic" w:hAnsi="Times New Roman" w:cs="Times New Roman"/>
                <w:color w:val="ED7D31"/>
                <w:kern w:val="2"/>
                <w14:textFill>
                  <w14:solidFill>
                    <w14:srgbClr w14:val="ED7D31">
                      <w14:lumMod w14:val="75000"/>
                    </w14:srgbClr>
                  </w14:solidFill>
                </w14:textFill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❹</w:t>
            </w:r>
            <w:r w:rsidRPr="002E0E93">
              <w:rPr>
                <w:rFonts w:ascii="Times New Roman" w:eastAsia="MS Gothic" w:hAnsi="Times New Roman" w:cs="Times New Roman"/>
                <w:kern w:val="2"/>
                <w:sz w:val="24"/>
                <w:szCs w:val="24"/>
              </w:rPr>
              <w:t>=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❼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MOD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❽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❻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80" w:hangingChars="200" w:hanging="480"/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 observed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❸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–</w:t>
            </w: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3)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❹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–</w:t>
            </w: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❷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4)</w:t>
            </w:r>
          </w:p>
        </w:tc>
      </w:tr>
      <w:tr w:rsidR="00EF2193" w:rsidRPr="002E0E93" w:rsidTr="00771A53">
        <w:trPr>
          <w:trHeight w:val="1152"/>
        </w:trPr>
        <w:tc>
          <w:tcPr>
            <w:tcW w:w="359" w:type="pct"/>
            <w:tcBorders>
              <w:top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before="120" w:line="360" w:lineRule="auto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</w:pP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Root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data</w:t>
            </w:r>
          </w:p>
        </w:tc>
        <w:tc>
          <w:tcPr>
            <w:tcW w:w="1938" w:type="pct"/>
            <w:tcBorders>
              <w:top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color w:val="FFC000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❾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color w:val="000000"/>
                <w:kern w:val="2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predicted BNPP using NPP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data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-derived models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MS Gothic" w:hAnsi="Times New Roman" w:cs="Times New Roman"/>
                <w:color w:val="9900FF"/>
                <w:kern w:val="2"/>
              </w:rPr>
            </w:pPr>
            <w:r w:rsidRPr="002E0E93">
              <w:rPr>
                <w:rFonts w:ascii="Cambria Math" w:eastAsia="DengXian" w:hAnsi="Cambria Math" w:cs="Cambria Math"/>
                <w:color w:val="9900FF"/>
                <w:kern w:val="2"/>
              </w:rPr>
              <w:t>❿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 observed BNPP depth distribution</w:t>
            </w:r>
            <w:r w:rsidRPr="002E0E93">
              <w:rPr>
                <w:rFonts w:ascii="Times New Roman" w:eastAsia="MS Gothic" w:hAnsi="Times New Roman" w:cs="Times New Roman"/>
                <w:color w:val="9900FF"/>
                <w:kern w:val="2"/>
              </w:rPr>
              <w:t xml:space="preserve"> 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hyperlink r:id="rId4" w:tgtFrame="_blank" w:history="1">
              <w:r w:rsidRPr="002E0E93">
                <w:rPr>
                  <w:rFonts w:ascii="Cambria Math" w:eastAsia="MS Gothic" w:hAnsi="Cambria Math" w:cs="Cambria Math"/>
                  <w:color w:val="9900FF"/>
                  <w:kern w:val="2"/>
                </w:rPr>
                <w:t>⓫</w:t>
              </w:r>
            </w:hyperlink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MOD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MODIS NPP 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40" w:hangingChars="200" w:hanging="440"/>
              <w:rPr>
                <w:rFonts w:ascii="Times New Roman" w:eastAsia="DengXian" w:hAnsi="Times New Roman" w:cs="Times New Roman"/>
                <w:kern w:val="2"/>
              </w:rPr>
            </w:pPr>
            <w:hyperlink r:id="rId5" w:tgtFrame="_blank" w:history="1">
              <w:r w:rsidRPr="002E0E93">
                <w:rPr>
                  <w:rFonts w:ascii="Cambria Math" w:eastAsia="MS Gothic" w:hAnsi="Cambria Math" w:cs="Cambria Math"/>
                  <w:color w:val="9900FF"/>
                  <w:kern w:val="2"/>
                </w:rPr>
                <w:t>⓬</w:t>
              </w:r>
            </w:hyperlink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</w:t>
            </w:r>
            <w:r w:rsidRPr="002E0E9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predicted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f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BNPP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 xml:space="preserve"> using NPP</w:t>
            </w:r>
            <w:r w:rsidRPr="002E0E93">
              <w:rPr>
                <w:rFonts w:ascii="Times New Roman" w:eastAsia="DengXian" w:hAnsi="Times New Roman" w:cs="Times New Roman"/>
                <w:kern w:val="2"/>
                <w:vertAlign w:val="subscript"/>
              </w:rPr>
              <w:t>data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-derived models</w:t>
            </w:r>
          </w:p>
        </w:tc>
        <w:tc>
          <w:tcPr>
            <w:tcW w:w="1041" w:type="pct"/>
            <w:tcBorders>
              <w:top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344" w:hanging="344"/>
              <w:jc w:val="both"/>
              <w:rPr>
                <w:rFonts w:ascii="Times New Roman" w:eastAsia="MS Gothic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❺</w:t>
            </w:r>
            <w:r w:rsidRPr="002E0E93">
              <w:rPr>
                <w:rFonts w:ascii="Times New Roman" w:eastAsia="MS Gothic" w:hAnsi="Times New Roman" w:cs="Times New Roman"/>
                <w:kern w:val="2"/>
                <w:sz w:val="24"/>
                <w:szCs w:val="24"/>
              </w:rPr>
              <w:t>=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❾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❿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346" w:hanging="346"/>
              <w:jc w:val="both"/>
              <w:rPr>
                <w:rFonts w:ascii="Times New Roman" w:eastAsia="MS Gothic" w:hAnsi="Times New Roman" w:cs="Times New Roman"/>
                <w:color w:val="ED7D31"/>
                <w:kern w:val="2"/>
                <w14:textFill>
                  <w14:solidFill>
                    <w14:srgbClr w14:val="ED7D31">
                      <w14:lumMod w14:val="75000"/>
                    </w14:srgbClr>
                  </w14:solidFill>
                </w14:textFill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❻</w:t>
            </w:r>
            <w:r w:rsidRPr="002E0E93">
              <w:rPr>
                <w:rFonts w:ascii="Times New Roman" w:eastAsia="MS Gothic" w:hAnsi="Times New Roman" w:cs="Times New Roman"/>
                <w:kern w:val="2"/>
                <w:sz w:val="24"/>
                <w:szCs w:val="24"/>
              </w:rPr>
              <w:t>=</w:t>
            </w:r>
            <w:hyperlink r:id="rId6" w:tgtFrame="_blank" w:history="1">
              <w:r w:rsidRPr="002E0E93">
                <w:rPr>
                  <w:rFonts w:ascii="Cambria Math" w:eastAsia="MS Gothic" w:hAnsi="Cambria Math" w:cs="Cambria Math"/>
                  <w:color w:val="9900FF"/>
                  <w:kern w:val="2"/>
                </w:rPr>
                <w:t>⓫</w:t>
              </w:r>
            </w:hyperlink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MOD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hyperlink r:id="rId7" w:tgtFrame="_blank" w:history="1">
              <w:r w:rsidRPr="002E0E93">
                <w:rPr>
                  <w:rFonts w:ascii="Cambria Math" w:eastAsia="MS Gothic" w:hAnsi="Cambria Math" w:cs="Cambria Math"/>
                  <w:color w:val="9900FF"/>
                  <w:kern w:val="2"/>
                </w:rPr>
                <w:t>⓬</w:t>
              </w:r>
            </w:hyperlink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×</w:t>
            </w:r>
            <w:r w:rsidRPr="002E0E93">
              <w:rPr>
                <w:rFonts w:ascii="Cambria Math" w:eastAsia="DengXian" w:hAnsi="Cambria Math" w:cs="Cambria Math"/>
                <w:color w:val="9900FF"/>
                <w:kern w:val="2"/>
                <w:sz w:val="24"/>
                <w:szCs w:val="24"/>
              </w:rPr>
              <w:t>❿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OBS</w:t>
            </w:r>
          </w:p>
        </w:tc>
        <w:tc>
          <w:tcPr>
            <w:tcW w:w="913" w:type="pct"/>
            <w:tcBorders>
              <w:top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ind w:left="480" w:hangingChars="200" w:hanging="480"/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❸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 predicted using ∆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14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data</w:t>
            </w:r>
            <w:r w:rsidRPr="002E0E93">
              <w:rPr>
                <w:rFonts w:ascii="Times New Roman" w:hAnsi="Times New Roman" w:cs="Times New Roman"/>
                <w:sz w:val="24"/>
                <w:szCs w:val="24"/>
              </w:rPr>
              <w:t xml:space="preserve">-derived </w:t>
            </w:r>
            <w:r w:rsidRPr="002E0E93">
              <w:rPr>
                <w:rFonts w:ascii="Times New Roman" w:eastAsia="DengXian" w:hAnsi="Times New Roman" w:cs="Times New Roman"/>
                <w:kern w:val="2"/>
              </w:rPr>
              <w:t>models</w:t>
            </w:r>
          </w:p>
        </w:tc>
        <w:tc>
          <w:tcPr>
            <w:tcW w:w="748" w:type="pct"/>
            <w:tcBorders>
              <w:top w:val="single" w:sz="4" w:space="0" w:color="auto"/>
            </w:tcBorders>
          </w:tcPr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❺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–</w:t>
            </w: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❸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5)</w:t>
            </w:r>
          </w:p>
          <w:p w:rsidR="00EF2193" w:rsidRPr="002E0E93" w:rsidRDefault="00EF2193" w:rsidP="00771A53">
            <w:pPr>
              <w:widowControl w:val="0"/>
              <w:adjustRightInd w:val="0"/>
              <w:snapToGrid w:val="0"/>
              <w:spacing w:line="480" w:lineRule="exact"/>
              <w:jc w:val="both"/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</w:pPr>
            <w:r w:rsidRPr="002E0E93">
              <w:rPr>
                <w:rFonts w:ascii="Cambria Math" w:eastAsia="MS Gothic" w:hAnsi="Cambria Math" w:cs="Cambria Math"/>
                <w:kern w:val="2"/>
                <w:sz w:val="24"/>
                <w:szCs w:val="24"/>
              </w:rPr>
              <w:t>❻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–</w:t>
            </w:r>
            <w:r w:rsidRPr="002E0E93">
              <w:rPr>
                <w:rFonts w:ascii="Cambria Math" w:eastAsia="MS Gothic" w:hAnsi="Cambria Math" w:cs="Cambria Math"/>
                <w:color w:val="00B050"/>
                <w:kern w:val="2"/>
                <w:sz w:val="24"/>
                <w:szCs w:val="24"/>
              </w:rPr>
              <w:t>❸</w:t>
            </w:r>
            <w:r w:rsidRPr="002E0E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PRE</w:t>
            </w:r>
            <w:r w:rsidRPr="002E0E93">
              <w:rPr>
                <w:rFonts w:ascii="Times New Roman" w:eastAsia="DengXian" w:hAnsi="Times New Roman" w:cs="Times New Roman"/>
                <w:color w:val="00B050"/>
                <w:kern w:val="2"/>
                <w:sz w:val="24"/>
                <w:szCs w:val="24"/>
              </w:rPr>
              <w:t xml:space="preserve"> 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(I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  <w:vertAlign w:val="subscript"/>
              </w:rPr>
              <w:t>loss</w:t>
            </w:r>
            <w:r w:rsidRPr="002E0E93">
              <w:rPr>
                <w:rFonts w:ascii="Times New Roman" w:eastAsia="DengXian" w:hAnsi="Times New Roman" w:cs="Times New Roman"/>
                <w:kern w:val="2"/>
                <w:sz w:val="24"/>
                <w:szCs w:val="24"/>
              </w:rPr>
              <w:t>6)</w:t>
            </w:r>
          </w:p>
        </w:tc>
      </w:tr>
    </w:tbl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  <w:sectPr w:rsidR="00EF2193" w:rsidRPr="002E0E93" w:rsidSect="00D55508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EF2193" w:rsidRPr="002E0E93" w:rsidRDefault="00EF2193" w:rsidP="00EF2193">
      <w:pPr>
        <w:widowControl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  <w:sectPr w:rsidR="00EF2193" w:rsidRPr="002E0E93" w:rsidSect="00D55508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2E0E93">
        <w:rPr>
          <w:rFonts w:ascii="Times New Roman" w:hAnsi="Times New Roman" w:cs="Times New Roman" w:hint="eastAsia"/>
          <w:b/>
          <w:bCs/>
          <w:noProof/>
          <w:sz w:val="24"/>
          <w:szCs w:val="24"/>
          <w:lang w:eastAsia="en-US"/>
        </w:rPr>
        <w:lastRenderedPageBreak/>
        <w:drawing>
          <wp:inline distT="0" distB="0" distL="0" distR="0" wp14:anchorId="40177DA2" wp14:editId="603B78FB">
            <wp:extent cx="5704764" cy="2956019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6" t="5486" r="4515"/>
                    <a:stretch/>
                  </pic:blipFill>
                  <pic:spPr bwMode="auto">
                    <a:xfrm>
                      <a:off x="0" y="0"/>
                      <a:ext cx="5712630" cy="2960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Fig. 1. Location distribution of measurements of above- and belowground NPP (NPP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d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ata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), root biomass distribution (Root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d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ata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 xml:space="preserve">) and soil </w:t>
      </w:r>
      <w:r w:rsidRPr="002E0E93">
        <w:rPr>
          <w:rFonts w:ascii="Times New Roman" w:hAnsi="Times New Roman" w:cs="Times New Roman"/>
          <w:b/>
          <w:bCs/>
          <w:sz w:val="24"/>
          <w:szCs w:val="24"/>
        </w:rPr>
        <w:t>radiocarbon content (∆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14</w:t>
      </w:r>
      <w:r w:rsidRPr="002E0E9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Data</w:t>
      </w:r>
      <w:r w:rsidRPr="002E0E9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.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 Values in </w:t>
      </w:r>
      <w:r w:rsidRPr="002E0E93">
        <w:rPr>
          <w:rFonts w:ascii="Times New Roman" w:hAnsi="Times New Roman" w:cs="Times New Roman"/>
          <w:sz w:val="24"/>
          <w:szCs w:val="24"/>
        </w:rPr>
        <w:t>parentheses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 show the number of profiles for each of the three data sets.</w:t>
      </w:r>
    </w:p>
    <w:p w:rsidR="00EF2193" w:rsidRPr="002E0E93" w:rsidRDefault="00EF2193" w:rsidP="00EF2193">
      <w:pPr>
        <w:widowControl w:val="0"/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649D19CF" wp14:editId="79F4183A">
            <wp:extent cx="5731510" cy="3857625"/>
            <wp:effectExtent l="0" t="0" r="254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Fig. 2. Performance of fitted machine learning models to predict I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root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. 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Data are log-transformed.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a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, random forest (RF);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b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extreme gradient boosting (XGBoost);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c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Cubist;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d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support vector machines (SVM);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e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multivariate adaptive regression splines (MARS);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f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the ensemble model of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a-e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>. For each individual model, 80% of the stratified samples of observations were used for model calibration, with the other 20% for validation.</w:t>
      </w:r>
    </w:p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AU"/>
        </w:rPr>
        <w:sectPr w:rsidR="00EF2193" w:rsidRPr="002E0E93" w:rsidSect="00D55508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EF2193" w:rsidRPr="002E0E93" w:rsidRDefault="00EF2193" w:rsidP="00EF2193">
      <w:pPr>
        <w:widowControl w:val="0"/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AU"/>
        </w:rPr>
      </w:pPr>
      <w:bookmarkStart w:id="0" w:name="_Hlk46902315"/>
      <w:r w:rsidRPr="002E0E93"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lastRenderedPageBreak/>
        <w:drawing>
          <wp:inline distT="0" distB="0" distL="0" distR="0" wp14:anchorId="245256D8" wp14:editId="05DA53FF">
            <wp:extent cx="5731510" cy="3919808"/>
            <wp:effectExtent l="0" t="0" r="254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Fig. 3. Performance of fitted machine learning models to predict I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bulk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. 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Data are log-transformed.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a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, random forest (RF);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b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extreme gradient boosting (XGBoost);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c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Cubist;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d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support vector machines (SVM);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e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multivariate adaptive regression splines (MARS);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f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the ensemble model of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a-e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>. For each individual model, 80% of the stratified samples of observations were used for model calibration, with the other 20% stratified data for validation.</w:t>
      </w:r>
    </w:p>
    <w:bookmarkEnd w:id="0"/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AU"/>
        </w:rPr>
        <w:sectPr w:rsidR="00EF2193" w:rsidRPr="002E0E93" w:rsidSect="00D55508">
          <w:footerReference w:type="default" r:id="rId11"/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23D5019B" wp14:editId="3DAB51FA">
            <wp:extent cx="5621215" cy="548830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4" r="1915"/>
                    <a:stretch/>
                  </pic:blipFill>
                  <pic:spPr bwMode="auto">
                    <a:xfrm>
                      <a:off x="0" y="0"/>
                      <a:ext cx="5621765" cy="5488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  <w:sectPr w:rsidR="00EF2193" w:rsidRPr="002E0E93" w:rsidSect="00D55508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Fig. 4. Global pattern of root-derived C inputs (i.e., I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root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, Mg ha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AU"/>
        </w:rPr>
        <w:t>-1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yr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AU"/>
        </w:rPr>
        <w:t>-1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) in seven standard soil layers and in the whole soil profile (0-200 cm). </w:t>
      </w:r>
    </w:p>
    <w:p w:rsidR="00EF2193" w:rsidRPr="002E0E93" w:rsidRDefault="00EF2193" w:rsidP="00EF2193">
      <w:pPr>
        <w:widowControl w:val="0"/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074C646" wp14:editId="4AE75F32">
            <wp:extent cx="5638800" cy="5444490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1" r="1615"/>
                    <a:stretch/>
                  </pic:blipFill>
                  <pic:spPr bwMode="auto">
                    <a:xfrm>
                      <a:off x="0" y="0"/>
                      <a:ext cx="5638952" cy="5444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  <w:sectPr w:rsidR="00EF2193" w:rsidRPr="002E0E93" w:rsidSect="00D55508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Fig. 5. Global pattern of actual carbon inputs to bulk soil (i.e., I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bulk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, Mg ha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AU"/>
        </w:rPr>
        <w:t>-1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yr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AU"/>
        </w:rPr>
        <w:t>-1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) in seven standard soil layers and in the whole soil profile (0-200 cm). </w:t>
      </w:r>
    </w:p>
    <w:p w:rsidR="00EF2193" w:rsidRPr="002E0E93" w:rsidRDefault="00EF2193" w:rsidP="00EF2193">
      <w:pPr>
        <w:widowControl w:val="0"/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293BCD11" wp14:editId="7636DF16">
            <wp:extent cx="5656385" cy="5500370"/>
            <wp:effectExtent l="0" t="0" r="1905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8" r="1305"/>
                    <a:stretch/>
                  </pic:blipFill>
                  <pic:spPr bwMode="auto">
                    <a:xfrm>
                      <a:off x="0" y="0"/>
                      <a:ext cx="5656686" cy="5500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snapToGrid w:val="0"/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AU"/>
        </w:rPr>
        <w:sectPr w:rsidR="00EF2193" w:rsidRPr="002E0E93" w:rsidSect="00D55508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Fig. 6. Global pattern of direct loss of root-derived C inputs before entering bulk soil carbon pool (i.e., 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loss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 xml:space="preserve"> = 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 xml:space="preserve">root 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– 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bulk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, Mg ha</w:t>
      </w:r>
      <w:r w:rsidRPr="002E0E93">
        <w:rPr>
          <w:rFonts w:ascii="Times New Roman" w:hAnsi="Times New Roman" w:cs="Times New Roman"/>
          <w:b/>
          <w:sz w:val="24"/>
          <w:szCs w:val="24"/>
          <w:vertAlign w:val="superscript"/>
          <w:lang w:val="en-AU"/>
        </w:rPr>
        <w:t>-1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 xml:space="preserve"> yr</w:t>
      </w:r>
      <w:r w:rsidRPr="002E0E93">
        <w:rPr>
          <w:rFonts w:ascii="Times New Roman" w:hAnsi="Times New Roman" w:cs="Times New Roman"/>
          <w:b/>
          <w:sz w:val="24"/>
          <w:szCs w:val="24"/>
          <w:vertAlign w:val="superscript"/>
          <w:lang w:val="en-AU"/>
        </w:rPr>
        <w:t>-1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).</w:t>
      </w: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32194DFF" wp14:editId="0FD204FC">
            <wp:extent cx="5668108" cy="5513070"/>
            <wp:effectExtent l="0" t="0" r="889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3" r="1106"/>
                    <a:stretch/>
                  </pic:blipFill>
                  <pic:spPr bwMode="auto">
                    <a:xfrm>
                      <a:off x="0" y="0"/>
                      <a:ext cx="5668108" cy="5513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  <w:sectPr w:rsidR="00EF2193" w:rsidRPr="002E0E93" w:rsidSect="00D55508">
          <w:footerReference w:type="default" r:id="rId16"/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>Fig. 7. Global pattern of the uncertainty of I</w:t>
      </w:r>
      <w:r w:rsidRPr="002E0E93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loss</w:t>
      </w:r>
      <w:r w:rsidRPr="002E0E93">
        <w:rPr>
          <w:rFonts w:ascii="Times New Roman" w:hAnsi="Times New Roman" w:cs="Times New Roman"/>
          <w:b/>
          <w:sz w:val="24"/>
          <w:szCs w:val="24"/>
          <w:lang w:val="en-AU"/>
        </w:rPr>
        <w:t xml:space="preserve"> in different soil layers. 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>Uncertainty is estimated as the margin of the deviation of 500 Monte Carlo simulations divided by their mean, considering uncertainties in both observational data sets and prediction models.</w:t>
      </w:r>
    </w:p>
    <w:p w:rsidR="00EF2193" w:rsidRPr="002E0E93" w:rsidRDefault="00EF2193" w:rsidP="00EF2193">
      <w:pPr>
        <w:widowControl w:val="0"/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noProof/>
          <w:sz w:val="24"/>
          <w:szCs w:val="24"/>
          <w:lang w:val="en-AU"/>
        </w:rPr>
      </w:pPr>
      <w:r w:rsidRPr="002E0E93">
        <w:rPr>
          <w:rFonts w:ascii="Times New Roman" w:hAnsi="Times New Roman" w:cs="Times New Roman" w:hint="eastAsia"/>
          <w:noProof/>
          <w:sz w:val="24"/>
          <w:szCs w:val="24"/>
          <w:lang w:eastAsia="en-US"/>
        </w:rPr>
        <w:lastRenderedPageBreak/>
        <w:drawing>
          <wp:inline distT="0" distB="0" distL="0" distR="0" wp14:anchorId="0715E6C1" wp14:editId="6E423E38">
            <wp:extent cx="5731510" cy="2862580"/>
            <wp:effectExtent l="0" t="0" r="254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  <w:sectPr w:rsidR="00EF2193" w:rsidRPr="002E0E93" w:rsidSect="00D55508">
          <w:pgSz w:w="11906" w:h="16838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8.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Comparison between observed net primary production (NPP) and MODIS-retrieved NPP at NPP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data</w:t>
      </w:r>
      <w:r w:rsidRPr="002E0E93">
        <w:rPr>
          <w:rFonts w:ascii="Times New Roman" w:hAnsi="Times New Roman" w:cs="Times New Roman"/>
          <w:i/>
          <w:iCs/>
          <w:sz w:val="24"/>
          <w:szCs w:val="24"/>
          <w:lang w:val="en-AU"/>
        </w:rPr>
        <w:t xml:space="preserve">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sites. a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: site-by-site comparison;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b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>: comparison by aggregating data into nine biomes. Dashed lines show the 1:1 line.</w:t>
      </w:r>
    </w:p>
    <w:p w:rsidR="00EF2193" w:rsidRPr="002E0E93" w:rsidRDefault="00EF2193" w:rsidP="00EF2193">
      <w:pPr>
        <w:widowControl w:val="0"/>
        <w:tabs>
          <w:tab w:val="left" w:pos="932"/>
          <w:tab w:val="left" w:pos="2265"/>
        </w:tabs>
        <w:adjustRightInd w:val="0"/>
        <w:snapToGri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b/>
          <w:noProof/>
          <w:sz w:val="24"/>
          <w:szCs w:val="24"/>
          <w:lang w:eastAsia="en-US"/>
        </w:rPr>
        <w:lastRenderedPageBreak/>
        <w:drawing>
          <wp:inline distT="0" distB="0" distL="0" distR="0" wp14:anchorId="7E59EED0" wp14:editId="5B2BA729">
            <wp:extent cx="5731510" cy="3840200"/>
            <wp:effectExtent l="0" t="0" r="254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193" w:rsidRPr="002E0E93" w:rsidRDefault="00EF2193" w:rsidP="00EF2193">
      <w:pPr>
        <w:widowControl w:val="0"/>
        <w:snapToGri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2E0E93">
        <w:rPr>
          <w:rFonts w:ascii="Times New Roman" w:hAnsi="Times New Roman" w:cs="Times New Roman"/>
          <w:b/>
          <w:bCs/>
          <w:sz w:val="24"/>
          <w:szCs w:val="24"/>
        </w:rPr>
        <w:t xml:space="preserve">Extended Data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Fig. 9. Performance of fitted machine learning models to predict the </w:t>
      </w:r>
      <w:r w:rsidRPr="002E0E93">
        <w:rPr>
          <w:rFonts w:ascii="Times New Roman" w:hAnsi="Times New Roman" w:cs="Times New Roman" w:hint="eastAsia"/>
          <w:b/>
          <w:bCs/>
          <w:sz w:val="24"/>
          <w:szCs w:val="24"/>
          <w:lang w:val="en-AU"/>
        </w:rPr>
        <w:t>belowground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  <w:r w:rsidRPr="002E0E93">
        <w:rPr>
          <w:rFonts w:ascii="Times New Roman" w:hAnsi="Times New Roman" w:cs="Times New Roman" w:hint="eastAsia"/>
          <w:b/>
          <w:bCs/>
          <w:sz w:val="24"/>
          <w:szCs w:val="24"/>
          <w:lang w:val="en-AU"/>
        </w:rPr>
        <w:t>fraction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of NPP (i.e., f</w:t>
      </w:r>
      <w:r w:rsidRPr="002E0E93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BNPP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). a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, random forest (RF); </w:t>
      </w:r>
      <w:r w:rsidRPr="002E0E93">
        <w:rPr>
          <w:rFonts w:ascii="Times New Roman" w:hAnsi="Times New Roman" w:cs="Times New Roman"/>
          <w:b/>
          <w:bCs/>
          <w:sz w:val="24"/>
          <w:szCs w:val="24"/>
          <w:lang w:val="en-AU"/>
        </w:rPr>
        <w:t>b</w:t>
      </w:r>
      <w:r w:rsidRPr="002E0E93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extreme gradient boosting (XGBoost);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c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Cubist;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d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support vector machines (SVM);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e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>, multivariate adaptive regression splines (MARS);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f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 xml:space="preserve">, the ensemble model of </w:t>
      </w:r>
      <w:r w:rsidRPr="002E0E93">
        <w:rPr>
          <w:rFonts w:ascii="Times New Roman" w:hAnsi="Times New Roman" w:cs="Times New Roman"/>
          <w:b/>
          <w:bCs/>
          <w:noProof/>
          <w:sz w:val="24"/>
          <w:szCs w:val="24"/>
          <w:lang w:val="en-AU"/>
        </w:rPr>
        <w:t>a-e</w:t>
      </w:r>
      <w:r w:rsidRPr="002E0E93">
        <w:rPr>
          <w:rFonts w:ascii="Times New Roman" w:hAnsi="Times New Roman" w:cs="Times New Roman"/>
          <w:noProof/>
          <w:sz w:val="24"/>
          <w:szCs w:val="24"/>
          <w:lang w:val="en-AU"/>
        </w:rPr>
        <w:t>. For each individual model, 80% of the stratified samples of observations were used for model calibration, with the other 20% for validation.</w:t>
      </w:r>
    </w:p>
    <w:p w:rsidR="00D56072" w:rsidRDefault="00D56072">
      <w:bookmarkStart w:id="1" w:name="_GoBack"/>
      <w:bookmarkEnd w:id="1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2EE" w:rsidRDefault="00EF2193">
    <w:pPr>
      <w:pStyle w:val="Footer"/>
      <w:jc w:val="center"/>
    </w:pPr>
    <w:r>
      <w:fldChar w:fldCharType="begin"/>
    </w:r>
    <w:r>
      <w:instrText xml:space="preserve"> PAGE   \* MERGEFO</w:instrText>
    </w:r>
    <w:r>
      <w:instrText xml:space="preserve">RMAT </w:instrText>
    </w:r>
    <w:r>
      <w:fldChar w:fldCharType="separate"/>
    </w:r>
    <w:r>
      <w:rPr>
        <w:noProof/>
      </w:rPr>
      <w:t>8</w:t>
    </w:r>
    <w:r>
      <w:rPr>
        <w:noProof/>
      </w:rPr>
      <w:fldChar w:fldCharType="end"/>
    </w:r>
  </w:p>
  <w:p w:rsidR="008C72EE" w:rsidRDefault="00EF21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4125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C72EE" w:rsidRDefault="00EF21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8C72EE" w:rsidRDefault="00EF219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193"/>
    <w:rsid w:val="00D56072"/>
    <w:rsid w:val="00EF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E9F8C-7258-46E3-8632-BB018ABF9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2193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F219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193"/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EF2193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F2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5.tiff"/><Relationship Id="rId18" Type="http://schemas.openxmlformats.org/officeDocument/2006/relationships/image" Target="media/image9.emf"/><Relationship Id="rId3" Type="http://schemas.openxmlformats.org/officeDocument/2006/relationships/webSettings" Target="webSettings.xml"/><Relationship Id="rId7" Type="http://schemas.openxmlformats.org/officeDocument/2006/relationships/hyperlink" Target="https://www.fuhaoku.net/U+24EC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8.tiff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fuhaoku.net/U+24EB" TargetMode="External"/><Relationship Id="rId11" Type="http://schemas.openxmlformats.org/officeDocument/2006/relationships/footer" Target="footer1.xml"/><Relationship Id="rId5" Type="http://schemas.openxmlformats.org/officeDocument/2006/relationships/hyperlink" Target="https://www.fuhaoku.net/U+24EC" TargetMode="External"/><Relationship Id="rId15" Type="http://schemas.openxmlformats.org/officeDocument/2006/relationships/image" Target="media/image7.tif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hyperlink" Target="https://www.fuhaoku.net/U+24EB" TargetMode="External"/><Relationship Id="rId9" Type="http://schemas.openxmlformats.org/officeDocument/2006/relationships/image" Target="media/image2.em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609</Words>
  <Characters>3473</Characters>
  <Application>Microsoft Office Word</Application>
  <DocSecurity>0</DocSecurity>
  <Lines>28</Lines>
  <Paragraphs>8</Paragraphs>
  <ScaleCrop>false</ScaleCrop>
  <Company>Springer Nature IT</Company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2021-01-19T17:53:00Z</dcterms:created>
  <dcterms:modified xsi:type="dcterms:W3CDTF">2021-01-19T17:53:00Z</dcterms:modified>
</cp:coreProperties>
</file>