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80288" w14:textId="77777777" w:rsidR="00A6595A" w:rsidRDefault="001B0FF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Supporting Information</w:t>
      </w:r>
    </w:p>
    <w:p w14:paraId="63E61636" w14:textId="77777777" w:rsidR="00A6595A" w:rsidRDefault="00A6595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EF0ABC" w14:textId="77777777" w:rsidR="00A6595A" w:rsidRDefault="001B0FF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OLE_LINK11"/>
      <w:bookmarkStart w:id="1" w:name="_Hlk171323503"/>
      <w:bookmarkStart w:id="2" w:name="_Hlk183009018"/>
      <w:bookmarkStart w:id="3" w:name="_Hlk111102659"/>
      <w:bookmarkStart w:id="4" w:name="_Hlk120194659"/>
      <w:bookmarkStart w:id="5" w:name="_Hlk148414611"/>
      <w:r>
        <w:rPr>
          <w:rFonts w:ascii="Times New Roman" w:hAnsi="Times New Roman" w:cs="Times New Roman"/>
          <w:b/>
          <w:bCs/>
          <w:sz w:val="24"/>
          <w:szCs w:val="24"/>
        </w:rPr>
        <w:t xml:space="preserve">Ion Flux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Optimization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via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Hollow Carbon Nanoreactors for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High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-Power and Energy-Dense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Li-Cl</w:t>
      </w:r>
      <w:r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Batteries</w:t>
      </w:r>
    </w:p>
    <w:bookmarkEnd w:id="0"/>
    <w:p w14:paraId="497B7E1A" w14:textId="77777777" w:rsidR="00A6595A" w:rsidRDefault="00A6595A">
      <w:pPr>
        <w:pStyle w:val="AuthorsFull"/>
        <w:spacing w:line="480" w:lineRule="auto"/>
        <w:jc w:val="both"/>
        <w:rPr>
          <w:lang w:val="en-GB"/>
        </w:rPr>
      </w:pPr>
    </w:p>
    <w:p w14:paraId="21A180F1" w14:textId="77777777" w:rsidR="00A6595A" w:rsidRDefault="001B0FFC">
      <w:pPr>
        <w:pStyle w:val="AuthorsFull"/>
        <w:spacing w:line="480" w:lineRule="auto"/>
        <w:jc w:val="both"/>
        <w:rPr>
          <w:lang w:val="en-GB"/>
        </w:rPr>
      </w:pPr>
      <w:r>
        <w:rPr>
          <w:lang w:val="en-GB"/>
        </w:rPr>
        <w:t>Yan Xu</w:t>
      </w:r>
      <w:r>
        <w:rPr>
          <w:vertAlign w:val="superscript"/>
          <w:lang w:val="en-GB"/>
        </w:rPr>
        <w:t>1</w:t>
      </w:r>
      <w:r>
        <w:rPr>
          <w:vertAlign w:val="superscript"/>
        </w:rPr>
        <w:t>,</w:t>
      </w:r>
      <w:r>
        <w:rPr>
          <w:vertAlign w:val="superscript"/>
          <w:lang w:val="en-GB"/>
        </w:rPr>
        <w:t>*</w:t>
      </w:r>
      <w:r>
        <w:rPr>
          <w:lang w:val="en-GB"/>
        </w:rPr>
        <w:t xml:space="preserve">, </w:t>
      </w:r>
      <w:r>
        <w:rPr>
          <w:rFonts w:eastAsiaTheme="minorEastAsia"/>
          <w:lang w:val="en-GB" w:eastAsia="zh-CN"/>
        </w:rPr>
        <w:t>Jiejun</w:t>
      </w:r>
      <w:r>
        <w:rPr>
          <w:lang w:val="en-GB"/>
        </w:rPr>
        <w:t xml:space="preserve"> </w:t>
      </w:r>
      <w:r>
        <w:rPr>
          <w:rFonts w:eastAsiaTheme="minorEastAsia"/>
          <w:lang w:val="en-GB" w:eastAsia="zh-CN"/>
        </w:rPr>
        <w:t>Ye</w:t>
      </w:r>
      <w:r>
        <w:rPr>
          <w:rFonts w:eastAsiaTheme="minorEastAsia"/>
          <w:vertAlign w:val="superscript"/>
          <w:lang w:val="en-GB" w:eastAsia="zh-CN"/>
        </w:rPr>
        <w:t>1</w:t>
      </w:r>
      <w:r>
        <w:rPr>
          <w:lang w:val="en-GB"/>
        </w:rPr>
        <w:t>, Zhipeng Wang</w:t>
      </w:r>
      <w:r>
        <w:rPr>
          <w:vertAlign w:val="superscript"/>
          <w:lang w:val="en-GB"/>
        </w:rPr>
        <w:t>1</w:t>
      </w:r>
      <w:r>
        <w:rPr>
          <w:lang w:val="en-GB"/>
        </w:rPr>
        <w:t>, Peichao Zou</w:t>
      </w:r>
      <w:r>
        <w:rPr>
          <w:vertAlign w:val="superscript"/>
          <w:lang w:val="en-GB"/>
        </w:rPr>
        <w:t>1</w:t>
      </w:r>
      <w:r>
        <w:rPr>
          <w:lang w:val="en-GB"/>
        </w:rPr>
        <w:t xml:space="preserve">, </w:t>
      </w:r>
      <w:r>
        <w:t>Lidong Sun</w:t>
      </w:r>
      <w:r>
        <w:rPr>
          <w:vertAlign w:val="superscript"/>
        </w:rPr>
        <w:t>2</w:t>
      </w:r>
      <w:r>
        <w:t xml:space="preserve">, </w:t>
      </w:r>
      <w:r>
        <w:rPr>
          <w:lang w:val="en-GB"/>
        </w:rPr>
        <w:t>Liyao Wang</w:t>
      </w:r>
      <w:r>
        <w:rPr>
          <w:vertAlign w:val="superscript"/>
          <w:lang w:val="en-GB"/>
        </w:rPr>
        <w:t>1</w:t>
      </w:r>
      <w:r>
        <w:rPr>
          <w:lang w:val="en-GB"/>
        </w:rPr>
        <w:t xml:space="preserve">, </w:t>
      </w:r>
      <w:r>
        <w:rPr>
          <w:rFonts w:eastAsiaTheme="minorEastAsia"/>
          <w:lang w:val="en-GB" w:eastAsia="zh-CN"/>
        </w:rPr>
        <w:t>Qi</w:t>
      </w:r>
      <w:r>
        <w:rPr>
          <w:rFonts w:eastAsiaTheme="minorEastAsia" w:hint="eastAsia"/>
          <w:lang w:val="en-GB" w:eastAsia="zh-CN"/>
        </w:rPr>
        <w:t xml:space="preserve"> Liu</w:t>
      </w:r>
      <w:r>
        <w:rPr>
          <w:rFonts w:eastAsiaTheme="minorEastAsia"/>
          <w:vertAlign w:val="superscript"/>
          <w:lang w:val="en-GB" w:eastAsia="zh-CN"/>
        </w:rPr>
        <w:t>1</w:t>
      </w:r>
      <w:r>
        <w:rPr>
          <w:rFonts w:eastAsiaTheme="minorEastAsia" w:hint="eastAsia"/>
          <w:lang w:val="en-GB" w:eastAsia="zh-CN"/>
        </w:rPr>
        <w:t xml:space="preserve">, </w:t>
      </w:r>
      <w:r>
        <w:rPr>
          <w:rFonts w:eastAsiaTheme="minorEastAsia"/>
          <w:lang w:val="en-GB" w:eastAsia="zh-CN"/>
        </w:rPr>
        <w:t>Mark H. Rummeli</w:t>
      </w:r>
      <w:r>
        <w:rPr>
          <w:rFonts w:eastAsiaTheme="minorEastAsia"/>
          <w:vertAlign w:val="superscript"/>
          <w:lang w:val="en-GB" w:eastAsia="zh-CN"/>
        </w:rPr>
        <w:t>1,3</w:t>
      </w:r>
      <w:r>
        <w:rPr>
          <w:rFonts w:eastAsiaTheme="minorEastAsia"/>
          <w:lang w:val="en-GB" w:eastAsia="zh-CN"/>
        </w:rPr>
        <w:t xml:space="preserve">, </w:t>
      </w:r>
      <w:r>
        <w:rPr>
          <w:lang w:val="en-GB"/>
        </w:rPr>
        <w:t>Shenxiang Zhang</w:t>
      </w:r>
      <w:r>
        <w:rPr>
          <w:vertAlign w:val="superscript"/>
          <w:lang w:val="en-GB"/>
        </w:rPr>
        <w:t>1,*</w:t>
      </w:r>
      <w:r>
        <w:rPr>
          <w:lang w:val="en-GB"/>
        </w:rPr>
        <w:t xml:space="preserve">, </w:t>
      </w:r>
      <w:r>
        <w:rPr>
          <w:lang w:val="en-GB"/>
        </w:rPr>
        <w:t>Wei Chen</w:t>
      </w:r>
      <w:r>
        <w:rPr>
          <w:vertAlign w:val="superscript"/>
          <w:lang w:val="en-GB"/>
        </w:rPr>
        <w:t>2,*</w:t>
      </w:r>
      <w:bookmarkEnd w:id="1"/>
    </w:p>
    <w:bookmarkEnd w:id="2"/>
    <w:p w14:paraId="4BDC5AB1" w14:textId="77777777" w:rsidR="00A6595A" w:rsidRDefault="00A6595A">
      <w:pPr>
        <w:pStyle w:val="Addresses"/>
        <w:spacing w:line="480" w:lineRule="auto"/>
        <w:jc w:val="both"/>
        <w:rPr>
          <w:vertAlign w:val="superscript"/>
          <w:lang w:val="en-GB"/>
        </w:rPr>
      </w:pPr>
    </w:p>
    <w:p w14:paraId="5F901A88" w14:textId="77777777" w:rsidR="00A6595A" w:rsidRDefault="001B0FFC">
      <w:pPr>
        <w:pStyle w:val="Addresses"/>
        <w:spacing w:line="480" w:lineRule="auto"/>
        <w:jc w:val="both"/>
        <w:rPr>
          <w:rFonts w:eastAsiaTheme="minorEastAsia"/>
          <w:lang w:val="en-GB" w:eastAsia="zh-CN"/>
        </w:rPr>
      </w:pPr>
      <w:r>
        <w:rPr>
          <w:vertAlign w:val="superscript"/>
          <w:lang w:val="en-GB"/>
        </w:rPr>
        <w:t>1</w:t>
      </w:r>
      <w:r>
        <w:rPr>
          <w:rFonts w:eastAsiaTheme="minorEastAsia" w:hint="eastAsia"/>
          <w:lang w:val="en-GB" w:eastAsia="zh-CN"/>
        </w:rPr>
        <w:t xml:space="preserve">College of Energy, </w:t>
      </w:r>
      <w:r>
        <w:rPr>
          <w:rFonts w:eastAsiaTheme="minorEastAsia"/>
          <w:lang w:val="en-GB" w:eastAsia="zh-CN"/>
        </w:rPr>
        <w:t>College of Chemistry, Chemical Engineering and Materials Science</w:t>
      </w:r>
      <w:r>
        <w:rPr>
          <w:rFonts w:eastAsiaTheme="minorEastAsia" w:hint="eastAsia"/>
          <w:lang w:val="en-GB" w:eastAsia="zh-CN"/>
        </w:rPr>
        <w:t xml:space="preserve">, Soochow University, Suzhou, </w:t>
      </w:r>
      <w:r>
        <w:rPr>
          <w:rFonts w:eastAsiaTheme="minorEastAsia" w:hint="eastAsia"/>
          <w:lang w:eastAsia="zh-CN"/>
        </w:rPr>
        <w:t xml:space="preserve">Jiangsu </w:t>
      </w:r>
      <w:r>
        <w:rPr>
          <w:rFonts w:eastAsiaTheme="minorEastAsia" w:hint="eastAsia"/>
          <w:lang w:val="en-GB" w:eastAsia="zh-CN"/>
        </w:rPr>
        <w:t>215006</w:t>
      </w:r>
      <w:r>
        <w:rPr>
          <w:rFonts w:eastAsiaTheme="minorEastAsia" w:hint="eastAsia"/>
          <w:lang w:eastAsia="zh-CN"/>
        </w:rPr>
        <w:t>,</w:t>
      </w:r>
      <w:r>
        <w:rPr>
          <w:rFonts w:eastAsiaTheme="minorEastAsia" w:hint="eastAsia"/>
          <w:lang w:val="en-GB" w:eastAsia="zh-CN"/>
        </w:rPr>
        <w:t xml:space="preserve"> China</w:t>
      </w:r>
    </w:p>
    <w:p w14:paraId="3656B244" w14:textId="77777777" w:rsidR="00A6595A" w:rsidRDefault="001B0FFC">
      <w:pPr>
        <w:pStyle w:val="Addresses"/>
        <w:spacing w:line="480" w:lineRule="auto"/>
        <w:jc w:val="both"/>
        <w:rPr>
          <w:lang w:val="en-GB"/>
        </w:rPr>
      </w:pPr>
      <w:r>
        <w:rPr>
          <w:vertAlign w:val="superscript"/>
          <w:lang w:val="en-GB"/>
        </w:rPr>
        <w:t>2</w:t>
      </w:r>
      <w:r>
        <w:rPr>
          <w:lang w:val="en-GB"/>
        </w:rPr>
        <w:t xml:space="preserve">Department of Chemistry, </w:t>
      </w:r>
      <w:bookmarkStart w:id="6" w:name="_Hlk148420970"/>
      <w:r>
        <w:rPr>
          <w:rFonts w:eastAsiaTheme="minorEastAsia"/>
          <w:lang w:eastAsia="zh-CN"/>
        </w:rPr>
        <w:t xml:space="preserve">School of Chemistry and Materials Science, Hefei National Research Center for Physical Sciences at the Microscale, </w:t>
      </w:r>
      <w:bookmarkEnd w:id="6"/>
      <w:r>
        <w:rPr>
          <w:lang w:val="en-GB"/>
        </w:rPr>
        <w:t>University of Science and Technology of China, Hefei, Anhui 230026, China</w:t>
      </w:r>
      <w:bookmarkStart w:id="7" w:name="_Hlk104800466"/>
    </w:p>
    <w:p w14:paraId="3701B2E5" w14:textId="77777777" w:rsidR="00A6595A" w:rsidRDefault="001B0FFC">
      <w:pPr>
        <w:pStyle w:val="Addresses"/>
        <w:spacing w:line="480" w:lineRule="auto"/>
        <w:jc w:val="both"/>
        <w:rPr>
          <w:lang w:val="en-GB"/>
        </w:rPr>
      </w:pPr>
      <w:r>
        <w:rPr>
          <w:vertAlign w:val="superscript"/>
          <w:lang w:val="en-GB"/>
        </w:rPr>
        <w:t>3</w:t>
      </w:r>
      <w:r>
        <w:rPr>
          <w:lang w:val="en-GB"/>
        </w:rPr>
        <w:t>Institute for Materials Chemistry, IFW Dresden, 20 Helmholtz Stras</w:t>
      </w:r>
      <w:r>
        <w:rPr>
          <w:lang w:val="en-GB"/>
        </w:rPr>
        <w:t>se, Dresden 01069, Germany</w:t>
      </w:r>
    </w:p>
    <w:bookmarkEnd w:id="3"/>
    <w:bookmarkEnd w:id="7"/>
    <w:p w14:paraId="5738CD03" w14:textId="77777777" w:rsidR="00A6595A" w:rsidRDefault="001B0FFC">
      <w:pPr>
        <w:spacing w:line="360" w:lineRule="auto"/>
        <w:jc w:val="both"/>
        <w:rPr>
          <w:rStyle w:val="ac"/>
          <w:rFonts w:ascii="Times New Roman" w:hAnsi="Times New Roman" w:cs="Times New Roman"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Corresponding authors: </w:t>
      </w:r>
      <w:r>
        <w:rPr>
          <w:rFonts w:ascii="Times New Roman" w:hAnsi="Times New Roman" w:cs="Times New Roman" w:hint="eastAsia"/>
          <w:sz w:val="24"/>
          <w:szCs w:val="24"/>
          <w:u w:val="single"/>
          <w:lang w:val="en-GB"/>
        </w:rPr>
        <w:t>yanxu</w:t>
      </w:r>
      <w:r>
        <w:rPr>
          <w:rFonts w:ascii="Times New Roman" w:hAnsi="Times New Roman" w:cs="Times New Roman"/>
          <w:sz w:val="24"/>
          <w:szCs w:val="24"/>
          <w:u w:val="single"/>
          <w:lang w:val="en-GB"/>
        </w:rPr>
        <w:t>2022@</w:t>
      </w:r>
      <w:r>
        <w:rPr>
          <w:rFonts w:ascii="Times New Roman" w:hAnsi="Times New Roman" w:cs="Times New Roman" w:hint="eastAsia"/>
          <w:sz w:val="24"/>
          <w:szCs w:val="24"/>
          <w:u w:val="single"/>
          <w:lang w:val="en-GB"/>
        </w:rPr>
        <w:t>suda</w:t>
      </w:r>
      <w:r>
        <w:rPr>
          <w:rFonts w:ascii="Times New Roman" w:hAnsi="Times New Roman" w:cs="Times New Roman"/>
          <w:sz w:val="24"/>
          <w:szCs w:val="24"/>
          <w:u w:val="single"/>
          <w:lang w:val="en-GB"/>
        </w:rPr>
        <w:t>.edu.cn;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bookmarkEnd w:id="4"/>
      <w:r>
        <w:fldChar w:fldCharType="begin"/>
      </w:r>
      <w:r>
        <w:instrText xml:space="preserve"> HYPERLINK "mailto:sxzhang@suda.edu.cn" </w:instrText>
      </w:r>
      <w:r>
        <w:fldChar w:fldCharType="separate"/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lang w:val="en-GB"/>
        </w:rPr>
        <w:t>sxzhang@suda.edu.cn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lang w:val="en-GB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hyperlink r:id="rId6" w:history="1">
        <w:r>
          <w:rPr>
            <w:rStyle w:val="ac"/>
            <w:rFonts w:ascii="Times New Roman" w:hAnsi="Times New Roman" w:cs="Times New Roman"/>
            <w:color w:val="auto"/>
            <w:sz w:val="24"/>
            <w:szCs w:val="24"/>
            <w:lang w:val="en-GB"/>
          </w:rPr>
          <w:t>weichen1@ustc.edu.cn</w:t>
        </w:r>
      </w:hyperlink>
    </w:p>
    <w:p w14:paraId="391DD36B" w14:textId="77777777" w:rsidR="00A6595A" w:rsidRDefault="00A6595A">
      <w:pPr>
        <w:spacing w:line="360" w:lineRule="auto"/>
        <w:jc w:val="both"/>
        <w:rPr>
          <w:rStyle w:val="ac"/>
          <w:rFonts w:ascii="Times New Roman" w:hAnsi="Times New Roman" w:cs="Times New Roman"/>
          <w:sz w:val="24"/>
          <w:szCs w:val="24"/>
          <w:lang w:val="en-GB"/>
        </w:rPr>
      </w:pPr>
    </w:p>
    <w:p w14:paraId="484475DB" w14:textId="77777777" w:rsidR="00A6595A" w:rsidRDefault="00A6595A">
      <w:pPr>
        <w:spacing w:line="360" w:lineRule="auto"/>
        <w:jc w:val="both"/>
        <w:rPr>
          <w:rStyle w:val="ac"/>
          <w:rFonts w:ascii="Times New Roman" w:hAnsi="Times New Roman" w:cs="Times New Roman"/>
          <w:sz w:val="24"/>
          <w:szCs w:val="24"/>
          <w:lang w:val="en-GB"/>
        </w:rPr>
      </w:pPr>
    </w:p>
    <w:p w14:paraId="056A1F10" w14:textId="77777777" w:rsidR="00A6595A" w:rsidRDefault="00A6595A">
      <w:pPr>
        <w:spacing w:line="360" w:lineRule="auto"/>
        <w:jc w:val="both"/>
        <w:rPr>
          <w:rStyle w:val="ac"/>
          <w:rFonts w:ascii="Times New Roman" w:hAnsi="Times New Roman" w:cs="Times New Roman"/>
          <w:sz w:val="24"/>
          <w:szCs w:val="24"/>
          <w:lang w:val="en-GB"/>
        </w:rPr>
      </w:pPr>
    </w:p>
    <w:p w14:paraId="53366DBF" w14:textId="77777777" w:rsidR="00A6595A" w:rsidRDefault="001B0FFC">
      <w:pPr>
        <w:rPr>
          <w:rStyle w:val="ac"/>
          <w:rFonts w:ascii="Times New Roman" w:hAnsi="Times New Roman" w:cs="Times New Roman"/>
          <w:sz w:val="24"/>
          <w:szCs w:val="24"/>
          <w:lang w:val="en-GB"/>
        </w:rPr>
      </w:pPr>
      <w:r>
        <w:rPr>
          <w:rStyle w:val="ac"/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6A1D166B" w14:textId="77777777" w:rsidR="00A6595A" w:rsidRDefault="001B0FFC">
      <w:pPr>
        <w:spacing w:line="360" w:lineRule="auto"/>
        <w:jc w:val="both"/>
        <w:rPr>
          <w:rStyle w:val="ac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val="en-GB"/>
        </w:rPr>
      </w:pPr>
      <w:r>
        <w:rPr>
          <w:rStyle w:val="ac"/>
          <w:rFonts w:ascii="Times New Roman" w:hAnsi="Times New Roman" w:cs="Times New Roman" w:hint="eastAsia"/>
          <w:b/>
          <w:bCs/>
          <w:color w:val="auto"/>
          <w:sz w:val="24"/>
          <w:szCs w:val="24"/>
          <w:u w:val="none"/>
          <w:lang w:val="en-GB"/>
        </w:rPr>
        <w:lastRenderedPageBreak/>
        <w:t>Methods</w:t>
      </w:r>
    </w:p>
    <w:p w14:paraId="78F2057F" w14:textId="77777777" w:rsidR="00A6595A" w:rsidRDefault="001B0FFC">
      <w:pPr>
        <w:spacing w:line="360" w:lineRule="auto"/>
        <w:jc w:val="both"/>
        <w:rPr>
          <w:b/>
          <w:bCs/>
        </w:rPr>
      </w:pPr>
      <w:r>
        <w:rPr>
          <w:rStyle w:val="ac"/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>HCN</w:t>
      </w:r>
      <w:r>
        <w:rPr>
          <w:rStyle w:val="ac"/>
          <w:rFonts w:ascii="Times New Roman" w:hAnsi="Times New Roman" w:cs="Times New Roman" w:hint="eastAsia"/>
          <w:b/>
          <w:bCs/>
          <w:color w:val="auto"/>
          <w:sz w:val="24"/>
          <w:szCs w:val="24"/>
          <w:lang w:val="en-GB"/>
        </w:rPr>
        <w:t>R</w:t>
      </w:r>
      <w:r>
        <w:rPr>
          <w:rStyle w:val="ac"/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  <w:t>s synthesis</w:t>
      </w:r>
    </w:p>
    <w:p w14:paraId="77C9D849" w14:textId="77777777" w:rsidR="00A6595A" w:rsidRDefault="001B0FFC">
      <w:pPr>
        <w:spacing w:line="360" w:lineRule="auto"/>
        <w:jc w:val="both"/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</w:pP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High-purity MgO powders (AR, 99.9%, Aladdin) with particle sizes of approximately 20 nm and 50 nm were utilized as templates for the growth of </w:t>
      </w:r>
      <w:r>
        <w:rPr>
          <w:rStyle w:val="ac"/>
          <w:rFonts w:ascii="Times New Roman" w:hAnsi="Times New Roman" w:cs="Times New Roman" w:hint="eastAsia"/>
          <w:color w:val="auto"/>
          <w:sz w:val="24"/>
          <w:szCs w:val="24"/>
          <w:u w:val="none"/>
          <w:lang w:val="en-GB"/>
        </w:rPr>
        <w:t>h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ollow carbon nanocages (HCNs) through the </w:t>
      </w:r>
      <w:r>
        <w:rPr>
          <w:rStyle w:val="ac"/>
          <w:rFonts w:ascii="Times New Roman" w:hAnsi="Times New Roman" w:cs="Times New Roman" w:hint="eastAsia"/>
          <w:color w:val="auto"/>
          <w:sz w:val="24"/>
          <w:szCs w:val="24"/>
          <w:u w:val="none"/>
        </w:rPr>
        <w:t>c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hemical </w:t>
      </w:r>
      <w:r>
        <w:rPr>
          <w:rStyle w:val="ac"/>
          <w:rFonts w:ascii="Times New Roman" w:hAnsi="Times New Roman" w:cs="Times New Roman" w:hint="eastAsia"/>
          <w:color w:val="auto"/>
          <w:sz w:val="24"/>
          <w:szCs w:val="24"/>
          <w:u w:val="none"/>
        </w:rPr>
        <w:t>v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apor </w:t>
      </w:r>
      <w:r>
        <w:rPr>
          <w:rStyle w:val="ac"/>
          <w:rFonts w:ascii="Times New Roman" w:hAnsi="Times New Roman" w:cs="Times New Roman" w:hint="eastAsia"/>
          <w:color w:val="auto"/>
          <w:sz w:val="24"/>
          <w:szCs w:val="24"/>
          <w:u w:val="none"/>
        </w:rPr>
        <w:t>d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eposition (CVD) method. The process involved 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placing 3</w:t>
      </w:r>
      <w:r>
        <w:rPr>
          <w:rStyle w:val="ac"/>
          <w:rFonts w:ascii="Times New Roman" w:hAnsi="Times New Roman" w:cs="Times New Roman" w:hint="eastAsia"/>
          <w:color w:val="auto"/>
          <w:sz w:val="24"/>
          <w:szCs w:val="24"/>
          <w:u w:val="none"/>
        </w:rPr>
        <w:t xml:space="preserve"> 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g of MgO powder in a quartz boat and sealing it in the CVD system. Pure acetonitrile (AR, 99.7%, Sinopharm Chemical Reagent Co., Ltd.) was employed as the carbon source and introduced into the CVD system via argon gas flow at a rate of 200 mL/min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. Subsequently, calcination was carried out in a tube furnace at 900 °C for 1 h with a heating rate of 20 °C/min under vacuum. The resulting product was then washed three times with 100 mL 1 mol/L HCl and collected through centrifugation, followed by freez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e-drying for 2 days.</w:t>
      </w:r>
    </w:p>
    <w:p w14:paraId="157B722A" w14:textId="77777777" w:rsidR="00A6595A" w:rsidRDefault="001B0FFC">
      <w:pPr>
        <w:spacing w:line="360" w:lineRule="auto"/>
        <w:jc w:val="both"/>
        <w:rPr>
          <w:rStyle w:val="ac"/>
          <w:rFonts w:ascii="Times New Roman" w:hAnsi="Times New Roman" w:cs="Times New Roman"/>
          <w:b/>
          <w:bCs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Electrochemical measurements of coin cell and pouch cell </w:t>
      </w:r>
    </w:p>
    <w:p w14:paraId="3BD782A9" w14:textId="77777777" w:rsidR="00A6595A" w:rsidRDefault="001B0FFC">
      <w:pPr>
        <w:spacing w:line="360" w:lineRule="auto"/>
        <w:jc w:val="both"/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</w:pP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The electrolyte recipe was 1.5 M AlCl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vertAlign w:val="subscript"/>
          <w:lang w:val="en-GB"/>
        </w:rPr>
        <w:t>3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 + 1.5 M LiCl in SOCl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vertAlign w:val="subscript"/>
          <w:lang w:val="en-GB"/>
        </w:rPr>
        <w:t>2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 solution. The HCN</w:t>
      </w:r>
      <w:r>
        <w:rPr>
          <w:rStyle w:val="ac"/>
          <w:rFonts w:ascii="Times New Roman" w:hAnsi="Times New Roman" w:cs="Times New Roman" w:hint="eastAsia"/>
          <w:color w:val="auto"/>
          <w:sz w:val="24"/>
          <w:szCs w:val="24"/>
          <w:u w:val="none"/>
          <w:lang w:val="en-GB"/>
        </w:rPr>
        <w:t>R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s and AB electrodes were prepared by mixing the active material (HCNR-50 nm or HCNR-20 nm), ketjen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black, CNT, and polytetrafluoroethylene (PTFE) in a specific mass ratio of 8:0.5:0.7:0.8 in water. The resulting paste was drop-casted onto carbon paper collectors with a diameter of 12 mm and dried at 60 °C in a vacuum oven overnight. The mass loading of 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active materials in the cathode was maintained at approximately 1 mg/cm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vertAlign w:val="superscript"/>
          <w:lang w:val="en-GB"/>
        </w:rPr>
        <w:t>2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 and 2-3 mg/cm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vertAlign w:val="superscript"/>
          <w:lang w:val="en-GB"/>
        </w:rPr>
        <w:t>2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. Li-Cl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vertAlign w:val="subscript"/>
          <w:lang w:val="en-GB"/>
        </w:rPr>
        <w:t>2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 coin cells were assembled with Li foil as the anode, glass fiber as the separator, and 120 μL of electrolyte in each coin cell. The cathode for pouch cells was 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prepared by drop casting the same slurry onto Ni foam (33*62 mm</w:t>
      </w:r>
      <w:r>
        <w:rPr>
          <w:rStyle w:val="ac"/>
          <w:rFonts w:ascii="Times New Roman" w:hAnsi="Times New Roman" w:cs="Times New Roman" w:hint="eastAsia"/>
          <w:color w:val="auto"/>
          <w:sz w:val="24"/>
          <w:szCs w:val="24"/>
          <w:u w:val="none"/>
          <w:vertAlign w:val="superscript"/>
        </w:rPr>
        <w:t>2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) with a mass loading of ~120 mg. Then the cathode, separator, Li foil were stacked sequentially with 5 layers. Finally, 18-20 g electrolyte was injected into the pouch cell and sealed. The entire assembly process took place in an Ar-filled glove box for c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oin cells and a dry room for pouch cells. The electrochemical performance of the coin cell and pouch cell was evaluated using a LAND </w:t>
      </w:r>
      <w:r>
        <w:rPr>
          <w:rStyle w:val="ac"/>
          <w:rFonts w:ascii="Times New Roman" w:hAnsi="Times New Roman" w:cs="Times New Roman" w:hint="eastAsia"/>
          <w:color w:val="auto"/>
          <w:sz w:val="24"/>
          <w:szCs w:val="24"/>
          <w:u w:val="none"/>
        </w:rPr>
        <w:t>b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attery </w:t>
      </w:r>
      <w:r>
        <w:rPr>
          <w:rStyle w:val="ac"/>
          <w:rFonts w:ascii="Times New Roman" w:hAnsi="Times New Roman" w:cs="Times New Roman" w:hint="eastAsia"/>
          <w:color w:val="auto"/>
          <w:sz w:val="24"/>
          <w:szCs w:val="24"/>
          <w:u w:val="none"/>
        </w:rPr>
        <w:t>t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>ester, and impedance testing was performed on a CHI 660E electrochemical workstation. The impedance test and curre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nt rate tests were conducted at room temperature, and other electrochemical measurements were conducted at a low temperature of -5±5 ℃ </w:t>
      </w:r>
      <w:r>
        <w:rPr>
          <w:rStyle w:val="ac"/>
          <w:rFonts w:ascii="Times New Roman" w:hAnsi="Times New Roman" w:cs="Times New Roman" w:hint="eastAsia"/>
          <w:color w:val="auto"/>
          <w:sz w:val="24"/>
          <w:szCs w:val="24"/>
          <w:u w:val="none"/>
          <w:lang w:val="en-GB"/>
        </w:rPr>
        <w:t>in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 </w:t>
      </w:r>
      <w:r>
        <w:rPr>
          <w:rStyle w:val="ac"/>
          <w:rFonts w:ascii="Times New Roman" w:hAnsi="Times New Roman" w:cs="Times New Roman" w:hint="eastAsia"/>
          <w:color w:val="auto"/>
          <w:sz w:val="24"/>
          <w:szCs w:val="24"/>
          <w:u w:val="none"/>
          <w:lang w:val="en-GB"/>
        </w:rPr>
        <w:t>a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 </w:t>
      </w:r>
      <w:r>
        <w:rPr>
          <w:rStyle w:val="ac"/>
          <w:rFonts w:ascii="Times New Roman" w:hAnsi="Times New Roman" w:cs="Times New Roman" w:hint="eastAsia"/>
          <w:color w:val="auto"/>
          <w:sz w:val="24"/>
          <w:szCs w:val="24"/>
          <w:u w:val="none"/>
          <w:lang w:val="en-GB"/>
        </w:rPr>
        <w:t>refrigerator</w:t>
      </w:r>
      <w:r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  <w:lang w:val="en-GB"/>
        </w:rPr>
        <w:t xml:space="preserve"> (CHIGO).</w:t>
      </w:r>
    </w:p>
    <w:p w14:paraId="55BC5939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Cl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vertAlign w:val="subscript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adsorption experiment</w:t>
      </w:r>
    </w:p>
    <w:p w14:paraId="35B7B2A7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Cl</w:t>
      </w:r>
      <w:r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gas </w:t>
      </w:r>
      <w:r>
        <w:rPr>
          <w:rFonts w:ascii="Times New Roman" w:hAnsi="Times New Roman" w:cs="Times New Roman" w:hint="eastAsia"/>
          <w:bCs/>
          <w:color w:val="000000"/>
          <w:sz w:val="24"/>
          <w:szCs w:val="24"/>
        </w:rPr>
        <w:t>was generated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the laboratory by using manganese dioxide (MnO</w:t>
      </w:r>
      <w:r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 to oxidize hydrochloric acid (HCl), as shown in the below equation: </w:t>
      </w:r>
    </w:p>
    <w:p w14:paraId="634D8D6D" w14:textId="77777777" w:rsidR="00A6595A" w:rsidRDefault="001B0FFC">
      <w:pPr>
        <w:spacing w:line="360" w:lineRule="auto"/>
        <w:ind w:firstLineChars="100" w:firstLine="24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 w:hint="eastAsia"/>
          <w:bCs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nO</w:t>
      </w:r>
      <w:r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+ 4HCl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Cl</w:t>
      </w:r>
      <w:r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+ MnCl</w:t>
      </w:r>
      <w:r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+ 2H</w:t>
      </w:r>
      <w:r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</w:p>
    <w:p w14:paraId="313789DB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 xml:space="preserve">In detail, 20 g </w:t>
      </w:r>
      <w:r>
        <w:rPr>
          <w:rFonts w:ascii="Times New Roman" w:hAnsi="Times New Roman" w:cs="Times New Roman"/>
          <w:bCs/>
          <w:sz w:val="24"/>
          <w:szCs w:val="24"/>
        </w:rPr>
        <w:t>MnO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bCs/>
          <w:sz w:val="24"/>
          <w:szCs w:val="24"/>
        </w:rPr>
        <w:t xml:space="preserve">was </w:t>
      </w:r>
      <w:r>
        <w:rPr>
          <w:rFonts w:ascii="Times New Roman" w:hAnsi="Times New Roman" w:cs="Times New Roman" w:hint="eastAsia"/>
          <w:bCs/>
          <w:sz w:val="24"/>
          <w:szCs w:val="24"/>
        </w:rPr>
        <w:t>added into 30 mL</w:t>
      </w:r>
      <w:r>
        <w:rPr>
          <w:rFonts w:ascii="Times New Roman" w:hAnsi="Times New Roman" w:cs="Times New Roman"/>
          <w:bCs/>
          <w:sz w:val="24"/>
          <w:szCs w:val="24"/>
        </w:rPr>
        <w:t xml:space="preserve"> concentrated HCl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and</w:t>
      </w:r>
      <w:r>
        <w:rPr>
          <w:rFonts w:ascii="Times New Roman" w:hAnsi="Times New Roman" w:cs="Times New Roman"/>
          <w:bCs/>
          <w:sz w:val="24"/>
          <w:szCs w:val="24"/>
        </w:rPr>
        <w:t xml:space="preserve"> heated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at 8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0 °C</w:t>
      </w:r>
      <w:r>
        <w:rPr>
          <w:rFonts w:ascii="Times New Roman" w:hAnsi="Times New Roman" w:cs="Times New Roman" w:hint="eastAsia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>T</w:t>
      </w:r>
      <w:r>
        <w:rPr>
          <w:rFonts w:ascii="Times New Roman" w:hAnsi="Times New Roman" w:cs="Times New Roman"/>
          <w:bCs/>
          <w:sz w:val="24"/>
          <w:szCs w:val="24"/>
        </w:rPr>
        <w:t xml:space="preserve">he </w:t>
      </w:r>
      <w:r>
        <w:rPr>
          <w:rFonts w:ascii="Times New Roman" w:hAnsi="Times New Roman" w:cs="Times New Roman" w:hint="eastAsia"/>
          <w:bCs/>
          <w:sz w:val="24"/>
          <w:szCs w:val="24"/>
        </w:rPr>
        <w:t>generated</w:t>
      </w:r>
      <w:r>
        <w:rPr>
          <w:rFonts w:ascii="Times New Roman" w:hAnsi="Times New Roman" w:cs="Times New Roman"/>
          <w:bCs/>
          <w:sz w:val="24"/>
          <w:szCs w:val="24"/>
        </w:rPr>
        <w:t xml:space="preserve"> gas was bubbled through a saturated sodium chloride solution and concentrated sulfuric acid to remove residual HCl gas and water vapor, respectively. Afterwards, the purified Cl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 gas was injected into the sealed bottle with pre-placed </w:t>
      </w:r>
      <w:r>
        <w:rPr>
          <w:rFonts w:ascii="Times New Roman" w:hAnsi="Times New Roman" w:cs="Times New Roman" w:hint="eastAsia"/>
          <w:bCs/>
          <w:sz w:val="24"/>
          <w:szCs w:val="24"/>
        </w:rPr>
        <w:t>1</w:t>
      </w:r>
      <w:r>
        <w:rPr>
          <w:rFonts w:ascii="Times New Roman" w:hAnsi="Times New Roman" w:cs="Times New Roman" w:hint="eastAsia"/>
          <w:bCs/>
          <w:sz w:val="24"/>
          <w:szCs w:val="24"/>
        </w:rPr>
        <w:t>0 mg of HCN-20 nm, HCNs-50 nm and AB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After 30 min </w:t>
      </w:r>
      <w:r>
        <w:rPr>
          <w:rFonts w:ascii="Times New Roman" w:hAnsi="Times New Roman" w:cs="Times New Roman"/>
          <w:bCs/>
          <w:sz w:val="24"/>
          <w:szCs w:val="24"/>
        </w:rPr>
        <w:t>static adsorption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the residual chlorine gas on the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samples</w:t>
      </w:r>
      <w:r>
        <w:rPr>
          <w:rFonts w:ascii="Times New Roman" w:hAnsi="Times New Roman" w:cs="Times New Roman"/>
          <w:bCs/>
          <w:sz w:val="24"/>
          <w:szCs w:val="24"/>
        </w:rPr>
        <w:t xml:space="preserve">’ surface 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was purged by </w:t>
      </w:r>
      <w:r>
        <w:rPr>
          <w:rFonts w:ascii="Times New Roman" w:hAnsi="Times New Roman" w:cs="Times New Roman"/>
          <w:bCs/>
          <w:sz w:val="24"/>
          <w:szCs w:val="24"/>
        </w:rPr>
        <w:t>nitrogen gas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bCs/>
          <w:sz w:val="24"/>
          <w:szCs w:val="24"/>
        </w:rPr>
        <w:t>Afterwards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, the samples were </w:t>
      </w:r>
      <w:r>
        <w:rPr>
          <w:rFonts w:ascii="Times New Roman" w:hAnsi="Times New Roman" w:cs="Times New Roman"/>
          <w:bCs/>
          <w:sz w:val="24"/>
          <w:szCs w:val="24"/>
        </w:rPr>
        <w:t>dispersed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in 10 mL Na</w:t>
      </w:r>
      <w:r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bCs/>
          <w:sz w:val="24"/>
          <w:szCs w:val="24"/>
        </w:rPr>
        <w:t>CO</w:t>
      </w:r>
      <w:r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solution with pH </w:t>
      </w:r>
      <w:r>
        <w:rPr>
          <w:rFonts w:ascii="Times New Roman" w:hAnsi="Times New Roman" w:cs="Times New Roman" w:hint="eastAsia"/>
          <w:bCs/>
          <w:sz w:val="24"/>
          <w:szCs w:val="24"/>
        </w:rPr>
        <w:t>of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10. The concentration of Cl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w</w:t>
      </w:r>
      <w:r>
        <w:rPr>
          <w:rFonts w:ascii="Times New Roman" w:hAnsi="Times New Roman" w:cs="Times New Roman" w:hint="eastAsia"/>
          <w:bCs/>
          <w:sz w:val="24"/>
          <w:szCs w:val="24"/>
        </w:rPr>
        <w:t>as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measured by 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a </w:t>
      </w:r>
      <w:r>
        <w:rPr>
          <w:rFonts w:ascii="Times New Roman" w:hAnsi="Times New Roman" w:cs="Times New Roman"/>
          <w:bCs/>
          <w:sz w:val="24"/>
          <w:szCs w:val="24"/>
        </w:rPr>
        <w:t>silver nitrate titration method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The adsorption amount of Cl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 by HCN-50 nm, HCN-20 nm and AB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can be calculated based on the Cl</w:t>
      </w: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>in solution.</w:t>
      </w:r>
    </w:p>
    <w:p w14:paraId="3AB068AE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Materials characterizations</w:t>
      </w:r>
    </w:p>
    <w:p w14:paraId="1CACB80D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morphology analysis, scanning electron microscopy (SEM) images were acquired using a scanning </w:t>
      </w:r>
      <w:r>
        <w:rPr>
          <w:rFonts w:ascii="Times New Roman" w:hAnsi="Times New Roman" w:cs="Times New Roman" w:hint="eastAsia"/>
          <w:sz w:val="24"/>
          <w:szCs w:val="24"/>
        </w:rPr>
        <w:t xml:space="preserve">electron </w:t>
      </w:r>
      <w:r>
        <w:rPr>
          <w:rFonts w:ascii="Times New Roman" w:hAnsi="Times New Roman" w:cs="Times New Roman"/>
          <w:sz w:val="24"/>
          <w:szCs w:val="24"/>
        </w:rPr>
        <w:t xml:space="preserve">microscope (SU8230, Japan) and transmission electron microscopy (TEM) was performed with </w:t>
      </w:r>
      <w:r>
        <w:rPr>
          <w:rFonts w:ascii="Times New Roman" w:hAnsi="Times New Roman" w:cs="Times New Roman"/>
          <w:color w:val="000000"/>
          <w:sz w:val="24"/>
          <w:szCs w:val="24"/>
        </w:rPr>
        <w:t>FEI Tecnai G2F20 s-twin 200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kV</w:t>
      </w:r>
      <w:r>
        <w:rPr>
          <w:rFonts w:ascii="Times New Roman" w:hAnsi="Times New Roman" w:cs="Times New Roman"/>
          <w:color w:val="000000"/>
          <w:sz w:val="24"/>
          <w:szCs w:val="24"/>
        </w:rPr>
        <w:t>, America.</w:t>
      </w:r>
      <w:r>
        <w:rPr>
          <w:rFonts w:ascii="Times New Roman" w:hAnsi="Times New Roman" w:cs="Times New Roman"/>
          <w:sz w:val="24"/>
          <w:szCs w:val="24"/>
        </w:rPr>
        <w:t xml:space="preserve"> Raman measurements were conducted using a spectrometer (</w:t>
      </w:r>
      <w:r>
        <w:rPr>
          <w:rFonts w:ascii="Times New Roman" w:hAnsi="Times New Roman" w:cs="Times New Roman"/>
          <w:color w:val="000000"/>
          <w:sz w:val="24"/>
          <w:szCs w:val="24"/>
        </w:rPr>
        <w:t>Horiba LabRam Soleil, France</w:t>
      </w:r>
      <w:r>
        <w:rPr>
          <w:rFonts w:ascii="Times New Roman" w:hAnsi="Times New Roman" w:cs="Times New Roman"/>
          <w:sz w:val="24"/>
          <w:szCs w:val="24"/>
        </w:rPr>
        <w:t>) with a laser having an excitation wavelength of 532 nm. Powder X-ray diffraction data were obtained using a Bruker D8 Advance, Germany) with Cu K</w:t>
      </w:r>
      <w:r>
        <w:rPr>
          <w:rFonts w:ascii="Times New Roman" w:hAnsi="Times New Roman" w:cs="Times New Roman"/>
          <w:sz w:val="24"/>
          <w:szCs w:val="24"/>
          <w:vertAlign w:val="subscript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at room temperature. N</w:t>
      </w:r>
      <w:r>
        <w:rPr>
          <w:rFonts w:ascii="Times New Roman" w:hAnsi="Times New Roman" w:cs="Times New Roman"/>
          <w:sz w:val="24"/>
          <w:szCs w:val="24"/>
        </w:rPr>
        <w:t>itrogen sorption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isotherms were recorded at 77 K (Quantachrome Autosorb-iQ2, America). X-ray photoelectron spectroscopy (XPS) data were collected with a monochromatic Al source (KRATOS, Axis Ultra). Electron paramagnetic resonance (EPR) measurements were c</w:t>
      </w:r>
      <w:r>
        <w:rPr>
          <w:rFonts w:ascii="Times New Roman" w:hAnsi="Times New Roman" w:cs="Times New Roman"/>
          <w:sz w:val="24"/>
          <w:szCs w:val="24"/>
        </w:rPr>
        <w:t xml:space="preserve">arried out using a Thermo Escalab 250Xi </w:t>
      </w:r>
      <w:r>
        <w:rPr>
          <w:rFonts w:ascii="Times New Roman" w:hAnsi="Times New Roman" w:cs="Times New Roman"/>
          <w:color w:val="000000"/>
          <w:sz w:val="24"/>
          <w:szCs w:val="24"/>
        </w:rPr>
        <w:t>with a monochromatic Al K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source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1D8039" w14:textId="77777777" w:rsidR="00A6595A" w:rsidRDefault="001B0F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BCCD8B4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Supporting Figures</w:t>
      </w:r>
    </w:p>
    <w:bookmarkEnd w:id="5"/>
    <w:p w14:paraId="2CA274F7" w14:textId="77777777" w:rsidR="00A6595A" w:rsidRDefault="00F771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EA056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4pt;height:123.6pt">
            <v:imagedata r:id="rId7" o:title="图片1"/>
          </v:shape>
        </w:pict>
      </w:r>
    </w:p>
    <w:p w14:paraId="6F6E0011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r>
        <w:rPr>
          <w:rFonts w:ascii="Times New Roman" w:hAnsi="Times New Roman" w:cs="Times New Roman"/>
          <w:sz w:val="24"/>
          <w:szCs w:val="24"/>
        </w:rPr>
        <w:t xml:space="preserve"> SEM images of (a) HCN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-50 nm, (b) HCN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-20 nm and (c) </w:t>
      </w:r>
      <w:r>
        <w:rPr>
          <w:rFonts w:ascii="Times New Roman" w:hAnsi="Times New Roman" w:cs="Times New Roman" w:hint="eastAsia"/>
          <w:sz w:val="24"/>
          <w:szCs w:val="24"/>
        </w:rPr>
        <w:t>KJ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Black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05924C" w14:textId="77777777" w:rsidR="00A6595A" w:rsidRDefault="00A659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CA4CD7" w14:textId="77777777" w:rsidR="00A6595A" w:rsidRDefault="001B0F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14D41A" wp14:editId="0219D891">
            <wp:extent cx="5486400" cy="22720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2CF23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S2.</w:t>
      </w:r>
      <w:r>
        <w:rPr>
          <w:rFonts w:ascii="Times New Roman" w:hAnsi="Times New Roman" w:cs="Times New Roman"/>
          <w:sz w:val="24"/>
          <w:szCs w:val="24"/>
        </w:rPr>
        <w:t xml:space="preserve"> Diameter distribution of HCN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-20 nm and HCN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-50 nm.</w:t>
      </w:r>
    </w:p>
    <w:p w14:paraId="5F015571" w14:textId="77777777" w:rsidR="00A6595A" w:rsidRDefault="00A659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37C730" w14:textId="77777777" w:rsidR="00A6595A" w:rsidRDefault="001B0FF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495F477" wp14:editId="77D03F23">
            <wp:extent cx="4233545" cy="17189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14EEF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TEM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diffraction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pattern</w:t>
      </w:r>
      <w:r>
        <w:rPr>
          <w:rFonts w:ascii="Times New Roman" w:hAnsi="Times New Roman" w:cs="Times New Roman"/>
          <w:sz w:val="24"/>
          <w:szCs w:val="24"/>
        </w:rPr>
        <w:t xml:space="preserve"> of HCNR-50 nm and HCNR-20 nm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559E0023" w14:textId="77777777" w:rsidR="00A6595A" w:rsidRDefault="00A6595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782C56" w14:textId="77777777" w:rsidR="00A6595A" w:rsidRDefault="001B0FF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B13249E" wp14:editId="78708176">
            <wp:extent cx="2649220" cy="24269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4535" cy="243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9AF1F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HRTEM of KJ Black. Scale bar is 10 nm.</w:t>
      </w:r>
    </w:p>
    <w:p w14:paraId="5FCFDD80" w14:textId="77777777" w:rsidR="00A6595A" w:rsidRDefault="00A659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715BE8" w14:textId="77777777" w:rsidR="00A6595A" w:rsidRDefault="00A659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BDFAD0C" w14:textId="77777777" w:rsidR="00A6595A" w:rsidRDefault="001B0FF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F237153" wp14:editId="5DBF2E87">
            <wp:extent cx="5397500" cy="142621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5" r="3125" b="1"/>
                    <a:stretch>
                      <a:fillRect/>
                    </a:stretch>
                  </pic:blipFill>
                  <pic:spPr>
                    <a:xfrm>
                      <a:off x="0" y="0"/>
                      <a:ext cx="5402325" cy="142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E7010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ore size distribution curves of HCN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0 nm, HCN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 nm and KJ Black.</w:t>
      </w:r>
    </w:p>
    <w:p w14:paraId="621DF352" w14:textId="77777777" w:rsidR="00A6595A" w:rsidRDefault="00A659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0C8501" w14:textId="77777777" w:rsidR="00A6595A" w:rsidRDefault="001B0F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68E5C9" wp14:editId="75440358">
            <wp:extent cx="4025900" cy="307911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1255" cy="308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746A4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S6.</w:t>
      </w:r>
      <w:r>
        <w:rPr>
          <w:rFonts w:ascii="Times New Roman" w:hAnsi="Times New Roman" w:cs="Times New Roman"/>
          <w:sz w:val="24"/>
          <w:szCs w:val="24"/>
        </w:rPr>
        <w:t xml:space="preserve"> XRD </w:t>
      </w:r>
      <w:r>
        <w:rPr>
          <w:rFonts w:ascii="Times New Roman" w:hAnsi="Times New Roman" w:cs="Times New Roman" w:hint="eastAsia"/>
          <w:sz w:val="24"/>
          <w:szCs w:val="24"/>
        </w:rPr>
        <w:t xml:space="preserve">patterns </w:t>
      </w:r>
      <w:r>
        <w:rPr>
          <w:rFonts w:ascii="Times New Roman" w:hAnsi="Times New Roman" w:cs="Times New Roman"/>
          <w:sz w:val="24"/>
          <w:szCs w:val="24"/>
        </w:rPr>
        <w:t>of HCN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-50 nm, HCN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-20 nm an</w:t>
      </w:r>
      <w:r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KJ Black.</w:t>
      </w:r>
    </w:p>
    <w:p w14:paraId="203DBBCD" w14:textId="77777777" w:rsidR="00A6595A" w:rsidRDefault="00A6595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5A601D" w14:textId="77777777" w:rsidR="00A6595A" w:rsidRDefault="001B0F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413111" wp14:editId="59043ACE">
            <wp:extent cx="3810000" cy="291401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7480" cy="292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64506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S7.</w:t>
      </w:r>
      <w:r>
        <w:rPr>
          <w:rFonts w:ascii="Times New Roman" w:hAnsi="Times New Roman" w:cs="Times New Roman"/>
          <w:sz w:val="24"/>
          <w:szCs w:val="24"/>
        </w:rPr>
        <w:t xml:space="preserve"> The electron conductivity of CNT, HCN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-50 nm, HCN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-20 nm and KJ Black.</w:t>
      </w:r>
    </w:p>
    <w:p w14:paraId="3832E733" w14:textId="77777777" w:rsidR="00A6595A" w:rsidRDefault="00A6595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DC5836" w14:textId="77777777" w:rsidR="00A6595A" w:rsidRDefault="00A6595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30CA71" w14:textId="77777777" w:rsidR="00A6595A" w:rsidRDefault="001B0F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50E4AE" wp14:editId="446193A5">
            <wp:extent cx="4330065" cy="19100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5585" cy="192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2F4B7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S8.</w:t>
      </w:r>
      <w:r>
        <w:rPr>
          <w:rFonts w:ascii="Times New Roman" w:hAnsi="Times New Roman" w:cs="Times New Roman"/>
          <w:sz w:val="24"/>
          <w:szCs w:val="24"/>
        </w:rPr>
        <w:t xml:space="preserve"> The SEM image of HCN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-50 nm electrode.</w:t>
      </w:r>
    </w:p>
    <w:p w14:paraId="3902FC01" w14:textId="77777777" w:rsidR="00A6595A" w:rsidRDefault="00A659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8A7F04" w14:textId="77777777" w:rsidR="00A6595A" w:rsidRDefault="001B0F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69EFC3" wp14:editId="71200F56">
            <wp:extent cx="3784600" cy="2894330"/>
            <wp:effectExtent l="0" t="0" r="635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767" cy="289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78F53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S9.</w:t>
      </w:r>
      <w:r>
        <w:rPr>
          <w:rFonts w:ascii="Times New Roman" w:hAnsi="Times New Roman" w:cs="Times New Roman"/>
          <w:sz w:val="24"/>
          <w:szCs w:val="24"/>
        </w:rPr>
        <w:t xml:space="preserve"> The XPS survey curves of pristine HCN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-20 nm and pristine HCN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-50 nm.</w:t>
      </w:r>
    </w:p>
    <w:p w14:paraId="2C8238F2" w14:textId="77777777" w:rsidR="00A6595A" w:rsidRDefault="00F7710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75F94E0D">
          <v:shape id="_x0000_i1026" type="#_x0000_t75" style="width:310.2pt;height:236.4pt">
            <v:imagedata r:id="rId16" o:title="Figure S8"/>
          </v:shape>
        </w:pict>
      </w:r>
    </w:p>
    <w:p w14:paraId="1ACF74EE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S10.</w:t>
      </w:r>
      <w:r>
        <w:rPr>
          <w:rFonts w:ascii="Times New Roman" w:hAnsi="Times New Roman" w:cs="Times New Roman"/>
          <w:sz w:val="24"/>
          <w:szCs w:val="24"/>
        </w:rPr>
        <w:t xml:space="preserve"> The Cl 2p XPS of KJ Black, HCN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-50 nm and HCN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-20 nm after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adsorption</w:t>
      </w:r>
      <w:r>
        <w:rPr>
          <w:rFonts w:ascii="Times New Roman" w:hAnsi="Times New Roman" w:cs="Times New Roman" w:hint="eastAsia"/>
          <w:sz w:val="24"/>
          <w:szCs w:val="24"/>
        </w:rPr>
        <w:t xml:space="preserve"> of</w:t>
      </w:r>
      <w:r>
        <w:rPr>
          <w:rFonts w:ascii="Times New Roman" w:hAnsi="Times New Roman" w:cs="Times New Roman"/>
          <w:sz w:val="24"/>
          <w:szCs w:val="24"/>
        </w:rPr>
        <w:t xml:space="preserve"> 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C5A036" w14:textId="77777777" w:rsidR="00A6595A" w:rsidRDefault="00A659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9FF19C" w14:textId="77777777" w:rsidR="00A6595A" w:rsidRDefault="001B0F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3433A4" wp14:editId="05AE2294">
            <wp:extent cx="4191000" cy="32061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3103" cy="320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4DE23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S11.</w:t>
      </w:r>
      <w:r>
        <w:rPr>
          <w:rFonts w:ascii="Times New Roman" w:hAnsi="Times New Roman" w:cs="Times New Roman"/>
          <w:sz w:val="24"/>
          <w:szCs w:val="24"/>
        </w:rPr>
        <w:t xml:space="preserve"> The N 1s XPS of HCN-50 nm and HCN-20 nm after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adsorption </w:t>
      </w:r>
      <w:r>
        <w:rPr>
          <w:rFonts w:ascii="Times New Roman" w:hAnsi="Times New Roman" w:cs="Times New Roman" w:hint="eastAsia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3CAD747" w14:textId="77777777" w:rsidR="00A6595A" w:rsidRDefault="00A659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B1B494" w14:textId="77777777" w:rsidR="00A6595A" w:rsidRDefault="001B0F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712EF5" wp14:editId="05232069">
            <wp:extent cx="2035810" cy="357505"/>
            <wp:effectExtent l="0" t="0" r="2540" b="4445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6110" cy="36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96"/>
        <w:gridCol w:w="1985"/>
        <w:gridCol w:w="2410"/>
        <w:gridCol w:w="2539"/>
      </w:tblGrid>
      <w:tr w:rsidR="00A6595A" w14:paraId="678B712D" w14:textId="77777777">
        <w:tc>
          <w:tcPr>
            <w:tcW w:w="1696" w:type="dxa"/>
            <w:vAlign w:val="center"/>
          </w:tcPr>
          <w:p w14:paraId="77698048" w14:textId="77777777" w:rsidR="00A6595A" w:rsidRDefault="00A6595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256B475D" w14:textId="77777777" w:rsidR="00A6595A" w:rsidRDefault="001B0F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@KJ Black</w:t>
            </w:r>
          </w:p>
        </w:tc>
        <w:tc>
          <w:tcPr>
            <w:tcW w:w="2410" w:type="dxa"/>
            <w:vAlign w:val="center"/>
          </w:tcPr>
          <w:p w14:paraId="1F9D8258" w14:textId="77777777" w:rsidR="00A6595A" w:rsidRDefault="001B0F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@HCN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-50 nm</w:t>
            </w:r>
          </w:p>
        </w:tc>
        <w:tc>
          <w:tcPr>
            <w:tcW w:w="2539" w:type="dxa"/>
            <w:vAlign w:val="center"/>
          </w:tcPr>
          <w:p w14:paraId="789E2F59" w14:textId="77777777" w:rsidR="00A6595A" w:rsidRDefault="001B0F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@HCN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 nm</w:t>
            </w:r>
          </w:p>
        </w:tc>
      </w:tr>
      <w:tr w:rsidR="00A6595A" w14:paraId="610D3906" w14:textId="77777777">
        <w:tc>
          <w:tcPr>
            <w:tcW w:w="1696" w:type="dxa"/>
            <w:vAlign w:val="center"/>
          </w:tcPr>
          <w:p w14:paraId="6B81B153" w14:textId="77777777" w:rsidR="00A6595A" w:rsidRDefault="001B0F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Warburg</w:t>
            </w:r>
          </w:p>
          <w:p w14:paraId="697C9F28" w14:textId="77777777" w:rsidR="00A6595A" w:rsidRDefault="001B0F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resistance (Ω)</w:t>
            </w:r>
          </w:p>
        </w:tc>
        <w:tc>
          <w:tcPr>
            <w:tcW w:w="1985" w:type="dxa"/>
            <w:vAlign w:val="center"/>
          </w:tcPr>
          <w:p w14:paraId="6CF2B1D9" w14:textId="77777777" w:rsidR="00A6595A" w:rsidRDefault="001B0F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2410" w:type="dxa"/>
            <w:vAlign w:val="center"/>
          </w:tcPr>
          <w:p w14:paraId="359DB663" w14:textId="77777777" w:rsidR="00A6595A" w:rsidRDefault="001B0F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539" w:type="dxa"/>
            <w:vAlign w:val="center"/>
          </w:tcPr>
          <w:p w14:paraId="7E6AC4CF" w14:textId="77777777" w:rsidR="00A6595A" w:rsidRDefault="001B0F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</w:tbl>
    <w:p w14:paraId="535196E3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S12.</w:t>
      </w:r>
      <w:r>
        <w:rPr>
          <w:rFonts w:ascii="Times New Roman" w:hAnsi="Times New Roman" w:cs="Times New Roman"/>
          <w:sz w:val="24"/>
          <w:szCs w:val="24"/>
        </w:rPr>
        <w:t xml:space="preserve"> The corresponding equivalent circuit used for EIS fitting and the warburg resistance.</w:t>
      </w:r>
    </w:p>
    <w:p w14:paraId="7C165808" w14:textId="77777777" w:rsidR="00A6595A" w:rsidRDefault="00A659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3C1562" w14:textId="77777777" w:rsidR="00A6595A" w:rsidRDefault="001B0F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F9F007C" wp14:editId="01E27290">
            <wp:extent cx="5486400" cy="26574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D086D" w14:textId="77777777" w:rsidR="00A6595A" w:rsidRDefault="001B0F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S13.</w:t>
      </w:r>
      <w:r>
        <w:rPr>
          <w:rFonts w:ascii="Times New Roman" w:hAnsi="Times New Roman" w:cs="Times New Roman"/>
          <w:sz w:val="24"/>
          <w:szCs w:val="24"/>
        </w:rPr>
        <w:t xml:space="preserve"> CE of Li-Cl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@HCN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-50 nm battery, Li-Cl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@HCN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-20 nm battery and Li-Cl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@KJ Black battery under the current densities from 2 mA/cm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to 120 mA/cm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B08FD70" w14:textId="77777777" w:rsidR="00A6595A" w:rsidRDefault="00A659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EF909F" w14:textId="77777777" w:rsidR="00A6595A" w:rsidRDefault="001B0FFC">
      <w:pPr>
        <w:jc w:val="center"/>
      </w:pPr>
      <w:r>
        <w:rPr>
          <w:noProof/>
        </w:rPr>
        <w:lastRenderedPageBreak/>
        <w:drawing>
          <wp:inline distT="0" distB="0" distL="0" distR="0" wp14:anchorId="6751A5CC" wp14:editId="425278C0">
            <wp:extent cx="3543300" cy="27114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139" cy="271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C02EC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S14.</w:t>
      </w:r>
      <w:r>
        <w:rPr>
          <w:rFonts w:ascii="Times New Roman" w:hAnsi="Times New Roman" w:cs="Times New Roman"/>
          <w:sz w:val="24"/>
          <w:szCs w:val="24"/>
        </w:rPr>
        <w:t xml:space="preserve"> Voltage profiles of Li-Cl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@HCN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-50 nm battery at a current density of 120 mA/cm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558E56F" w14:textId="77777777" w:rsidR="00A6595A" w:rsidRDefault="00A659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66BB07" w14:textId="77777777" w:rsidR="00A6595A" w:rsidRDefault="001B0F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EF2EF8" wp14:editId="22E9DC67">
            <wp:extent cx="5486400" cy="228536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1BE01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S15.</w:t>
      </w:r>
      <w:r>
        <w:rPr>
          <w:rFonts w:ascii="Times New Roman" w:hAnsi="Times New Roman" w:cs="Times New Roman"/>
          <w:sz w:val="24"/>
          <w:szCs w:val="24"/>
        </w:rPr>
        <w:t xml:space="preserve"> The CEs of Li-Cl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@KJ Black, Li-Cl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@HCN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-20 nm and Li-Cl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@HCN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-50 nm batteries under the specific capacities from 2000 mAh/g to 8</w:t>
      </w:r>
      <w:r>
        <w:rPr>
          <w:rFonts w:ascii="Times New Roman" w:hAnsi="Times New Roman" w:cs="Times New Roman"/>
          <w:sz w:val="24"/>
          <w:szCs w:val="24"/>
        </w:rPr>
        <w:t>000 mAh/g.</w:t>
      </w:r>
    </w:p>
    <w:p w14:paraId="37830AA0" w14:textId="77777777" w:rsidR="00A6595A" w:rsidRDefault="001B0F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B91C16" wp14:editId="5877221A">
            <wp:extent cx="4273550" cy="326961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90" cy="327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B62EF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8" w:name="OLE_LINK1"/>
      <w:r>
        <w:rPr>
          <w:rFonts w:ascii="Times New Roman" w:hAnsi="Times New Roman" w:cs="Times New Roman"/>
          <w:b/>
          <w:bCs/>
          <w:sz w:val="24"/>
          <w:szCs w:val="24"/>
        </w:rPr>
        <w:t>Figure S16.</w:t>
      </w:r>
      <w:r>
        <w:rPr>
          <w:rFonts w:ascii="Times New Roman" w:hAnsi="Times New Roman" w:cs="Times New Roman"/>
          <w:sz w:val="24"/>
          <w:szCs w:val="24"/>
        </w:rPr>
        <w:t xml:space="preserve"> The voltage profile of Li-Cl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@HCN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-20 nm battery at the last cycle.</w:t>
      </w:r>
    </w:p>
    <w:bookmarkEnd w:id="8"/>
    <w:p w14:paraId="364F3741" w14:textId="77777777" w:rsidR="00A6595A" w:rsidRDefault="00A659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077695" w14:textId="77777777" w:rsidR="00A6595A" w:rsidRDefault="00A659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5CEDEB" w14:textId="77777777" w:rsidR="00A6595A" w:rsidRDefault="001B0F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641C6E" wp14:editId="34A39D3A">
            <wp:extent cx="3255010" cy="249110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0739" cy="249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04EA1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S17.</w:t>
      </w:r>
      <w:r>
        <w:rPr>
          <w:rFonts w:ascii="Times New Roman" w:hAnsi="Times New Roman" w:cs="Times New Roman"/>
          <w:sz w:val="24"/>
          <w:szCs w:val="24"/>
        </w:rPr>
        <w:t xml:space="preserve"> The voltage profile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Li-Cl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@HCN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-20 nm battery at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>, 50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and 78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 cycles.</w:t>
      </w:r>
    </w:p>
    <w:p w14:paraId="13752C84" w14:textId="77777777" w:rsidR="00A6595A" w:rsidRDefault="00A6595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397602" w14:textId="77777777" w:rsidR="00A6595A" w:rsidRDefault="00A6595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70EB17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D377E4" wp14:editId="62AB13AF">
            <wp:extent cx="5464175" cy="2663825"/>
            <wp:effectExtent l="0" t="0" r="3175" b="3175"/>
            <wp:docPr id="21465205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20505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859" cy="267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F7AC51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" w:name="OLE_LINK4"/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S18. </w:t>
      </w:r>
      <w:r>
        <w:rPr>
          <w:rFonts w:ascii="Times New Roman" w:hAnsi="Times New Roman" w:cs="Times New Roman" w:hint="eastAsia"/>
          <w:sz w:val="24"/>
          <w:szCs w:val="24"/>
        </w:rPr>
        <w:t>The s</w:t>
      </w:r>
      <w:r>
        <w:rPr>
          <w:rFonts w:ascii="Times New Roman" w:hAnsi="Times New Roman" w:cs="Times New Roman"/>
          <w:sz w:val="24"/>
          <w:szCs w:val="24"/>
        </w:rPr>
        <w:t xml:space="preserve">imulated </w:t>
      </w:r>
      <w:bookmarkEnd w:id="9"/>
      <w:r>
        <w:rPr>
          <w:rFonts w:ascii="Times New Roman" w:hAnsi="Times New Roman" w:cs="Times New Roman"/>
          <w:sz w:val="24"/>
          <w:szCs w:val="24"/>
        </w:rPr>
        <w:t>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species distribution on (a) HCN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s and (b) KJ Black. Scale bar is the relative concentration of 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9A8CE5" w14:textId="6E624368" w:rsidR="00A6595A" w:rsidRDefault="00462B8F" w:rsidP="00462B8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2B8F">
        <w:drawing>
          <wp:inline distT="0" distB="0" distL="0" distR="0" wp14:anchorId="2ACEDC95" wp14:editId="007D75DE">
            <wp:extent cx="3314700" cy="195160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900" cy="195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C157E" w14:textId="37CE7B03" w:rsidR="00A6595A" w:rsidRDefault="00F771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first discharge voltage profile of Li-Cl</w:t>
      </w:r>
      <w:r w:rsidRPr="00F7710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pouch cell.</w:t>
      </w:r>
    </w:p>
    <w:p w14:paraId="0751E814" w14:textId="77777777" w:rsidR="00462B8F" w:rsidRDefault="00462B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71569E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 S1.</w:t>
      </w:r>
      <w:r>
        <w:rPr>
          <w:rFonts w:ascii="Times New Roman" w:hAnsi="Times New Roman" w:cs="Times New Roman"/>
          <w:sz w:val="24"/>
          <w:szCs w:val="24"/>
        </w:rPr>
        <w:t xml:space="preserve"> The C, N, O contents calculated from survey spectra.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157"/>
        <w:gridCol w:w="2157"/>
        <w:gridCol w:w="2158"/>
        <w:gridCol w:w="2158"/>
      </w:tblGrid>
      <w:tr w:rsidR="00A6595A" w14:paraId="1C1315D7" w14:textId="77777777">
        <w:tc>
          <w:tcPr>
            <w:tcW w:w="2157" w:type="dxa"/>
            <w:vAlign w:val="center"/>
          </w:tcPr>
          <w:p w14:paraId="1D14CF0E" w14:textId="77777777" w:rsidR="00A6595A" w:rsidRDefault="001B0F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HCNs</w:t>
            </w:r>
          </w:p>
        </w:tc>
        <w:tc>
          <w:tcPr>
            <w:tcW w:w="2157" w:type="dxa"/>
            <w:vAlign w:val="center"/>
          </w:tcPr>
          <w:p w14:paraId="425815E4" w14:textId="77777777" w:rsidR="00A6595A" w:rsidRDefault="001B0F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Atomic C (%)</w:t>
            </w:r>
          </w:p>
        </w:tc>
        <w:tc>
          <w:tcPr>
            <w:tcW w:w="2158" w:type="dxa"/>
            <w:vAlign w:val="center"/>
          </w:tcPr>
          <w:p w14:paraId="484CA272" w14:textId="77777777" w:rsidR="00A6595A" w:rsidRDefault="001B0F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Atomic N (%)</w:t>
            </w:r>
          </w:p>
        </w:tc>
        <w:tc>
          <w:tcPr>
            <w:tcW w:w="2158" w:type="dxa"/>
            <w:vAlign w:val="center"/>
          </w:tcPr>
          <w:p w14:paraId="3F00C85B" w14:textId="77777777" w:rsidR="00A6595A" w:rsidRDefault="001B0F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Atomic O (%)</w:t>
            </w:r>
          </w:p>
        </w:tc>
      </w:tr>
      <w:tr w:rsidR="00A6595A" w14:paraId="0C3A5DB0" w14:textId="77777777">
        <w:tc>
          <w:tcPr>
            <w:tcW w:w="2157" w:type="dxa"/>
            <w:vAlign w:val="center"/>
          </w:tcPr>
          <w:p w14:paraId="23399739" w14:textId="77777777" w:rsidR="00A6595A" w:rsidRDefault="00A6595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dxa"/>
            <w:vAlign w:val="center"/>
          </w:tcPr>
          <w:p w14:paraId="736B2F6F" w14:textId="77777777" w:rsidR="00A6595A" w:rsidRDefault="001B0F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90.6</w:t>
            </w:r>
          </w:p>
        </w:tc>
        <w:tc>
          <w:tcPr>
            <w:tcW w:w="2158" w:type="dxa"/>
            <w:vAlign w:val="center"/>
          </w:tcPr>
          <w:p w14:paraId="7207AB55" w14:textId="77777777" w:rsidR="00A6595A" w:rsidRDefault="001B0F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2158" w:type="dxa"/>
            <w:vAlign w:val="center"/>
          </w:tcPr>
          <w:p w14:paraId="2B44DF61" w14:textId="77777777" w:rsidR="00A6595A" w:rsidRDefault="001B0F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</w:tr>
    </w:tbl>
    <w:p w14:paraId="3628ED6C" w14:textId="77777777" w:rsidR="00A6595A" w:rsidRDefault="00A659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2922D2" w14:textId="77777777" w:rsidR="00A6595A" w:rsidRDefault="001B0F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 S2.</w:t>
      </w:r>
      <w:r>
        <w:rPr>
          <w:rFonts w:ascii="Times New Roman" w:hAnsi="Times New Roman" w:cs="Times New Roman"/>
          <w:sz w:val="24"/>
          <w:szCs w:val="24"/>
        </w:rPr>
        <w:t xml:space="preserve"> The energy density of Li-Cl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@HCN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-50 nm pouch cell.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157"/>
        <w:gridCol w:w="2157"/>
        <w:gridCol w:w="2158"/>
        <w:gridCol w:w="2158"/>
      </w:tblGrid>
      <w:tr w:rsidR="00A6595A" w14:paraId="25354DA6" w14:textId="77777777">
        <w:tc>
          <w:tcPr>
            <w:tcW w:w="2157" w:type="dxa"/>
            <w:vAlign w:val="center"/>
          </w:tcPr>
          <w:p w14:paraId="5429C348" w14:textId="77777777" w:rsidR="00A6595A" w:rsidRDefault="001B0F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Capacity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the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cycle (mAh)</w:t>
            </w:r>
          </w:p>
        </w:tc>
        <w:tc>
          <w:tcPr>
            <w:tcW w:w="2157" w:type="dxa"/>
            <w:vAlign w:val="center"/>
          </w:tcPr>
          <w:p w14:paraId="613577B2" w14:textId="77777777" w:rsidR="00A6595A" w:rsidRDefault="001B0F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Average voltage (V)</w:t>
            </w:r>
          </w:p>
        </w:tc>
        <w:tc>
          <w:tcPr>
            <w:tcW w:w="2158" w:type="dxa"/>
            <w:vAlign w:val="center"/>
          </w:tcPr>
          <w:p w14:paraId="5B3DDFFF" w14:textId="77777777" w:rsidR="00A6595A" w:rsidRDefault="001B0F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ass of pouch cell (g)</w:t>
            </w:r>
          </w:p>
        </w:tc>
        <w:tc>
          <w:tcPr>
            <w:tcW w:w="2158" w:type="dxa"/>
            <w:vAlign w:val="center"/>
          </w:tcPr>
          <w:p w14:paraId="6FC72EE6" w14:textId="77777777" w:rsidR="00A6595A" w:rsidRDefault="001B0F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nergy density</w:t>
            </w:r>
          </w:p>
          <w:p w14:paraId="475F11A9" w14:textId="77777777" w:rsidR="00A6595A" w:rsidRDefault="001B0F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(Wh/kg)</w:t>
            </w:r>
          </w:p>
        </w:tc>
      </w:tr>
      <w:tr w:rsidR="00A6595A" w14:paraId="0BB0A646" w14:textId="77777777">
        <w:tc>
          <w:tcPr>
            <w:tcW w:w="2157" w:type="dxa"/>
            <w:vAlign w:val="center"/>
          </w:tcPr>
          <w:p w14:paraId="08F09733" w14:textId="77777777" w:rsidR="00A6595A" w:rsidRDefault="001B0F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2157" w:type="dxa"/>
            <w:vAlign w:val="center"/>
          </w:tcPr>
          <w:p w14:paraId="10E5345B" w14:textId="77777777" w:rsidR="00A6595A" w:rsidRDefault="001B0F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3.45</w:t>
            </w:r>
          </w:p>
        </w:tc>
        <w:tc>
          <w:tcPr>
            <w:tcW w:w="2158" w:type="dxa"/>
            <w:vAlign w:val="center"/>
          </w:tcPr>
          <w:p w14:paraId="44163CB5" w14:textId="77777777" w:rsidR="00A6595A" w:rsidRDefault="001B0F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32.4</w:t>
            </w:r>
          </w:p>
        </w:tc>
        <w:tc>
          <w:tcPr>
            <w:tcW w:w="2158" w:type="dxa"/>
            <w:vAlign w:val="center"/>
          </w:tcPr>
          <w:p w14:paraId="2423C7B1" w14:textId="77777777" w:rsidR="00A6595A" w:rsidRDefault="001B0F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106.5</w:t>
            </w:r>
          </w:p>
        </w:tc>
      </w:tr>
    </w:tbl>
    <w:p w14:paraId="12E77E29" w14:textId="77777777" w:rsidR="00A6595A" w:rsidRDefault="00A659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DF9D3F" w14:textId="77777777" w:rsidR="00A6595A" w:rsidRDefault="00A6595A">
      <w:pPr>
        <w:spacing w:line="360" w:lineRule="auto"/>
        <w:jc w:val="center"/>
        <w:rPr>
          <w:rFonts w:ascii="Times New Roman" w:hAnsi="Times New Roman" w:cs="Times New Roman"/>
        </w:rPr>
      </w:pPr>
    </w:p>
    <w:sectPr w:rsidR="00A6595A">
      <w:footerReference w:type="default" r:id="rId2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D2A07" w14:textId="77777777" w:rsidR="001B0FFC" w:rsidRDefault="001B0FFC">
      <w:pPr>
        <w:spacing w:line="240" w:lineRule="auto"/>
      </w:pPr>
      <w:r>
        <w:separator/>
      </w:r>
    </w:p>
  </w:endnote>
  <w:endnote w:type="continuationSeparator" w:id="0">
    <w:p w14:paraId="3E0ABD86" w14:textId="77777777" w:rsidR="001B0FFC" w:rsidRDefault="001B0F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5181B" w14:textId="77777777" w:rsidR="00A6595A" w:rsidRDefault="001B0FFC">
    <w:pPr>
      <w:pStyle w:val="a8"/>
      <w:jc w:val="center"/>
    </w:pPr>
    <w:sdt>
      <w:sdtPr>
        <w:rPr>
          <w:rFonts w:ascii="Times New Roman" w:hAnsi="Times New Roman" w:cs="Times New Roman"/>
          <w:sz w:val="24"/>
          <w:szCs w:val="24"/>
        </w:rPr>
        <w:id w:val="-1099250558"/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  <w:lang w:val="zh-CN"/>
          </w:rPr>
          <w:t>2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sdtContent>
    </w:sdt>
  </w:p>
  <w:p w14:paraId="0A1AA272" w14:textId="77777777" w:rsidR="00A6595A" w:rsidRDefault="00A6595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DEF7C" w14:textId="77777777" w:rsidR="001B0FFC" w:rsidRDefault="001B0FFC">
      <w:pPr>
        <w:spacing w:after="0"/>
      </w:pPr>
      <w:r>
        <w:separator/>
      </w:r>
    </w:p>
  </w:footnote>
  <w:footnote w:type="continuationSeparator" w:id="0">
    <w:p w14:paraId="7CFC3419" w14:textId="77777777" w:rsidR="001B0FFC" w:rsidRDefault="001B0FF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AF"/>
    <w:rsid w:val="000177E4"/>
    <w:rsid w:val="0003476B"/>
    <w:rsid w:val="0003572E"/>
    <w:rsid w:val="000520FC"/>
    <w:rsid w:val="00052EDE"/>
    <w:rsid w:val="000605D0"/>
    <w:rsid w:val="0006678F"/>
    <w:rsid w:val="00067BEE"/>
    <w:rsid w:val="00077A44"/>
    <w:rsid w:val="000821EC"/>
    <w:rsid w:val="000A29B0"/>
    <w:rsid w:val="000A680E"/>
    <w:rsid w:val="000A78AB"/>
    <w:rsid w:val="000C0387"/>
    <w:rsid w:val="000E08A2"/>
    <w:rsid w:val="00102BF3"/>
    <w:rsid w:val="00134684"/>
    <w:rsid w:val="001372E0"/>
    <w:rsid w:val="00163536"/>
    <w:rsid w:val="00197E01"/>
    <w:rsid w:val="001B0FFC"/>
    <w:rsid w:val="00210078"/>
    <w:rsid w:val="00210605"/>
    <w:rsid w:val="002404C8"/>
    <w:rsid w:val="00267B79"/>
    <w:rsid w:val="002C41E2"/>
    <w:rsid w:val="002D29DE"/>
    <w:rsid w:val="00300B45"/>
    <w:rsid w:val="00314FB6"/>
    <w:rsid w:val="0031681A"/>
    <w:rsid w:val="00330B78"/>
    <w:rsid w:val="0033506D"/>
    <w:rsid w:val="003461D7"/>
    <w:rsid w:val="003464E3"/>
    <w:rsid w:val="003501CD"/>
    <w:rsid w:val="00357194"/>
    <w:rsid w:val="00361BE0"/>
    <w:rsid w:val="00365886"/>
    <w:rsid w:val="003B2F6F"/>
    <w:rsid w:val="003B48BD"/>
    <w:rsid w:val="003B7733"/>
    <w:rsid w:val="003E0446"/>
    <w:rsid w:val="003F3A77"/>
    <w:rsid w:val="003F60C4"/>
    <w:rsid w:val="00440E0C"/>
    <w:rsid w:val="00462B8F"/>
    <w:rsid w:val="00492841"/>
    <w:rsid w:val="004B45DF"/>
    <w:rsid w:val="004C21C2"/>
    <w:rsid w:val="004E00B6"/>
    <w:rsid w:val="004E6D1F"/>
    <w:rsid w:val="00551771"/>
    <w:rsid w:val="00563DCA"/>
    <w:rsid w:val="005907AE"/>
    <w:rsid w:val="00592A8A"/>
    <w:rsid w:val="005965EC"/>
    <w:rsid w:val="005B670A"/>
    <w:rsid w:val="00624980"/>
    <w:rsid w:val="00624CD6"/>
    <w:rsid w:val="00635A08"/>
    <w:rsid w:val="00642B90"/>
    <w:rsid w:val="00652BEC"/>
    <w:rsid w:val="006745AF"/>
    <w:rsid w:val="00675E50"/>
    <w:rsid w:val="00681BB2"/>
    <w:rsid w:val="006B28FA"/>
    <w:rsid w:val="006B6C41"/>
    <w:rsid w:val="006C6EC9"/>
    <w:rsid w:val="006D1DAA"/>
    <w:rsid w:val="006E0F45"/>
    <w:rsid w:val="006E1BFD"/>
    <w:rsid w:val="00705227"/>
    <w:rsid w:val="00717193"/>
    <w:rsid w:val="00743BC5"/>
    <w:rsid w:val="00746FAF"/>
    <w:rsid w:val="00760FC7"/>
    <w:rsid w:val="007A081D"/>
    <w:rsid w:val="007B233A"/>
    <w:rsid w:val="008058D2"/>
    <w:rsid w:val="00824410"/>
    <w:rsid w:val="00824664"/>
    <w:rsid w:val="008418D0"/>
    <w:rsid w:val="00851CFE"/>
    <w:rsid w:val="00876CEB"/>
    <w:rsid w:val="0088424B"/>
    <w:rsid w:val="00886748"/>
    <w:rsid w:val="008C18BD"/>
    <w:rsid w:val="008E3FFC"/>
    <w:rsid w:val="00914619"/>
    <w:rsid w:val="0092103F"/>
    <w:rsid w:val="009324B7"/>
    <w:rsid w:val="00956A12"/>
    <w:rsid w:val="0098673D"/>
    <w:rsid w:val="0099098E"/>
    <w:rsid w:val="009A7B50"/>
    <w:rsid w:val="009B02D4"/>
    <w:rsid w:val="009B44C8"/>
    <w:rsid w:val="009F57F3"/>
    <w:rsid w:val="009F6D10"/>
    <w:rsid w:val="00A107B6"/>
    <w:rsid w:val="00A31BA2"/>
    <w:rsid w:val="00A50E2E"/>
    <w:rsid w:val="00A6166F"/>
    <w:rsid w:val="00A6595A"/>
    <w:rsid w:val="00A76318"/>
    <w:rsid w:val="00A76CA4"/>
    <w:rsid w:val="00AB1243"/>
    <w:rsid w:val="00AC5EED"/>
    <w:rsid w:val="00AD03C9"/>
    <w:rsid w:val="00AD3663"/>
    <w:rsid w:val="00AF3B30"/>
    <w:rsid w:val="00AF55CE"/>
    <w:rsid w:val="00B11408"/>
    <w:rsid w:val="00B20E78"/>
    <w:rsid w:val="00B35520"/>
    <w:rsid w:val="00B45BFE"/>
    <w:rsid w:val="00B46D30"/>
    <w:rsid w:val="00BA5011"/>
    <w:rsid w:val="00BB5F03"/>
    <w:rsid w:val="00BE0A55"/>
    <w:rsid w:val="00BF48C6"/>
    <w:rsid w:val="00C128C0"/>
    <w:rsid w:val="00C20971"/>
    <w:rsid w:val="00C21C9A"/>
    <w:rsid w:val="00C36FFC"/>
    <w:rsid w:val="00C43DDF"/>
    <w:rsid w:val="00C55ABF"/>
    <w:rsid w:val="00C656B2"/>
    <w:rsid w:val="00C70970"/>
    <w:rsid w:val="00CB3172"/>
    <w:rsid w:val="00CC169C"/>
    <w:rsid w:val="00CD6172"/>
    <w:rsid w:val="00CF72C4"/>
    <w:rsid w:val="00D43C81"/>
    <w:rsid w:val="00D56EAF"/>
    <w:rsid w:val="00D8541B"/>
    <w:rsid w:val="00D90688"/>
    <w:rsid w:val="00DA1ED1"/>
    <w:rsid w:val="00DA216A"/>
    <w:rsid w:val="00DF3769"/>
    <w:rsid w:val="00DF5A84"/>
    <w:rsid w:val="00E3464F"/>
    <w:rsid w:val="00E418F9"/>
    <w:rsid w:val="00E45C3B"/>
    <w:rsid w:val="00E6037D"/>
    <w:rsid w:val="00EA1E22"/>
    <w:rsid w:val="00EA2249"/>
    <w:rsid w:val="00EC4DD9"/>
    <w:rsid w:val="00EC7BA8"/>
    <w:rsid w:val="00EF6E8A"/>
    <w:rsid w:val="00EF7B48"/>
    <w:rsid w:val="00F27B4D"/>
    <w:rsid w:val="00F326FB"/>
    <w:rsid w:val="00F3519D"/>
    <w:rsid w:val="00F36589"/>
    <w:rsid w:val="00F464D5"/>
    <w:rsid w:val="00F67FB7"/>
    <w:rsid w:val="00F77103"/>
    <w:rsid w:val="00F938B9"/>
    <w:rsid w:val="00FA25F1"/>
    <w:rsid w:val="00FE5F06"/>
    <w:rsid w:val="00FF36BD"/>
    <w:rsid w:val="00FF5D8A"/>
    <w:rsid w:val="2FFE5F87"/>
    <w:rsid w:val="5FCF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72A4D6"/>
  <w15:docId w15:val="{129D7000-B072-498D-B227-404384A59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4">
    <w:name w:val="annotation text"/>
    <w:basedOn w:val="a"/>
    <w:link w:val="a5"/>
    <w:uiPriority w:val="99"/>
    <w:semiHidden/>
    <w:unhideWhenUsed/>
    <w:qFormat/>
  </w:style>
  <w:style w:type="paragraph" w:styleId="a6">
    <w:name w:val="annotation subject"/>
    <w:basedOn w:val="a4"/>
    <w:next w:val="a4"/>
    <w:link w:val="a7"/>
    <w:uiPriority w:val="99"/>
    <w:semiHidden/>
    <w:unhideWhenUsed/>
    <w:qFormat/>
    <w:rPr>
      <w:b/>
      <w:bCs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</w:style>
  <w:style w:type="paragraph" w:styleId="aa">
    <w:name w:val="header"/>
    <w:basedOn w:val="a"/>
    <w:link w:val="ab"/>
    <w:uiPriority w:val="99"/>
    <w:unhideWhenUsed/>
    <w:pPr>
      <w:tabs>
        <w:tab w:val="center" w:pos="4320"/>
        <w:tab w:val="right" w:pos="8640"/>
      </w:tabs>
      <w:spacing w:after="0" w:line="240" w:lineRule="auto"/>
    </w:p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页眉 字符"/>
    <w:basedOn w:val="a0"/>
    <w:link w:val="aa"/>
    <w:uiPriority w:val="99"/>
    <w:qFormat/>
  </w:style>
  <w:style w:type="character" w:customStyle="1" w:styleId="a9">
    <w:name w:val="页脚 字符"/>
    <w:basedOn w:val="a0"/>
    <w:link w:val="a8"/>
    <w:uiPriority w:val="99"/>
    <w:qFormat/>
  </w:style>
  <w:style w:type="paragraph" w:customStyle="1" w:styleId="AuthorsFull">
    <w:name w:val="Authors Full"/>
    <w:basedOn w:val="a"/>
    <w:qFormat/>
    <w:pPr>
      <w:spacing w:after="0" w:line="240" w:lineRule="auto"/>
    </w:pPr>
    <w:rPr>
      <w:rFonts w:ascii="Times New Roman" w:eastAsia="MS Mincho" w:hAnsi="Times New Roman" w:cs="Times New Roman"/>
      <w:i/>
      <w:kern w:val="0"/>
      <w:sz w:val="24"/>
      <w:szCs w:val="24"/>
      <w:lang w:eastAsia="ja-JP"/>
      <w14:ligatures w14:val="none"/>
    </w:rPr>
  </w:style>
  <w:style w:type="paragraph" w:customStyle="1" w:styleId="Addresses">
    <w:name w:val="Addresses"/>
    <w:basedOn w:val="a"/>
    <w:link w:val="Addresses0"/>
    <w:qFormat/>
    <w:pPr>
      <w:spacing w:after="0" w:line="240" w:lineRule="auto"/>
    </w:pPr>
    <w:rPr>
      <w:rFonts w:ascii="Times New Roman" w:eastAsia="MS Mincho" w:hAnsi="Times New Roman" w:cs="Times New Roman"/>
      <w:kern w:val="0"/>
      <w:sz w:val="24"/>
      <w:szCs w:val="24"/>
      <w:lang w:eastAsia="ja-JP"/>
      <w14:ligatures w14:val="none"/>
    </w:rPr>
  </w:style>
  <w:style w:type="character" w:customStyle="1" w:styleId="Addresses0">
    <w:name w:val="Addresses 字符"/>
    <w:basedOn w:val="a0"/>
    <w:link w:val="Addresses"/>
    <w:qFormat/>
    <w:rPr>
      <w:rFonts w:ascii="Times New Roman" w:eastAsia="MS Mincho" w:hAnsi="Times New Roman" w:cs="Times New Roman"/>
      <w:kern w:val="0"/>
      <w:sz w:val="24"/>
      <w:szCs w:val="24"/>
      <w:lang w:eastAsia="ja-JP"/>
      <w14:ligatures w14:val="none"/>
    </w:rPr>
  </w:style>
  <w:style w:type="character" w:customStyle="1" w:styleId="a5">
    <w:name w:val="批注文字 字符"/>
    <w:basedOn w:val="a0"/>
    <w:link w:val="a4"/>
    <w:uiPriority w:val="99"/>
    <w:semiHidden/>
    <w:qFormat/>
  </w:style>
  <w:style w:type="character" w:customStyle="1" w:styleId="a7">
    <w:name w:val="批注主题 字符"/>
    <w:basedOn w:val="a5"/>
    <w:link w:val="a6"/>
    <w:uiPriority w:val="99"/>
    <w:semiHidden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hyperlink" Target="mailto:weichen1@ustc.edu.cn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1065</Words>
  <Characters>6076</Characters>
  <Application>Microsoft Office Word</Application>
  <DocSecurity>0</DocSecurity>
  <Lines>50</Lines>
  <Paragraphs>14</Paragraphs>
  <ScaleCrop>false</ScaleCrop>
  <Company/>
  <LinksUpToDate>false</LinksUpToDate>
  <CharactersWithSpaces>7127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 Xu</dc:creator>
  <cp:lastModifiedBy>Yan Xu</cp:lastModifiedBy>
  <cp:revision>65</cp:revision>
  <dcterms:created xsi:type="dcterms:W3CDTF">2024-08-15T07:30:00Z</dcterms:created>
  <dcterms:modified xsi:type="dcterms:W3CDTF">2025-04-08T00:54:00Z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1f6f369e6e95564aaedc2686488bf6fd57176578655c35fb44fe3616b74fb9de</vt:lpwstr>
  </property>
  <property fmtid="{D5CDD505-2E9C-101B-9397-08002B2CF9AE}" pid="3" name="KSOProductBuildVer">
    <vt:lpwstr>1033-12.2.0.20782</vt:lpwstr>
  </property>
  <property fmtid="{D5CDD505-2E9C-101B-9397-08002B2CF9AE}" pid="4" name="ICV">
    <vt:lpwstr>44C0E3D283114127B2291E74CDAC7F58_12</vt:lpwstr>
  </property>
</Properties>
</file>