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BC6DB" w14:textId="77777777" w:rsidR="007D271C" w:rsidRPr="00DD1162" w:rsidRDefault="007D271C" w:rsidP="007D271C">
      <w:pPr>
        <w:pStyle w:val="NormalWeb"/>
        <w:spacing w:line="360" w:lineRule="auto"/>
        <w:contextualSpacing/>
        <w:jc w:val="both"/>
        <w:rPr>
          <w:rFonts w:ascii="Arial" w:eastAsia="+mn-ea" w:hAnsi="Arial" w:cs="Arial"/>
          <w:b/>
          <w:bCs/>
          <w:color w:val="000000"/>
          <w:kern w:val="24"/>
          <w:sz w:val="22"/>
          <w:szCs w:val="22"/>
        </w:rPr>
      </w:pPr>
      <w:r w:rsidRPr="00DD1162">
        <w:rPr>
          <w:rFonts w:ascii="Arial" w:hAnsi="Arial" w:cs="Arial"/>
          <w:b/>
          <w:bCs/>
          <w:sz w:val="22"/>
          <w:szCs w:val="22"/>
        </w:rPr>
        <w:t xml:space="preserve">SUPPLEMENTARY </w:t>
      </w:r>
      <w:r w:rsidRPr="00DD1162">
        <w:rPr>
          <w:rFonts w:ascii="Arial" w:eastAsia="+mn-ea" w:hAnsi="Arial" w:cs="Arial"/>
          <w:b/>
          <w:bCs/>
          <w:color w:val="000000"/>
          <w:kern w:val="24"/>
          <w:sz w:val="22"/>
          <w:szCs w:val="22"/>
        </w:rPr>
        <w:t xml:space="preserve">FIGURE LEGENDS </w:t>
      </w:r>
    </w:p>
    <w:p w14:paraId="4EC8AB4E" w14:textId="77777777" w:rsidR="007D271C" w:rsidRPr="00DD1162" w:rsidRDefault="007D271C" w:rsidP="007D271C">
      <w:pPr>
        <w:pStyle w:val="NormalWeb"/>
        <w:spacing w:line="360" w:lineRule="auto"/>
        <w:contextualSpacing/>
        <w:jc w:val="both"/>
        <w:rPr>
          <w:rFonts w:ascii="Arial" w:hAnsi="Arial" w:cs="Arial"/>
          <w:b/>
          <w:bCs/>
          <w:sz w:val="22"/>
          <w:szCs w:val="22"/>
        </w:rPr>
      </w:pPr>
      <w:r w:rsidRPr="00DD1162">
        <w:rPr>
          <w:rFonts w:ascii="Arial" w:hAnsi="Arial" w:cs="Arial"/>
          <w:b/>
          <w:bCs/>
          <w:sz w:val="22"/>
          <w:szCs w:val="22"/>
        </w:rPr>
        <w:t>Supplementary Fig. 1. Lack of immune cell infiltration in tumors in chimeras.</w:t>
      </w:r>
    </w:p>
    <w:p w14:paraId="0360B0D2" w14:textId="77777777" w:rsidR="007D271C" w:rsidRPr="00DD1162" w:rsidRDefault="007D271C" w:rsidP="007D271C">
      <w:pPr>
        <w:pStyle w:val="NormalWeb"/>
        <w:numPr>
          <w:ilvl w:val="0"/>
          <w:numId w:val="2"/>
        </w:numPr>
        <w:spacing w:line="360" w:lineRule="auto"/>
        <w:ind w:left="360"/>
        <w:contextualSpacing/>
        <w:jc w:val="both"/>
        <w:rPr>
          <w:rFonts w:ascii="Arial" w:hAnsi="Arial" w:cs="Arial"/>
          <w:sz w:val="22"/>
          <w:szCs w:val="22"/>
        </w:rPr>
      </w:pPr>
      <w:r w:rsidRPr="00DD1162">
        <w:rPr>
          <w:rFonts w:ascii="Arial" w:hAnsi="Arial" w:cs="Arial"/>
          <w:sz w:val="22"/>
          <w:szCs w:val="22"/>
        </w:rPr>
        <w:t>Representative immunofluorescence staining for CIC::DUX4 (red) CD45 and F4/80 (both green) markers on tumor sections from ichCD4 mice (Scale bar: 20 µm).</w:t>
      </w:r>
    </w:p>
    <w:p w14:paraId="2F6C27D4" w14:textId="77777777" w:rsidR="007D271C" w:rsidRDefault="007D271C" w:rsidP="007D271C">
      <w:pPr>
        <w:pStyle w:val="NormalWeb"/>
        <w:numPr>
          <w:ilvl w:val="0"/>
          <w:numId w:val="2"/>
        </w:numPr>
        <w:spacing w:line="360" w:lineRule="auto"/>
        <w:ind w:left="360"/>
        <w:contextualSpacing/>
        <w:jc w:val="both"/>
        <w:rPr>
          <w:rFonts w:ascii="Arial" w:hAnsi="Arial" w:cs="Arial"/>
          <w:sz w:val="22"/>
          <w:szCs w:val="22"/>
        </w:rPr>
      </w:pPr>
      <w:r w:rsidRPr="00DD1162">
        <w:rPr>
          <w:rFonts w:ascii="Arial" w:hAnsi="Arial" w:cs="Arial"/>
          <w:sz w:val="22"/>
          <w:szCs w:val="22"/>
        </w:rPr>
        <w:t>RT-qPCR analysis of CIC::DUX4 target genes in tumors from ichCD4 mice compared to skin tissue. Data are presented as mean ± SEM; ****p &lt; 0.0001 by Student’s t-test. Results are shown as expression relative to Gapdh (n = 3).</w:t>
      </w:r>
    </w:p>
    <w:p w14:paraId="6340CB0D" w14:textId="77777777" w:rsidR="007D271C" w:rsidRDefault="007D271C" w:rsidP="007D271C">
      <w:pPr>
        <w:pStyle w:val="NormalWeb"/>
        <w:spacing w:line="360" w:lineRule="auto"/>
        <w:ind w:left="360"/>
        <w:contextualSpacing/>
        <w:jc w:val="both"/>
        <w:rPr>
          <w:rFonts w:ascii="Arial" w:hAnsi="Arial" w:cs="Arial"/>
          <w:sz w:val="22"/>
          <w:szCs w:val="22"/>
        </w:rPr>
      </w:pPr>
    </w:p>
    <w:p w14:paraId="47BAA629" w14:textId="77777777" w:rsidR="007D271C" w:rsidRPr="00DD1162" w:rsidRDefault="007D271C" w:rsidP="007D271C">
      <w:pPr>
        <w:pStyle w:val="NormalWeb"/>
        <w:spacing w:line="360" w:lineRule="auto"/>
        <w:ind w:left="360"/>
        <w:contextualSpacing/>
        <w:jc w:val="both"/>
        <w:rPr>
          <w:rFonts w:ascii="Arial" w:hAnsi="Arial" w:cs="Arial"/>
          <w:sz w:val="22"/>
          <w:szCs w:val="22"/>
        </w:rPr>
      </w:pPr>
    </w:p>
    <w:p w14:paraId="5E855712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  <w:b/>
          <w:bCs/>
        </w:rPr>
      </w:pPr>
      <w:r w:rsidRPr="00DD1162">
        <w:rPr>
          <w:rFonts w:ascii="Arial" w:hAnsi="Arial" w:cs="Arial"/>
          <w:b/>
          <w:bCs/>
        </w:rPr>
        <w:t>Supplementary Fig. 2. Secondary tumor formation recapitulates CDS morphology.</w:t>
      </w:r>
    </w:p>
    <w:p w14:paraId="3C6A481F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  <w:b/>
          <w:bCs/>
        </w:rPr>
      </w:pPr>
      <w:r w:rsidRPr="00DD1162">
        <w:rPr>
          <w:rFonts w:ascii="Arial" w:hAnsi="Arial" w:cs="Arial"/>
        </w:rPr>
        <w:t>H&amp;E and immunofluorescence staining for CIC::DUX4 on tumor sections derived from cell isolates of chimera tumors transplanted into NSG mice (Scale bar: 20 µm).</w:t>
      </w:r>
    </w:p>
    <w:p w14:paraId="545DAD65" w14:textId="77777777" w:rsidR="007D271C" w:rsidRPr="00DD1162" w:rsidRDefault="007D271C" w:rsidP="007D271C">
      <w:pPr>
        <w:tabs>
          <w:tab w:val="left" w:pos="3345"/>
        </w:tabs>
        <w:spacing w:after="0" w:line="360" w:lineRule="auto"/>
        <w:contextualSpacing/>
        <w:jc w:val="both"/>
        <w:rPr>
          <w:rFonts w:ascii="Arial" w:hAnsi="Arial" w:cs="Arial"/>
          <w:b/>
          <w:bCs/>
        </w:rPr>
      </w:pPr>
    </w:p>
    <w:p w14:paraId="28D1D741" w14:textId="77777777" w:rsidR="007D271C" w:rsidRPr="00DD1162" w:rsidRDefault="007D271C" w:rsidP="007D271C">
      <w:pPr>
        <w:tabs>
          <w:tab w:val="left" w:pos="3345"/>
        </w:tabs>
        <w:spacing w:after="0" w:line="360" w:lineRule="auto"/>
        <w:contextualSpacing/>
        <w:jc w:val="both"/>
        <w:rPr>
          <w:rFonts w:ascii="Arial" w:hAnsi="Arial" w:cs="Arial"/>
          <w:b/>
          <w:bCs/>
        </w:rPr>
      </w:pPr>
      <w:r w:rsidRPr="00DD1162">
        <w:rPr>
          <w:rFonts w:ascii="Arial" w:hAnsi="Arial" w:cs="Arial"/>
          <w:b/>
          <w:bCs/>
        </w:rPr>
        <w:t>Supplementary Fig. 3. Establishment of the imChCDS cell line.</w:t>
      </w:r>
    </w:p>
    <w:p w14:paraId="153BB11B" w14:textId="77777777" w:rsidR="007D271C" w:rsidRPr="00DD1162" w:rsidRDefault="007D271C" w:rsidP="007D271C">
      <w:pPr>
        <w:pStyle w:val="ListParagraph"/>
        <w:numPr>
          <w:ilvl w:val="0"/>
          <w:numId w:val="1"/>
        </w:numPr>
        <w:tabs>
          <w:tab w:val="left" w:pos="3345"/>
        </w:tabs>
        <w:spacing w:after="0" w:line="360" w:lineRule="auto"/>
        <w:ind w:left="360"/>
        <w:jc w:val="both"/>
        <w:rPr>
          <w:rFonts w:ascii="Arial" w:hAnsi="Arial" w:cs="Arial"/>
          <w:b/>
          <w:bCs/>
        </w:rPr>
      </w:pPr>
      <w:r w:rsidRPr="00DD1162">
        <w:rPr>
          <w:rFonts w:ascii="Arial" w:hAnsi="Arial" w:cs="Arial"/>
        </w:rPr>
        <w:t>Representative brightfield images and immunofluorescence staining for CIC::DUX4 in imChCDS cells at passage 2.</w:t>
      </w:r>
    </w:p>
    <w:p w14:paraId="2E062024" w14:textId="77777777" w:rsidR="007D271C" w:rsidRPr="00DD1162" w:rsidRDefault="007D271C" w:rsidP="007D271C">
      <w:pPr>
        <w:pStyle w:val="ListParagraph"/>
        <w:numPr>
          <w:ilvl w:val="0"/>
          <w:numId w:val="1"/>
        </w:numPr>
        <w:tabs>
          <w:tab w:val="left" w:pos="3345"/>
        </w:tabs>
        <w:spacing w:after="0" w:line="360" w:lineRule="auto"/>
        <w:ind w:left="360"/>
        <w:jc w:val="both"/>
        <w:rPr>
          <w:rFonts w:ascii="Arial" w:hAnsi="Arial" w:cs="Arial"/>
        </w:rPr>
      </w:pPr>
      <w:r w:rsidRPr="00DD1162">
        <w:rPr>
          <w:rFonts w:ascii="Arial" w:hAnsi="Arial" w:cs="Arial"/>
        </w:rPr>
        <w:t>RT-qPCR analysis of CIC::DUX4 target genes in imChCDS cells at passage 2.</w:t>
      </w:r>
    </w:p>
    <w:p w14:paraId="3C0BDBEC" w14:textId="77777777" w:rsidR="007D271C" w:rsidRPr="00DD1162" w:rsidRDefault="007D271C" w:rsidP="007D271C">
      <w:pPr>
        <w:pStyle w:val="ListParagraph"/>
        <w:numPr>
          <w:ilvl w:val="0"/>
          <w:numId w:val="1"/>
        </w:numPr>
        <w:tabs>
          <w:tab w:val="left" w:pos="3345"/>
        </w:tabs>
        <w:spacing w:after="0" w:line="360" w:lineRule="auto"/>
        <w:ind w:left="360"/>
        <w:jc w:val="both"/>
        <w:rPr>
          <w:rFonts w:ascii="Arial" w:hAnsi="Arial" w:cs="Arial"/>
        </w:rPr>
      </w:pPr>
      <w:r w:rsidRPr="00DD1162">
        <w:rPr>
          <w:rFonts w:ascii="Arial" w:hAnsi="Arial" w:cs="Arial"/>
        </w:rPr>
        <w:t>Brightfield images and immunofluorescence staining for CIC::DUX4 in imChCDS cells at passage 6.</w:t>
      </w:r>
    </w:p>
    <w:p w14:paraId="2E00B438" w14:textId="77777777" w:rsidR="007D271C" w:rsidRPr="00DD1162" w:rsidRDefault="007D271C" w:rsidP="007D271C">
      <w:pPr>
        <w:pStyle w:val="ListParagraph"/>
        <w:numPr>
          <w:ilvl w:val="0"/>
          <w:numId w:val="1"/>
        </w:numPr>
        <w:tabs>
          <w:tab w:val="left" w:pos="3345"/>
        </w:tabs>
        <w:spacing w:line="360" w:lineRule="auto"/>
        <w:ind w:left="360"/>
        <w:jc w:val="both"/>
        <w:rPr>
          <w:rFonts w:ascii="Arial" w:hAnsi="Arial" w:cs="Arial"/>
        </w:rPr>
      </w:pPr>
      <w:r w:rsidRPr="00DD1162">
        <w:rPr>
          <w:rFonts w:ascii="Arial" w:hAnsi="Arial" w:cs="Arial"/>
        </w:rPr>
        <w:t xml:space="preserve">RT-qPCR analysis of </w:t>
      </w:r>
      <w:r w:rsidRPr="00DD1162">
        <w:rPr>
          <w:rFonts w:ascii="Arial" w:hAnsi="Arial" w:cs="Arial"/>
          <w:i/>
          <w:iCs/>
        </w:rPr>
        <w:t>Etv1</w:t>
      </w:r>
      <w:r w:rsidRPr="00DD1162">
        <w:rPr>
          <w:rFonts w:ascii="Arial" w:hAnsi="Arial" w:cs="Arial"/>
        </w:rPr>
        <w:t xml:space="preserve">, </w:t>
      </w:r>
      <w:r w:rsidRPr="00DD1162">
        <w:rPr>
          <w:rFonts w:ascii="Arial" w:hAnsi="Arial" w:cs="Arial"/>
          <w:i/>
          <w:iCs/>
        </w:rPr>
        <w:t>Etv4</w:t>
      </w:r>
      <w:r w:rsidRPr="00DD1162">
        <w:rPr>
          <w:rFonts w:ascii="Arial" w:hAnsi="Arial" w:cs="Arial"/>
        </w:rPr>
        <w:t xml:space="preserve">, </w:t>
      </w:r>
      <w:r w:rsidRPr="00DD1162">
        <w:rPr>
          <w:rFonts w:ascii="Arial" w:hAnsi="Arial" w:cs="Arial"/>
          <w:i/>
          <w:iCs/>
        </w:rPr>
        <w:t>Etv5</w:t>
      </w:r>
      <w:r w:rsidRPr="00DD1162">
        <w:rPr>
          <w:rFonts w:ascii="Arial" w:hAnsi="Arial" w:cs="Arial"/>
        </w:rPr>
        <w:t xml:space="preserve"> in imChCDS cells at passage 6. Data are presented as mean ± SEM; **p &lt; 0.01, ***p &lt; 0.001, ****p &lt; 0.0001 by Student’s </w:t>
      </w:r>
      <w:r w:rsidRPr="00DD1162">
        <w:rPr>
          <w:rFonts w:ascii="Arial" w:hAnsi="Arial" w:cs="Arial"/>
          <w:i/>
          <w:iCs/>
        </w:rPr>
        <w:t>t</w:t>
      </w:r>
      <w:r w:rsidRPr="00DD1162">
        <w:rPr>
          <w:rFonts w:ascii="Arial" w:hAnsi="Arial" w:cs="Arial"/>
        </w:rPr>
        <w:t>-test. Results are shown as expression relative to Gapdh (n = 3).</w:t>
      </w:r>
    </w:p>
    <w:p w14:paraId="6C0E86C2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  <w:b/>
          <w:bCs/>
        </w:rPr>
      </w:pPr>
      <w:r w:rsidRPr="00DD1162">
        <w:rPr>
          <w:rFonts w:ascii="Arial" w:hAnsi="Arial" w:cs="Arial"/>
          <w:b/>
          <w:bCs/>
        </w:rPr>
        <w:t>Supplementary Fig. 4. imChCDS cells undergo cellular senescence upon CIC::DUX4 inactivation.</w:t>
      </w:r>
    </w:p>
    <w:p w14:paraId="0454A615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  <w:b/>
          <w:bCs/>
        </w:rPr>
      </w:pPr>
      <w:r w:rsidRPr="00DD1162">
        <w:rPr>
          <w:rFonts w:ascii="Arial" w:hAnsi="Arial" w:cs="Arial"/>
        </w:rPr>
        <w:t>RT-qPCR analysis for CIC::DUX4, its target genes, and cell cycle and senescence-related genes in imChCDS cells 72 hours after dox withdrawal (DOX</w:t>
      </w:r>
      <w:r w:rsidRPr="00DD1162">
        <w:rPr>
          <w:rFonts w:ascii="Arial" w:hAnsi="Arial" w:cs="Arial"/>
          <w:vertAlign w:val="superscript"/>
        </w:rPr>
        <w:t>OFF</w:t>
      </w:r>
      <w:r w:rsidRPr="00DD1162">
        <w:rPr>
          <w:rFonts w:ascii="Arial" w:hAnsi="Arial" w:cs="Arial"/>
        </w:rPr>
        <w:t xml:space="preserve">). Data are presented as mean ± SEM; *p &lt; 0.05, **p &lt; 0.01, ***p &lt; 0.001, ****p &lt; 0.0001 by Student’s </w:t>
      </w:r>
      <w:r w:rsidRPr="00DD1162">
        <w:rPr>
          <w:rFonts w:ascii="Arial" w:hAnsi="Arial" w:cs="Arial"/>
          <w:i/>
          <w:iCs/>
        </w:rPr>
        <w:t>t</w:t>
      </w:r>
      <w:r w:rsidRPr="00DD1162">
        <w:rPr>
          <w:rFonts w:ascii="Arial" w:hAnsi="Arial" w:cs="Arial"/>
        </w:rPr>
        <w:t>-test. Expression is relative to Gapdh (n = 3).</w:t>
      </w:r>
    </w:p>
    <w:p w14:paraId="3E7432CB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</w:rPr>
      </w:pPr>
    </w:p>
    <w:p w14:paraId="0ACD744F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  <w:b/>
          <w:bCs/>
        </w:rPr>
      </w:pPr>
      <w:r w:rsidRPr="00DD1162">
        <w:rPr>
          <w:rFonts w:ascii="Arial" w:hAnsi="Arial" w:cs="Arial"/>
          <w:b/>
          <w:bCs/>
        </w:rPr>
        <w:t>Supplementary Fig. 5. imChCDS cells retain mesenchymal transcriptional footprint.</w:t>
      </w:r>
    </w:p>
    <w:p w14:paraId="06F3B705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</w:rPr>
      </w:pPr>
      <w:r w:rsidRPr="00DD1162">
        <w:rPr>
          <w:rFonts w:ascii="Arial" w:hAnsi="Arial" w:cs="Arial"/>
        </w:rPr>
        <w:t xml:space="preserve">Heatmaps show expression of cell lineage-specific markers </w:t>
      </w:r>
      <w:r w:rsidRPr="00DD1162">
        <w:rPr>
          <w:rFonts w:ascii="Arial" w:hAnsi="Arial" w:cs="Arial"/>
          <w:b/>
          <w:bCs/>
        </w:rPr>
        <w:t>(A)</w:t>
      </w:r>
      <w:r w:rsidRPr="00DD1162">
        <w:rPr>
          <w:rFonts w:ascii="Arial" w:hAnsi="Arial" w:cs="Arial"/>
        </w:rPr>
        <w:t xml:space="preserve"> ectoderm, </w:t>
      </w:r>
      <w:r w:rsidRPr="00DD1162">
        <w:rPr>
          <w:rFonts w:ascii="Arial" w:hAnsi="Arial" w:cs="Arial"/>
          <w:b/>
          <w:bCs/>
        </w:rPr>
        <w:t>(B)</w:t>
      </w:r>
      <w:r w:rsidRPr="00DD1162">
        <w:rPr>
          <w:rFonts w:ascii="Arial" w:hAnsi="Arial" w:cs="Arial"/>
        </w:rPr>
        <w:t xml:space="preserve"> endoderm and </w:t>
      </w:r>
      <w:r w:rsidRPr="00DD1162">
        <w:rPr>
          <w:rFonts w:ascii="Arial" w:hAnsi="Arial" w:cs="Arial"/>
          <w:b/>
          <w:bCs/>
        </w:rPr>
        <w:t>(C)</w:t>
      </w:r>
      <w:r w:rsidRPr="00DD1162">
        <w:rPr>
          <w:rFonts w:ascii="Arial" w:hAnsi="Arial" w:cs="Arial"/>
        </w:rPr>
        <w:t xml:space="preserve"> mesoderm in imChCDS cells cultured with doxy (DOX</w:t>
      </w:r>
      <w:r w:rsidRPr="00DD1162">
        <w:rPr>
          <w:rFonts w:ascii="Arial" w:hAnsi="Arial" w:cs="Arial"/>
          <w:vertAlign w:val="superscript"/>
        </w:rPr>
        <w:t>ON</w:t>
      </w:r>
      <w:r w:rsidRPr="00DD1162">
        <w:rPr>
          <w:rFonts w:ascii="Arial" w:hAnsi="Arial" w:cs="Arial"/>
        </w:rPr>
        <w:t>) and 3 days after dox withdrawal (DOX</w:t>
      </w:r>
      <w:r w:rsidRPr="00DD1162">
        <w:rPr>
          <w:rFonts w:ascii="Arial" w:hAnsi="Arial" w:cs="Arial"/>
          <w:vertAlign w:val="superscript"/>
        </w:rPr>
        <w:t>OFF</w:t>
      </w:r>
      <w:r w:rsidRPr="00DD1162">
        <w:rPr>
          <w:rFonts w:ascii="Arial" w:hAnsi="Arial" w:cs="Arial"/>
        </w:rPr>
        <w:t>).</w:t>
      </w:r>
    </w:p>
    <w:p w14:paraId="4EC0F6C2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</w:rPr>
      </w:pPr>
    </w:p>
    <w:p w14:paraId="5BC7564E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  <w:b/>
          <w:bCs/>
        </w:rPr>
      </w:pPr>
      <w:r w:rsidRPr="00E53EC9">
        <w:rPr>
          <w:rFonts w:ascii="Arial" w:hAnsi="Arial" w:cs="Arial"/>
          <w:b/>
          <w:bCs/>
        </w:rPr>
        <w:t>Supplementary Fig. 6. GFP labeling of imChCDS cells using pSAM-IRES-GFP</w:t>
      </w:r>
      <w:r w:rsidRPr="00DD1162">
        <w:rPr>
          <w:rFonts w:ascii="Arial" w:hAnsi="Arial" w:cs="Arial"/>
          <w:b/>
          <w:bCs/>
        </w:rPr>
        <w:t>.</w:t>
      </w:r>
    </w:p>
    <w:p w14:paraId="0946C269" w14:textId="77777777" w:rsidR="007D271C" w:rsidRPr="00E53EC9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</w:rPr>
      </w:pPr>
      <w:r w:rsidRPr="00E53EC9">
        <w:rPr>
          <w:rFonts w:ascii="Arial" w:hAnsi="Arial" w:cs="Arial"/>
        </w:rPr>
        <w:t>GFP-positive imChCDS cells were FACS-sorted, expanded, and used for transplantation studies.</w:t>
      </w:r>
    </w:p>
    <w:p w14:paraId="7A9CE1F9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  <w:b/>
          <w:bCs/>
        </w:rPr>
      </w:pPr>
    </w:p>
    <w:p w14:paraId="6F96179F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  <w:b/>
          <w:bCs/>
        </w:rPr>
      </w:pPr>
      <w:r w:rsidRPr="00E53EC9">
        <w:rPr>
          <w:rFonts w:ascii="Arial" w:hAnsi="Arial" w:cs="Arial"/>
          <w:b/>
          <w:bCs/>
        </w:rPr>
        <w:t>Supplementary Fig. 7. Tumors developed in immunocompetent mice express CDS-specific markers</w:t>
      </w:r>
      <w:r w:rsidRPr="00DD1162">
        <w:rPr>
          <w:rFonts w:ascii="Arial" w:hAnsi="Arial" w:cs="Arial"/>
          <w:b/>
          <w:bCs/>
        </w:rPr>
        <w:t>.</w:t>
      </w:r>
    </w:p>
    <w:p w14:paraId="6C152CDD" w14:textId="77777777" w:rsidR="007D271C" w:rsidRPr="00DD1162" w:rsidRDefault="007D271C" w:rsidP="007D271C">
      <w:pPr>
        <w:tabs>
          <w:tab w:val="left" w:pos="3345"/>
        </w:tabs>
        <w:spacing w:line="360" w:lineRule="auto"/>
        <w:contextualSpacing/>
        <w:jc w:val="both"/>
        <w:rPr>
          <w:rFonts w:ascii="Arial" w:hAnsi="Arial" w:cs="Arial"/>
        </w:rPr>
      </w:pPr>
      <w:r w:rsidRPr="00E53EC9">
        <w:rPr>
          <w:rFonts w:ascii="Arial" w:hAnsi="Arial" w:cs="Arial"/>
        </w:rPr>
        <w:t>Representative immunofluorescence staining of tumors from mice bearing imChCDS cells for CIC::DUX4, ETV4, WT1, and CD99. Tumors were from mice maintained continuously on dox (DOX</w:t>
      </w:r>
      <w:r w:rsidRPr="00E53EC9">
        <w:rPr>
          <w:rFonts w:ascii="Arial" w:hAnsi="Arial" w:cs="Arial"/>
          <w:vertAlign w:val="superscript"/>
        </w:rPr>
        <w:t>ON</w:t>
      </w:r>
      <w:r w:rsidRPr="00E53EC9">
        <w:rPr>
          <w:rFonts w:ascii="Arial" w:hAnsi="Arial" w:cs="Arial"/>
        </w:rPr>
        <w:t>) or withdrawn from dox for 3, 6, or 9 days before analysis.</w:t>
      </w:r>
    </w:p>
    <w:p w14:paraId="03670F1A" w14:textId="77777777" w:rsidR="007D271C" w:rsidRDefault="007D271C" w:rsidP="007D271C">
      <w:pPr>
        <w:tabs>
          <w:tab w:val="left" w:pos="3345"/>
        </w:tabs>
        <w:spacing w:line="360" w:lineRule="auto"/>
        <w:contextualSpacing/>
        <w:rPr>
          <w:rFonts w:ascii="Arial" w:hAnsi="Arial" w:cs="Arial"/>
        </w:rPr>
      </w:pPr>
    </w:p>
    <w:p w14:paraId="23BB12D1" w14:textId="77777777" w:rsidR="007D271C" w:rsidRPr="009035E0" w:rsidRDefault="007D271C" w:rsidP="007D271C">
      <w:pPr>
        <w:spacing w:line="480" w:lineRule="auto"/>
        <w:contextualSpacing/>
        <w:rPr>
          <w:rFonts w:ascii="Arial" w:eastAsia="Arial" w:hAnsi="Arial" w:cs="Arial"/>
          <w:b/>
          <w:color w:val="212121"/>
        </w:rPr>
      </w:pPr>
      <w:r w:rsidRPr="00C55626">
        <w:rPr>
          <w:rFonts w:ascii="Arial" w:eastAsia="Arial" w:hAnsi="Arial" w:cs="Arial"/>
          <w:b/>
          <w:color w:val="212121"/>
        </w:rPr>
        <w:t>Supplementary Fig</w:t>
      </w:r>
      <w:r>
        <w:rPr>
          <w:rFonts w:ascii="Arial" w:eastAsia="Arial" w:hAnsi="Arial" w:cs="Arial"/>
          <w:b/>
          <w:color w:val="212121"/>
        </w:rPr>
        <w:t>.</w:t>
      </w:r>
      <w:r w:rsidRPr="00C55626">
        <w:rPr>
          <w:rFonts w:ascii="Arial" w:eastAsia="Arial" w:hAnsi="Arial" w:cs="Arial"/>
          <w:b/>
          <w:color w:val="212121"/>
        </w:rPr>
        <w:t xml:space="preserve"> </w:t>
      </w:r>
      <w:r>
        <w:rPr>
          <w:rFonts w:ascii="Arial" w:eastAsia="Arial" w:hAnsi="Arial" w:cs="Arial"/>
          <w:b/>
          <w:color w:val="212121"/>
        </w:rPr>
        <w:t>8</w:t>
      </w:r>
      <w:r>
        <w:rPr>
          <w:rFonts w:ascii="Arial" w:eastAsiaTheme="minorEastAsia" w:hAnsi="Arial" w:cs="Arial"/>
          <w:b/>
          <w:color w:val="212121"/>
          <w:lang w:eastAsia="zh-CN"/>
        </w:rPr>
        <w:t>.</w:t>
      </w:r>
      <w:r w:rsidRPr="00C55626">
        <w:rPr>
          <w:rFonts w:ascii="Arial" w:eastAsiaTheme="minorEastAsia" w:hAnsi="Arial" w:cs="Arial"/>
          <w:b/>
          <w:color w:val="212121"/>
          <w:lang w:eastAsia="zh-CN"/>
        </w:rPr>
        <w:t xml:space="preserve"> Original images of Western blots.</w:t>
      </w:r>
      <w:r w:rsidRPr="00C55626">
        <w:rPr>
          <w:rFonts w:ascii="Arial" w:eastAsia="Arial" w:hAnsi="Arial" w:cs="Arial"/>
          <w:b/>
          <w:color w:val="212121"/>
        </w:rPr>
        <w:t xml:space="preserve"> </w:t>
      </w:r>
    </w:p>
    <w:p w14:paraId="5ACDA282" w14:textId="77777777" w:rsidR="007D271C" w:rsidRPr="009035E0" w:rsidRDefault="007D271C" w:rsidP="007D271C">
      <w:pPr>
        <w:spacing w:line="480" w:lineRule="auto"/>
        <w:contextualSpacing/>
        <w:rPr>
          <w:rFonts w:ascii="Arial" w:eastAsiaTheme="minorEastAsia" w:hAnsi="Arial" w:cs="Arial"/>
          <w:b/>
          <w:color w:val="212121"/>
          <w:lang w:eastAsia="zh-CN"/>
        </w:rPr>
      </w:pPr>
      <w:r w:rsidRPr="00C55626">
        <w:rPr>
          <w:rFonts w:ascii="Arial" w:eastAsia="Arial" w:hAnsi="Arial" w:cs="Arial"/>
          <w:color w:val="212121"/>
        </w:rPr>
        <w:t>Raw images of western blots.</w:t>
      </w:r>
    </w:p>
    <w:p w14:paraId="20B60E66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A50C9"/>
    <w:multiLevelType w:val="hybridMultilevel"/>
    <w:tmpl w:val="F4F4D4A0"/>
    <w:lvl w:ilvl="0" w:tplc="27DA2976">
      <w:start w:val="1"/>
      <w:numFmt w:val="upperLetter"/>
      <w:lvlText w:val="(%1)"/>
      <w:lvlJc w:val="left"/>
      <w:pPr>
        <w:ind w:left="780" w:hanging="4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4E0378"/>
    <w:multiLevelType w:val="hybridMultilevel"/>
    <w:tmpl w:val="AB8479F6"/>
    <w:lvl w:ilvl="0" w:tplc="30FC9314">
      <w:start w:val="1"/>
      <w:numFmt w:val="upperLetter"/>
      <w:lvlText w:val="(%1)"/>
      <w:lvlJc w:val="left"/>
      <w:pPr>
        <w:ind w:left="750" w:hanging="390"/>
      </w:pPr>
      <w:rPr>
        <w:rFonts w:ascii="Arial" w:eastAsiaTheme="minorHAnsi" w:hAnsi="Arial" w:cs="Arial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284664">
    <w:abstractNumId w:val="1"/>
  </w:num>
  <w:num w:numId="2" w16cid:durableId="1048332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71C"/>
    <w:rsid w:val="002A5090"/>
    <w:rsid w:val="003F36CB"/>
    <w:rsid w:val="005C6F5D"/>
    <w:rsid w:val="007620B2"/>
    <w:rsid w:val="007D271C"/>
    <w:rsid w:val="008C374B"/>
    <w:rsid w:val="00954821"/>
    <w:rsid w:val="00A800EA"/>
    <w:rsid w:val="00AF416B"/>
    <w:rsid w:val="00D01F32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166E4"/>
  <w15:chartTrackingRefBased/>
  <w15:docId w15:val="{AB8052D8-CF6D-4303-8546-CCDD01E9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71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27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7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7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7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7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7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7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7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7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7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7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7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7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7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7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7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7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7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7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27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7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27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7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27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27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27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7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7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71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D27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2166</Characters>
  <Application>Microsoft Office Word</Application>
  <DocSecurity>0</DocSecurity>
  <Lines>18</Lines>
  <Paragraphs>5</Paragraphs>
  <ScaleCrop>false</ScaleCrop>
  <Company>Springer Nature</Company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2025-05-07T05:51:00Z</dcterms:created>
  <dcterms:modified xsi:type="dcterms:W3CDTF">2025-05-07T05:52:00Z</dcterms:modified>
</cp:coreProperties>
</file>