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6436" w:type="dxa"/>
        <w:tblInd w:w="-1139" w:type="dxa"/>
        <w:tblLook w:val="01A0" w:firstRow="1" w:lastRow="0" w:firstColumn="1" w:lastColumn="1" w:noHBand="0" w:noVBand="0"/>
      </w:tblPr>
      <w:tblGrid>
        <w:gridCol w:w="1055"/>
        <w:gridCol w:w="1372"/>
        <w:gridCol w:w="1313"/>
        <w:gridCol w:w="1320"/>
        <w:gridCol w:w="1363"/>
        <w:gridCol w:w="2003"/>
        <w:gridCol w:w="935"/>
        <w:gridCol w:w="1531"/>
        <w:gridCol w:w="1167"/>
        <w:gridCol w:w="917"/>
        <w:gridCol w:w="1325"/>
        <w:gridCol w:w="1324"/>
        <w:gridCol w:w="811"/>
      </w:tblGrid>
      <w:tr w:rsidR="004F0A11" w:rsidRPr="00825FF0" w14:paraId="4CABD630" w14:textId="77777777" w:rsidTr="00C4280B">
        <w:trPr>
          <w:trHeight w:val="138"/>
        </w:trPr>
        <w:tc>
          <w:tcPr>
            <w:tcW w:w="16436" w:type="dxa"/>
            <w:gridSpan w:val="13"/>
            <w:tcBorders>
              <w:top w:val="single" w:sz="4" w:space="0" w:color="auto"/>
              <w:left w:val="single" w:sz="4" w:space="0" w:color="auto"/>
              <w:bottom w:val="single" w:sz="4" w:space="0" w:color="auto"/>
              <w:right w:val="single" w:sz="4" w:space="0" w:color="auto"/>
            </w:tcBorders>
            <w:shd w:val="clear" w:color="000000" w:fill="auto"/>
          </w:tcPr>
          <w:p w14:paraId="1337545B" w14:textId="024B21FD" w:rsidR="004F0A11" w:rsidRPr="004F0A11" w:rsidRDefault="004F0A11" w:rsidP="004F0A11">
            <w:pPr>
              <w:rPr>
                <w:rFonts w:asciiTheme="majorHAnsi" w:eastAsia="Times New Roman" w:hAnsiTheme="majorHAnsi" w:cs="Calibri"/>
                <w:color w:val="000000" w:themeColor="text1"/>
                <w:sz w:val="16"/>
                <w:szCs w:val="16"/>
                <w:lang w:eastAsia="en-GB"/>
              </w:rPr>
            </w:pPr>
            <w:r w:rsidRPr="004F0A11">
              <w:rPr>
                <w:rFonts w:asciiTheme="majorHAnsi" w:eastAsia="Times New Roman" w:hAnsiTheme="majorHAnsi" w:cs="Calibri"/>
                <w:color w:val="000000" w:themeColor="text1"/>
                <w:sz w:val="16"/>
                <w:szCs w:val="16"/>
                <w:lang w:eastAsia="en-GB"/>
              </w:rPr>
              <w:t>Table 1. Data Extraction of All Studies Included in the Narrative Synthesis, with Data Quality Scores.</w:t>
            </w:r>
          </w:p>
        </w:tc>
      </w:tr>
      <w:tr w:rsidR="00E02518" w:rsidRPr="00120902" w14:paraId="42791319" w14:textId="77777777" w:rsidTr="004F0A11">
        <w:trPr>
          <w:trHeight w:val="1060"/>
        </w:trPr>
        <w:tc>
          <w:tcPr>
            <w:tcW w:w="0" w:type="auto"/>
            <w:tcBorders>
              <w:top w:val="single" w:sz="4" w:space="0" w:color="auto"/>
              <w:left w:val="single" w:sz="4" w:space="0" w:color="auto"/>
              <w:bottom w:val="single" w:sz="4" w:space="0" w:color="auto"/>
              <w:right w:val="nil"/>
            </w:tcBorders>
            <w:shd w:val="clear" w:color="000000" w:fill="auto"/>
            <w:hideMark/>
          </w:tcPr>
          <w:p w14:paraId="24A9D675" w14:textId="05606404"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Author</w:t>
            </w:r>
            <w:r w:rsidRPr="00120902">
              <w:rPr>
                <w:rFonts w:eastAsia="Times New Roman" w:cstheme="minorHAnsi"/>
                <w:b/>
                <w:bCs/>
                <w:color w:val="000000" w:themeColor="text1"/>
                <w:sz w:val="16"/>
                <w:szCs w:val="16"/>
                <w:lang w:eastAsia="en-GB"/>
              </w:rPr>
              <w:t xml:space="preserve"> &amp;</w:t>
            </w:r>
            <w:r w:rsidR="002E1CFD">
              <w:rPr>
                <w:rFonts w:eastAsia="Times New Roman" w:cstheme="minorHAnsi"/>
                <w:b/>
                <w:bCs/>
                <w:color w:val="000000" w:themeColor="text1"/>
                <w:sz w:val="16"/>
                <w:szCs w:val="16"/>
                <w:lang w:eastAsia="en-GB"/>
              </w:rPr>
              <w:t xml:space="preserve"> </w:t>
            </w:r>
            <w:r w:rsidRPr="00825FF0">
              <w:rPr>
                <w:rFonts w:eastAsia="Times New Roman" w:cstheme="minorHAnsi"/>
                <w:b/>
                <w:bCs/>
                <w:color w:val="000000" w:themeColor="text1"/>
                <w:sz w:val="16"/>
                <w:szCs w:val="16"/>
                <w:lang w:eastAsia="en-GB"/>
              </w:rPr>
              <w:t>Date.</w:t>
            </w:r>
          </w:p>
        </w:tc>
        <w:tc>
          <w:tcPr>
            <w:tcW w:w="0" w:type="auto"/>
            <w:tcBorders>
              <w:top w:val="single" w:sz="4" w:space="0" w:color="auto"/>
              <w:left w:val="nil"/>
              <w:bottom w:val="single" w:sz="4" w:space="0" w:color="auto"/>
              <w:right w:val="nil"/>
            </w:tcBorders>
            <w:shd w:val="clear" w:color="000000" w:fill="auto"/>
            <w:hideMark/>
          </w:tcPr>
          <w:p w14:paraId="229513E8"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Study Design</w:t>
            </w:r>
          </w:p>
        </w:tc>
        <w:tc>
          <w:tcPr>
            <w:tcW w:w="0" w:type="auto"/>
            <w:tcBorders>
              <w:top w:val="single" w:sz="4" w:space="0" w:color="auto"/>
              <w:left w:val="nil"/>
              <w:bottom w:val="single" w:sz="4" w:space="0" w:color="auto"/>
              <w:right w:val="nil"/>
            </w:tcBorders>
            <w:shd w:val="clear" w:color="000000" w:fill="auto"/>
            <w:hideMark/>
          </w:tcPr>
          <w:p w14:paraId="4C29771C"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Sample</w:t>
            </w:r>
          </w:p>
        </w:tc>
        <w:tc>
          <w:tcPr>
            <w:tcW w:w="1320" w:type="dxa"/>
            <w:tcBorders>
              <w:top w:val="single" w:sz="4" w:space="0" w:color="auto"/>
              <w:left w:val="nil"/>
              <w:bottom w:val="single" w:sz="4" w:space="0" w:color="auto"/>
              <w:right w:val="nil"/>
            </w:tcBorders>
            <w:shd w:val="clear" w:color="000000" w:fill="auto"/>
            <w:hideMark/>
          </w:tcPr>
          <w:p w14:paraId="6DCB401D" w14:textId="7C1A0A7D" w:rsidR="00825FF0" w:rsidRPr="00825FF0" w:rsidRDefault="006B5F3E" w:rsidP="00825FF0">
            <w:pPr>
              <w:ind w:right="15"/>
              <w:jc w:val="center"/>
              <w:rPr>
                <w:rFonts w:eastAsia="Times New Roman" w:cstheme="minorHAnsi"/>
                <w:b/>
                <w:bCs/>
                <w:color w:val="000000" w:themeColor="text1"/>
                <w:sz w:val="16"/>
                <w:szCs w:val="16"/>
                <w:lang w:eastAsia="en-GB"/>
              </w:rPr>
            </w:pPr>
            <w:r>
              <w:rPr>
                <w:rFonts w:eastAsia="Times New Roman" w:cstheme="minorHAnsi"/>
                <w:b/>
                <w:bCs/>
                <w:color w:val="000000" w:themeColor="text1"/>
                <w:sz w:val="16"/>
                <w:szCs w:val="16"/>
                <w:lang w:eastAsia="en-GB"/>
              </w:rPr>
              <w:t>Medication</w:t>
            </w:r>
            <w:r w:rsidR="00825FF0" w:rsidRPr="00825FF0">
              <w:rPr>
                <w:rFonts w:eastAsia="Times New Roman" w:cstheme="minorHAnsi"/>
                <w:b/>
                <w:bCs/>
                <w:color w:val="000000" w:themeColor="text1"/>
                <w:sz w:val="16"/>
                <w:szCs w:val="16"/>
                <w:lang w:eastAsia="en-GB"/>
              </w:rPr>
              <w:t xml:space="preserve"> Name/s</w:t>
            </w:r>
          </w:p>
        </w:tc>
        <w:tc>
          <w:tcPr>
            <w:tcW w:w="1363" w:type="dxa"/>
            <w:tcBorders>
              <w:top w:val="single" w:sz="4" w:space="0" w:color="auto"/>
              <w:left w:val="nil"/>
              <w:bottom w:val="single" w:sz="4" w:space="0" w:color="auto"/>
              <w:right w:val="nil"/>
            </w:tcBorders>
            <w:shd w:val="clear" w:color="000000" w:fill="auto"/>
            <w:hideMark/>
          </w:tcPr>
          <w:p w14:paraId="29679BA9" w14:textId="77777777" w:rsidR="00825FF0" w:rsidRPr="00825FF0" w:rsidRDefault="00825FF0" w:rsidP="00825FF0">
            <w:pPr>
              <w:ind w:right="317"/>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Dosage</w:t>
            </w:r>
          </w:p>
        </w:tc>
        <w:tc>
          <w:tcPr>
            <w:tcW w:w="0" w:type="auto"/>
            <w:tcBorders>
              <w:top w:val="single" w:sz="4" w:space="0" w:color="auto"/>
              <w:left w:val="nil"/>
              <w:bottom w:val="single" w:sz="4" w:space="0" w:color="auto"/>
              <w:right w:val="nil"/>
            </w:tcBorders>
            <w:shd w:val="clear" w:color="000000" w:fill="auto"/>
            <w:hideMark/>
          </w:tcPr>
          <w:p w14:paraId="06CB7771"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Treatment Pre-Intervention</w:t>
            </w:r>
          </w:p>
        </w:tc>
        <w:tc>
          <w:tcPr>
            <w:tcW w:w="935" w:type="dxa"/>
            <w:tcBorders>
              <w:top w:val="single" w:sz="4" w:space="0" w:color="auto"/>
              <w:left w:val="nil"/>
              <w:bottom w:val="single" w:sz="4" w:space="0" w:color="auto"/>
              <w:right w:val="nil"/>
            </w:tcBorders>
            <w:shd w:val="clear" w:color="000000" w:fill="auto"/>
            <w:hideMark/>
          </w:tcPr>
          <w:p w14:paraId="46B1E3BF" w14:textId="77777777" w:rsidR="00825FF0" w:rsidRPr="00825FF0" w:rsidRDefault="00825FF0" w:rsidP="00825FF0">
            <w:pPr>
              <w:ind w:right="-109"/>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Placebo</w:t>
            </w:r>
          </w:p>
        </w:tc>
        <w:tc>
          <w:tcPr>
            <w:tcW w:w="0" w:type="auto"/>
            <w:tcBorders>
              <w:top w:val="single" w:sz="4" w:space="0" w:color="auto"/>
              <w:left w:val="nil"/>
              <w:bottom w:val="single" w:sz="4" w:space="0" w:color="auto"/>
              <w:right w:val="nil"/>
            </w:tcBorders>
            <w:shd w:val="clear" w:color="000000" w:fill="auto"/>
            <w:hideMark/>
          </w:tcPr>
          <w:p w14:paraId="317AEAFB"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Domain/s</w:t>
            </w:r>
          </w:p>
        </w:tc>
        <w:tc>
          <w:tcPr>
            <w:tcW w:w="0" w:type="auto"/>
            <w:tcBorders>
              <w:top w:val="single" w:sz="4" w:space="0" w:color="auto"/>
              <w:left w:val="nil"/>
              <w:bottom w:val="single" w:sz="4" w:space="0" w:color="auto"/>
              <w:right w:val="nil"/>
            </w:tcBorders>
            <w:shd w:val="clear" w:color="000000" w:fill="auto"/>
            <w:hideMark/>
          </w:tcPr>
          <w:p w14:paraId="53957BCB"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Measure/s</w:t>
            </w:r>
          </w:p>
        </w:tc>
        <w:tc>
          <w:tcPr>
            <w:tcW w:w="0" w:type="auto"/>
            <w:tcBorders>
              <w:top w:val="single" w:sz="4" w:space="0" w:color="auto"/>
              <w:left w:val="nil"/>
              <w:bottom w:val="single" w:sz="4" w:space="0" w:color="auto"/>
              <w:right w:val="nil"/>
            </w:tcBorders>
            <w:shd w:val="clear" w:color="000000" w:fill="auto"/>
            <w:hideMark/>
          </w:tcPr>
          <w:p w14:paraId="28BB0811"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Follow-Ups</w:t>
            </w:r>
          </w:p>
        </w:tc>
        <w:tc>
          <w:tcPr>
            <w:tcW w:w="0" w:type="auto"/>
            <w:tcBorders>
              <w:top w:val="single" w:sz="4" w:space="0" w:color="auto"/>
              <w:left w:val="nil"/>
              <w:bottom w:val="single" w:sz="4" w:space="0" w:color="auto"/>
              <w:right w:val="nil"/>
            </w:tcBorders>
            <w:shd w:val="clear" w:color="000000" w:fill="auto"/>
            <w:hideMark/>
          </w:tcPr>
          <w:p w14:paraId="2A314E8A"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Key Findings</w:t>
            </w:r>
          </w:p>
        </w:tc>
        <w:tc>
          <w:tcPr>
            <w:tcW w:w="0" w:type="auto"/>
            <w:tcBorders>
              <w:top w:val="single" w:sz="4" w:space="0" w:color="auto"/>
              <w:left w:val="nil"/>
              <w:bottom w:val="single" w:sz="4" w:space="0" w:color="auto"/>
            </w:tcBorders>
            <w:shd w:val="clear" w:color="000000" w:fill="auto"/>
            <w:hideMark/>
          </w:tcPr>
          <w:p w14:paraId="409EE038"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Limitations</w:t>
            </w:r>
          </w:p>
        </w:tc>
        <w:tc>
          <w:tcPr>
            <w:tcW w:w="0" w:type="auto"/>
            <w:tcBorders>
              <w:top w:val="single" w:sz="4" w:space="0" w:color="auto"/>
              <w:bottom w:val="single" w:sz="4" w:space="0" w:color="auto"/>
              <w:right w:val="single" w:sz="4" w:space="0" w:color="auto"/>
            </w:tcBorders>
            <w:shd w:val="clear" w:color="000000" w:fill="auto"/>
            <w:hideMark/>
          </w:tcPr>
          <w:p w14:paraId="2A0CA740" w14:textId="77777777" w:rsidR="00825FF0" w:rsidRPr="00825FF0" w:rsidRDefault="00825FF0" w:rsidP="00825FF0">
            <w:pPr>
              <w:jc w:val="cente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D&amp;B Checklist Score</w:t>
            </w:r>
          </w:p>
        </w:tc>
      </w:tr>
      <w:tr w:rsidR="00825FF0" w:rsidRPr="00825FF0" w14:paraId="27CFF30E" w14:textId="77777777" w:rsidTr="004F0A11">
        <w:trPr>
          <w:trHeight w:val="320"/>
        </w:trPr>
        <w:tc>
          <w:tcPr>
            <w:tcW w:w="16436" w:type="dxa"/>
            <w:gridSpan w:val="13"/>
            <w:vMerge w:val="restart"/>
            <w:tcBorders>
              <w:top w:val="single" w:sz="4" w:space="0" w:color="auto"/>
              <w:left w:val="single" w:sz="4" w:space="0" w:color="auto"/>
              <w:bottom w:val="single" w:sz="4" w:space="0" w:color="auto"/>
              <w:right w:val="single" w:sz="4" w:space="0" w:color="auto"/>
            </w:tcBorders>
            <w:shd w:val="clear" w:color="000000" w:fill="auto"/>
            <w:hideMark/>
          </w:tcPr>
          <w:p w14:paraId="39DE7F8C" w14:textId="77777777" w:rsidR="00825FF0" w:rsidRPr="00825FF0" w:rsidRDefault="00825FF0" w:rsidP="00825FF0">
            <w:pPr>
              <w:ind w:right="-625"/>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Benzodiazepine Studies</w:t>
            </w:r>
          </w:p>
        </w:tc>
      </w:tr>
      <w:tr w:rsidR="00825FF0" w:rsidRPr="00825FF0" w14:paraId="3A7C8A32" w14:textId="77777777" w:rsidTr="004F0A11">
        <w:trPr>
          <w:trHeight w:val="320"/>
        </w:trPr>
        <w:tc>
          <w:tcPr>
            <w:tcW w:w="16436" w:type="dxa"/>
            <w:gridSpan w:val="13"/>
            <w:vMerge/>
            <w:tcBorders>
              <w:left w:val="single" w:sz="4" w:space="0" w:color="auto"/>
              <w:bottom w:val="single" w:sz="4" w:space="0" w:color="auto"/>
              <w:right w:val="single" w:sz="4" w:space="0" w:color="auto"/>
            </w:tcBorders>
            <w:shd w:val="clear" w:color="000000" w:fill="auto"/>
            <w:hideMark/>
          </w:tcPr>
          <w:p w14:paraId="6FAC27B7" w14:textId="77777777" w:rsidR="00825FF0" w:rsidRPr="00825FF0" w:rsidRDefault="00825FF0" w:rsidP="00825FF0">
            <w:pPr>
              <w:rPr>
                <w:rFonts w:asciiTheme="majorHAnsi" w:eastAsia="Times New Roman" w:hAnsiTheme="majorHAnsi" w:cs="Calibri"/>
                <w:b/>
                <w:bCs/>
                <w:color w:val="FFFFFF"/>
                <w:sz w:val="16"/>
                <w:szCs w:val="16"/>
                <w:lang w:eastAsia="en-GB"/>
              </w:rPr>
            </w:pPr>
          </w:p>
        </w:tc>
      </w:tr>
      <w:tr w:rsidR="00825FF0" w:rsidRPr="00825FF0" w14:paraId="4AB543D4" w14:textId="77777777" w:rsidTr="004F0A11">
        <w:trPr>
          <w:trHeight w:val="320"/>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56CE7D99"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t>Healthy Volunteers</w:t>
            </w:r>
          </w:p>
        </w:tc>
      </w:tr>
      <w:tr w:rsidR="00EB5138" w:rsidRPr="00825FF0" w14:paraId="3BECD850" w14:textId="77777777" w:rsidTr="00825FF0">
        <w:trPr>
          <w:trHeight w:val="2421"/>
        </w:trPr>
        <w:tc>
          <w:tcPr>
            <w:tcW w:w="0" w:type="auto"/>
            <w:tcBorders>
              <w:top w:val="nil"/>
              <w:left w:val="single" w:sz="4" w:space="0" w:color="auto"/>
              <w:bottom w:val="single" w:sz="4" w:space="0" w:color="auto"/>
              <w:right w:val="single" w:sz="4" w:space="0" w:color="auto"/>
            </w:tcBorders>
            <w:shd w:val="clear" w:color="auto" w:fill="auto"/>
            <w:hideMark/>
          </w:tcPr>
          <w:p w14:paraId="44DB485B"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Blair and Curran (1999)</w:t>
            </w:r>
          </w:p>
          <w:p w14:paraId="10EE21AF" w14:textId="77777777" w:rsidR="001C29C5" w:rsidRDefault="001C29C5" w:rsidP="00825FF0">
            <w:pPr>
              <w:rPr>
                <w:rFonts w:asciiTheme="majorHAnsi" w:eastAsia="Times New Roman" w:hAnsiTheme="majorHAnsi" w:cs="Calibri"/>
                <w:color w:val="000000"/>
                <w:sz w:val="16"/>
                <w:szCs w:val="16"/>
                <w:lang w:eastAsia="en-GB"/>
              </w:rPr>
            </w:pPr>
          </w:p>
          <w:p w14:paraId="26F7EF6A" w14:textId="25C8157E"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[4</w:t>
            </w:r>
            <w:r w:rsidR="00C81A7C">
              <w:rPr>
                <w:rFonts w:asciiTheme="majorHAnsi" w:eastAsia="Times New Roman" w:hAnsiTheme="majorHAnsi" w:cs="Calibri"/>
                <w:color w:val="000000"/>
                <w:sz w:val="16"/>
                <w:szCs w:val="16"/>
                <w:lang w:eastAsia="en-GB"/>
              </w:rPr>
              <w:t>7</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10A86F5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independent group design</w:t>
            </w:r>
          </w:p>
        </w:tc>
        <w:tc>
          <w:tcPr>
            <w:tcW w:w="0" w:type="auto"/>
            <w:tcBorders>
              <w:top w:val="nil"/>
              <w:left w:val="nil"/>
              <w:bottom w:val="single" w:sz="4" w:space="0" w:color="auto"/>
              <w:right w:val="single" w:sz="4" w:space="0" w:color="auto"/>
            </w:tcBorders>
            <w:shd w:val="clear" w:color="auto" w:fill="auto"/>
            <w:hideMark/>
          </w:tcPr>
          <w:p w14:paraId="28C4B23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32 healthy volunteers</w:t>
            </w:r>
          </w:p>
        </w:tc>
        <w:tc>
          <w:tcPr>
            <w:tcW w:w="1320" w:type="dxa"/>
            <w:tcBorders>
              <w:top w:val="nil"/>
              <w:left w:val="nil"/>
              <w:bottom w:val="single" w:sz="4" w:space="0" w:color="auto"/>
              <w:right w:val="single" w:sz="4" w:space="0" w:color="auto"/>
            </w:tcBorders>
            <w:shd w:val="clear" w:color="auto" w:fill="auto"/>
            <w:hideMark/>
          </w:tcPr>
          <w:p w14:paraId="1CF62F7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p>
        </w:tc>
        <w:tc>
          <w:tcPr>
            <w:tcW w:w="1363" w:type="dxa"/>
            <w:tcBorders>
              <w:top w:val="nil"/>
              <w:left w:val="nil"/>
              <w:bottom w:val="single" w:sz="4" w:space="0" w:color="auto"/>
              <w:right w:val="single" w:sz="4" w:space="0" w:color="auto"/>
            </w:tcBorders>
            <w:shd w:val="clear" w:color="auto" w:fill="auto"/>
            <w:hideMark/>
          </w:tcPr>
          <w:p w14:paraId="2B86C9C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15mg</w:t>
            </w:r>
          </w:p>
        </w:tc>
        <w:tc>
          <w:tcPr>
            <w:tcW w:w="0" w:type="auto"/>
            <w:tcBorders>
              <w:top w:val="nil"/>
              <w:left w:val="nil"/>
              <w:bottom w:val="single" w:sz="4" w:space="0" w:color="auto"/>
              <w:right w:val="single" w:sz="4" w:space="0" w:color="auto"/>
            </w:tcBorders>
            <w:shd w:val="clear" w:color="auto" w:fill="auto"/>
            <w:hideMark/>
          </w:tcPr>
          <w:p w14:paraId="6CF6EAC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579A6D5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5A61D60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765DD86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0944219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nil"/>
            </w:tcBorders>
            <w:shd w:val="clear" w:color="auto" w:fill="auto"/>
            <w:hideMark/>
          </w:tcPr>
          <w:p w14:paraId="15CA6C6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Diazepam has a selective effect on the recognition of angry expressions. However, it did not affect the recognition of any of the other five expressions investigated.</w:t>
            </w:r>
          </w:p>
        </w:tc>
        <w:tc>
          <w:tcPr>
            <w:tcW w:w="0" w:type="auto"/>
            <w:tcBorders>
              <w:top w:val="nil"/>
              <w:left w:val="single" w:sz="4" w:space="0" w:color="auto"/>
              <w:bottom w:val="single" w:sz="4" w:space="0" w:color="auto"/>
              <w:right w:val="nil"/>
            </w:tcBorders>
            <w:shd w:val="clear" w:color="auto" w:fill="auto"/>
            <w:hideMark/>
          </w:tcPr>
          <w:p w14:paraId="11ADD2F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r w:rsidRPr="00825FF0">
              <w:rPr>
                <w:rFonts w:asciiTheme="majorHAnsi" w:eastAsia="Times New Roman" w:hAnsiTheme="majorHAnsi" w:cs="Calibri"/>
                <w:color w:val="000000"/>
                <w:sz w:val="16"/>
                <w:szCs w:val="16"/>
                <w:lang w:eastAsia="en-GB"/>
              </w:rPr>
              <w:br/>
              <w:t>• Absence of a control group of psychiatric patients</w:t>
            </w:r>
            <w:r w:rsidRPr="00825FF0">
              <w:rPr>
                <w:rFonts w:asciiTheme="majorHAnsi" w:eastAsia="Times New Roman" w:hAnsiTheme="majorHAnsi" w:cs="Calibri"/>
                <w:color w:val="000000"/>
                <w:sz w:val="16"/>
                <w:szCs w:val="16"/>
                <w:lang w:eastAsia="en-GB"/>
              </w:rPr>
              <w:br/>
              <w:t>• No follow-up</w:t>
            </w:r>
          </w:p>
        </w:tc>
        <w:tc>
          <w:tcPr>
            <w:tcW w:w="0" w:type="auto"/>
            <w:tcBorders>
              <w:top w:val="nil"/>
              <w:left w:val="single" w:sz="4" w:space="0" w:color="auto"/>
              <w:bottom w:val="single" w:sz="4" w:space="0" w:color="auto"/>
              <w:right w:val="single" w:sz="4" w:space="0" w:color="auto"/>
            </w:tcBorders>
            <w:shd w:val="clear" w:color="auto" w:fill="auto"/>
            <w:hideMark/>
          </w:tcPr>
          <w:p w14:paraId="5482E089"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12</w:t>
            </w:r>
          </w:p>
        </w:tc>
      </w:tr>
      <w:tr w:rsidR="00EB5138" w:rsidRPr="00825FF0" w14:paraId="7DB84A94" w14:textId="77777777" w:rsidTr="00825FF0">
        <w:trPr>
          <w:trHeight w:val="1988"/>
        </w:trPr>
        <w:tc>
          <w:tcPr>
            <w:tcW w:w="0" w:type="auto"/>
            <w:tcBorders>
              <w:top w:val="nil"/>
              <w:left w:val="single" w:sz="4" w:space="0" w:color="auto"/>
              <w:bottom w:val="single" w:sz="4" w:space="0" w:color="auto"/>
              <w:right w:val="single" w:sz="4" w:space="0" w:color="auto"/>
            </w:tcBorders>
            <w:shd w:val="clear" w:color="auto" w:fill="auto"/>
            <w:hideMark/>
          </w:tcPr>
          <w:p w14:paraId="5DC18A3E"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Coupland et al (2003)</w:t>
            </w:r>
          </w:p>
          <w:p w14:paraId="3266432C" w14:textId="77777777" w:rsidR="001C29C5" w:rsidRDefault="001C29C5" w:rsidP="00825FF0">
            <w:pPr>
              <w:rPr>
                <w:rFonts w:asciiTheme="majorHAnsi" w:eastAsia="Times New Roman" w:hAnsiTheme="majorHAnsi" w:cs="Calibri"/>
                <w:color w:val="000000"/>
                <w:sz w:val="16"/>
                <w:szCs w:val="16"/>
                <w:lang w:eastAsia="en-GB"/>
              </w:rPr>
            </w:pPr>
          </w:p>
          <w:p w14:paraId="08334829" w14:textId="456F7D7A"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C81A7C">
              <w:rPr>
                <w:rFonts w:asciiTheme="majorHAnsi" w:eastAsia="Times New Roman" w:hAnsiTheme="majorHAnsi" w:cs="Calibri"/>
                <w:color w:val="000000"/>
                <w:sz w:val="16"/>
                <w:szCs w:val="16"/>
                <w:lang w:eastAsia="en-GB"/>
              </w:rPr>
              <w:t>44</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3264113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Randomised, counterbalanced, double-blind, placebo-controlled, within-subjects comparison</w:t>
            </w:r>
          </w:p>
        </w:tc>
        <w:tc>
          <w:tcPr>
            <w:tcW w:w="0" w:type="auto"/>
            <w:tcBorders>
              <w:top w:val="nil"/>
              <w:left w:val="nil"/>
              <w:bottom w:val="single" w:sz="4" w:space="0" w:color="auto"/>
              <w:right w:val="single" w:sz="4" w:space="0" w:color="auto"/>
            </w:tcBorders>
            <w:shd w:val="clear" w:color="auto" w:fill="auto"/>
            <w:hideMark/>
          </w:tcPr>
          <w:p w14:paraId="43F5D11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28 healthy volunteers</w:t>
            </w:r>
          </w:p>
        </w:tc>
        <w:tc>
          <w:tcPr>
            <w:tcW w:w="1320" w:type="dxa"/>
            <w:tcBorders>
              <w:top w:val="nil"/>
              <w:left w:val="nil"/>
              <w:bottom w:val="single" w:sz="4" w:space="0" w:color="auto"/>
              <w:right w:val="single" w:sz="4" w:space="0" w:color="auto"/>
            </w:tcBorders>
            <w:shd w:val="clear" w:color="auto" w:fill="auto"/>
            <w:hideMark/>
          </w:tcPr>
          <w:p w14:paraId="48630BD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p>
        </w:tc>
        <w:tc>
          <w:tcPr>
            <w:tcW w:w="1363" w:type="dxa"/>
            <w:tcBorders>
              <w:top w:val="nil"/>
              <w:left w:val="nil"/>
              <w:bottom w:val="single" w:sz="4" w:space="0" w:color="auto"/>
              <w:right w:val="single" w:sz="4" w:space="0" w:color="auto"/>
            </w:tcBorders>
            <w:shd w:val="clear" w:color="auto" w:fill="auto"/>
            <w:hideMark/>
          </w:tcPr>
          <w:p w14:paraId="1ACAF31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15mg</w:t>
            </w:r>
          </w:p>
        </w:tc>
        <w:tc>
          <w:tcPr>
            <w:tcW w:w="0" w:type="auto"/>
            <w:tcBorders>
              <w:top w:val="nil"/>
              <w:left w:val="nil"/>
              <w:bottom w:val="single" w:sz="4" w:space="0" w:color="auto"/>
              <w:right w:val="single" w:sz="4" w:space="0" w:color="auto"/>
            </w:tcBorders>
            <w:shd w:val="clear" w:color="auto" w:fill="auto"/>
            <w:hideMark/>
          </w:tcPr>
          <w:p w14:paraId="76DC1F4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75A8DEE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6A7C245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378B61D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79356A7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single" w:sz="4" w:space="0" w:color="auto"/>
            </w:tcBorders>
            <w:shd w:val="clear" w:color="auto" w:fill="auto"/>
            <w:hideMark/>
          </w:tcPr>
          <w:p w14:paraId="11415C2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Diazepam produced impairments</w:t>
            </w:r>
            <w:r w:rsidRPr="00825FF0">
              <w:rPr>
                <w:rFonts w:asciiTheme="majorHAnsi" w:eastAsia="Times New Roman" w:hAnsiTheme="majorHAnsi" w:cs="Calibri"/>
                <w:color w:val="FF0000"/>
                <w:sz w:val="16"/>
                <w:szCs w:val="16"/>
                <w:lang w:eastAsia="en-GB"/>
              </w:rPr>
              <w:t xml:space="preserve"> </w:t>
            </w:r>
            <w:r w:rsidRPr="00825FF0">
              <w:rPr>
                <w:rFonts w:asciiTheme="majorHAnsi" w:eastAsia="Times New Roman" w:hAnsiTheme="majorHAnsi" w:cs="Calibri"/>
                <w:color w:val="000000"/>
                <w:sz w:val="16"/>
                <w:szCs w:val="16"/>
                <w:lang w:eastAsia="en-GB"/>
              </w:rPr>
              <w:t>in emotional recognition accuracy. The processing of surprise and disgust were most affected.</w:t>
            </w:r>
          </w:p>
        </w:tc>
        <w:tc>
          <w:tcPr>
            <w:tcW w:w="0" w:type="auto"/>
            <w:tcBorders>
              <w:top w:val="nil"/>
              <w:left w:val="nil"/>
              <w:bottom w:val="single" w:sz="4" w:space="0" w:color="auto"/>
              <w:right w:val="nil"/>
            </w:tcBorders>
            <w:shd w:val="clear" w:color="auto" w:fill="auto"/>
            <w:hideMark/>
          </w:tcPr>
          <w:p w14:paraId="137800D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follow-up</w:t>
            </w:r>
            <w:r w:rsidRPr="00825FF0">
              <w:rPr>
                <w:rFonts w:asciiTheme="majorHAnsi" w:eastAsia="Times New Roman" w:hAnsiTheme="majorHAnsi" w:cs="Calibri"/>
                <w:color w:val="000000"/>
                <w:sz w:val="16"/>
                <w:szCs w:val="16"/>
                <w:lang w:eastAsia="en-GB"/>
              </w:rPr>
              <w:br/>
              <w:t>• Limited sample size</w:t>
            </w:r>
          </w:p>
        </w:tc>
        <w:tc>
          <w:tcPr>
            <w:tcW w:w="0" w:type="auto"/>
            <w:tcBorders>
              <w:top w:val="nil"/>
              <w:left w:val="single" w:sz="4" w:space="0" w:color="auto"/>
              <w:bottom w:val="single" w:sz="4" w:space="0" w:color="auto"/>
              <w:right w:val="single" w:sz="4" w:space="0" w:color="auto"/>
            </w:tcBorders>
            <w:shd w:val="clear" w:color="auto" w:fill="auto"/>
            <w:hideMark/>
          </w:tcPr>
          <w:p w14:paraId="7DC4B09C"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w:t>
            </w:r>
          </w:p>
        </w:tc>
      </w:tr>
      <w:tr w:rsidR="00EB5138" w:rsidRPr="00825FF0" w14:paraId="7D46E8B6" w14:textId="77777777" w:rsidTr="00825FF0">
        <w:trPr>
          <w:trHeight w:val="1300"/>
        </w:trPr>
        <w:tc>
          <w:tcPr>
            <w:tcW w:w="0" w:type="auto"/>
            <w:tcBorders>
              <w:top w:val="nil"/>
              <w:left w:val="single" w:sz="4" w:space="0" w:color="auto"/>
              <w:bottom w:val="single" w:sz="4" w:space="0" w:color="auto"/>
              <w:right w:val="single" w:sz="4" w:space="0" w:color="auto"/>
            </w:tcBorders>
            <w:shd w:val="clear" w:color="auto" w:fill="auto"/>
            <w:hideMark/>
          </w:tcPr>
          <w:p w14:paraId="0134C941"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Murphy et al (2008)</w:t>
            </w:r>
          </w:p>
          <w:p w14:paraId="28C002EF" w14:textId="77777777" w:rsidR="001C29C5" w:rsidRDefault="001C29C5" w:rsidP="00825FF0">
            <w:pPr>
              <w:rPr>
                <w:rFonts w:asciiTheme="majorHAnsi" w:eastAsia="Times New Roman" w:hAnsiTheme="majorHAnsi" w:cs="Calibri"/>
                <w:color w:val="000000"/>
                <w:sz w:val="16"/>
                <w:szCs w:val="16"/>
                <w:lang w:eastAsia="en-GB"/>
              </w:rPr>
            </w:pPr>
          </w:p>
          <w:p w14:paraId="2211FDFD" w14:textId="2D624C1E"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[8</w:t>
            </w:r>
            <w:r w:rsidR="00C81A7C">
              <w:rPr>
                <w:rFonts w:asciiTheme="majorHAnsi" w:eastAsia="Times New Roman" w:hAnsiTheme="majorHAnsi" w:cs="Calibri"/>
                <w:color w:val="000000"/>
                <w:sz w:val="16"/>
                <w:szCs w:val="16"/>
                <w:lang w:eastAsia="en-GB"/>
              </w:rPr>
              <w:t>8</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27498DE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Randomised, between-group, double-blind, placebo-controlled design</w:t>
            </w:r>
          </w:p>
        </w:tc>
        <w:tc>
          <w:tcPr>
            <w:tcW w:w="0" w:type="auto"/>
            <w:tcBorders>
              <w:top w:val="nil"/>
              <w:left w:val="nil"/>
              <w:bottom w:val="single" w:sz="4" w:space="0" w:color="auto"/>
              <w:right w:val="single" w:sz="4" w:space="0" w:color="auto"/>
            </w:tcBorders>
            <w:shd w:val="clear" w:color="auto" w:fill="auto"/>
            <w:hideMark/>
          </w:tcPr>
          <w:p w14:paraId="4BD4C8B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24 healthy volunteers</w:t>
            </w:r>
          </w:p>
        </w:tc>
        <w:tc>
          <w:tcPr>
            <w:tcW w:w="1320" w:type="dxa"/>
            <w:tcBorders>
              <w:top w:val="nil"/>
              <w:left w:val="nil"/>
              <w:bottom w:val="single" w:sz="4" w:space="0" w:color="auto"/>
              <w:right w:val="single" w:sz="4" w:space="0" w:color="auto"/>
            </w:tcBorders>
            <w:shd w:val="clear" w:color="auto" w:fill="auto"/>
            <w:hideMark/>
          </w:tcPr>
          <w:p w14:paraId="3D2484A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p>
        </w:tc>
        <w:tc>
          <w:tcPr>
            <w:tcW w:w="1363" w:type="dxa"/>
            <w:tcBorders>
              <w:top w:val="nil"/>
              <w:left w:val="nil"/>
              <w:bottom w:val="single" w:sz="4" w:space="0" w:color="auto"/>
              <w:right w:val="single" w:sz="4" w:space="0" w:color="auto"/>
            </w:tcBorders>
            <w:shd w:val="clear" w:color="auto" w:fill="auto"/>
            <w:hideMark/>
          </w:tcPr>
          <w:p w14:paraId="3D0287D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5mg</w:t>
            </w:r>
          </w:p>
        </w:tc>
        <w:tc>
          <w:tcPr>
            <w:tcW w:w="0" w:type="auto"/>
            <w:tcBorders>
              <w:top w:val="nil"/>
              <w:left w:val="nil"/>
              <w:bottom w:val="single" w:sz="4" w:space="0" w:color="auto"/>
              <w:right w:val="single" w:sz="4" w:space="0" w:color="auto"/>
            </w:tcBorders>
            <w:shd w:val="clear" w:color="auto" w:fill="auto"/>
            <w:hideMark/>
          </w:tcPr>
          <w:p w14:paraId="2520FB6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7D5A354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08BBA75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22104CE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6663745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single" w:sz="4" w:space="0" w:color="auto"/>
            </w:tcBorders>
            <w:shd w:val="clear" w:color="auto" w:fill="auto"/>
            <w:hideMark/>
          </w:tcPr>
          <w:p w14:paraId="1073047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effect of Diazepam on accuracy or reaction times.</w:t>
            </w:r>
          </w:p>
        </w:tc>
        <w:tc>
          <w:tcPr>
            <w:tcW w:w="0" w:type="auto"/>
            <w:tcBorders>
              <w:top w:val="nil"/>
              <w:left w:val="nil"/>
              <w:bottom w:val="single" w:sz="4" w:space="0" w:color="auto"/>
              <w:right w:val="nil"/>
            </w:tcBorders>
            <w:shd w:val="clear" w:color="auto" w:fill="auto"/>
            <w:hideMark/>
          </w:tcPr>
          <w:p w14:paraId="277E774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r w:rsidRPr="00825FF0">
              <w:rPr>
                <w:rFonts w:asciiTheme="majorHAnsi" w:eastAsia="Times New Roman" w:hAnsiTheme="majorHAnsi" w:cs="Calibri"/>
                <w:color w:val="000000"/>
                <w:sz w:val="16"/>
                <w:szCs w:val="16"/>
                <w:lang w:eastAsia="en-GB"/>
              </w:rPr>
              <w:br/>
              <w:t>• Low dosage of Diazepam</w:t>
            </w:r>
          </w:p>
        </w:tc>
        <w:tc>
          <w:tcPr>
            <w:tcW w:w="0" w:type="auto"/>
            <w:tcBorders>
              <w:top w:val="nil"/>
              <w:left w:val="single" w:sz="4" w:space="0" w:color="auto"/>
              <w:bottom w:val="single" w:sz="4" w:space="0" w:color="auto"/>
              <w:right w:val="single" w:sz="4" w:space="0" w:color="auto"/>
            </w:tcBorders>
            <w:shd w:val="clear" w:color="auto" w:fill="auto"/>
            <w:hideMark/>
          </w:tcPr>
          <w:p w14:paraId="39B203C1"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19</w:t>
            </w:r>
          </w:p>
        </w:tc>
      </w:tr>
      <w:tr w:rsidR="00EB5138" w:rsidRPr="00825FF0" w14:paraId="380C74FA" w14:textId="77777777" w:rsidTr="00825FF0">
        <w:trPr>
          <w:trHeight w:val="1697"/>
        </w:trPr>
        <w:tc>
          <w:tcPr>
            <w:tcW w:w="0" w:type="auto"/>
            <w:tcBorders>
              <w:top w:val="nil"/>
              <w:left w:val="single" w:sz="4" w:space="0" w:color="auto"/>
              <w:bottom w:val="single" w:sz="4" w:space="0" w:color="auto"/>
              <w:right w:val="single" w:sz="4" w:space="0" w:color="auto"/>
            </w:tcBorders>
            <w:shd w:val="clear" w:color="auto" w:fill="auto"/>
            <w:hideMark/>
          </w:tcPr>
          <w:p w14:paraId="20AC5D37"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Pringle et al (2016)</w:t>
            </w:r>
          </w:p>
          <w:p w14:paraId="5BE7C4DC" w14:textId="77777777" w:rsidR="001C29C5" w:rsidRDefault="001C29C5" w:rsidP="00825FF0">
            <w:pPr>
              <w:rPr>
                <w:rFonts w:asciiTheme="majorHAnsi" w:eastAsia="Times New Roman" w:hAnsiTheme="majorHAnsi" w:cs="Calibri"/>
                <w:color w:val="000000"/>
                <w:sz w:val="16"/>
                <w:szCs w:val="16"/>
                <w:lang w:eastAsia="en-GB"/>
              </w:rPr>
            </w:pPr>
          </w:p>
          <w:p w14:paraId="245A9A03" w14:textId="0014CE16"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C81A7C">
              <w:rPr>
                <w:rFonts w:asciiTheme="majorHAnsi" w:eastAsia="Times New Roman" w:hAnsiTheme="majorHAnsi" w:cs="Calibri"/>
                <w:color w:val="000000"/>
                <w:sz w:val="16"/>
                <w:szCs w:val="16"/>
                <w:lang w:eastAsia="en-GB"/>
              </w:rPr>
              <w:t>45</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42D31D5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intervention</w:t>
            </w:r>
          </w:p>
        </w:tc>
        <w:tc>
          <w:tcPr>
            <w:tcW w:w="0" w:type="auto"/>
            <w:tcBorders>
              <w:top w:val="nil"/>
              <w:left w:val="nil"/>
              <w:bottom w:val="single" w:sz="4" w:space="0" w:color="auto"/>
              <w:right w:val="single" w:sz="4" w:space="0" w:color="auto"/>
            </w:tcBorders>
            <w:shd w:val="clear" w:color="auto" w:fill="auto"/>
            <w:hideMark/>
          </w:tcPr>
          <w:p w14:paraId="381A3C1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36 healthy volunteers</w:t>
            </w:r>
          </w:p>
        </w:tc>
        <w:tc>
          <w:tcPr>
            <w:tcW w:w="1320" w:type="dxa"/>
            <w:tcBorders>
              <w:top w:val="nil"/>
              <w:left w:val="nil"/>
              <w:bottom w:val="single" w:sz="4" w:space="0" w:color="auto"/>
              <w:right w:val="single" w:sz="4" w:space="0" w:color="auto"/>
            </w:tcBorders>
            <w:shd w:val="clear" w:color="auto" w:fill="auto"/>
            <w:hideMark/>
          </w:tcPr>
          <w:p w14:paraId="617F5CB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p>
        </w:tc>
        <w:tc>
          <w:tcPr>
            <w:tcW w:w="1363" w:type="dxa"/>
            <w:tcBorders>
              <w:top w:val="nil"/>
              <w:left w:val="nil"/>
              <w:bottom w:val="single" w:sz="4" w:space="0" w:color="auto"/>
              <w:right w:val="single" w:sz="4" w:space="0" w:color="auto"/>
            </w:tcBorders>
            <w:shd w:val="clear" w:color="auto" w:fill="auto"/>
            <w:hideMark/>
          </w:tcPr>
          <w:p w14:paraId="6E150B6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15mg</w:t>
            </w:r>
          </w:p>
        </w:tc>
        <w:tc>
          <w:tcPr>
            <w:tcW w:w="0" w:type="auto"/>
            <w:tcBorders>
              <w:top w:val="nil"/>
              <w:left w:val="nil"/>
              <w:bottom w:val="single" w:sz="4" w:space="0" w:color="auto"/>
              <w:right w:val="single" w:sz="4" w:space="0" w:color="auto"/>
            </w:tcBorders>
            <w:shd w:val="clear" w:color="auto" w:fill="auto"/>
            <w:hideMark/>
          </w:tcPr>
          <w:p w14:paraId="38638BB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5DF2E95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4AEE282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2D87954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457652E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6, 7 or 8 days</w:t>
            </w:r>
          </w:p>
        </w:tc>
        <w:tc>
          <w:tcPr>
            <w:tcW w:w="0" w:type="auto"/>
            <w:tcBorders>
              <w:top w:val="nil"/>
              <w:left w:val="nil"/>
              <w:bottom w:val="single" w:sz="4" w:space="0" w:color="auto"/>
              <w:right w:val="single" w:sz="4" w:space="0" w:color="auto"/>
            </w:tcBorders>
            <w:shd w:val="clear" w:color="auto" w:fill="auto"/>
            <w:hideMark/>
          </w:tcPr>
          <w:p w14:paraId="6756614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Diazepam makes participants significantly slower on emotional face recognition than controls.</w:t>
            </w:r>
          </w:p>
        </w:tc>
        <w:tc>
          <w:tcPr>
            <w:tcW w:w="0" w:type="auto"/>
            <w:tcBorders>
              <w:top w:val="nil"/>
              <w:left w:val="nil"/>
              <w:bottom w:val="single" w:sz="4" w:space="0" w:color="auto"/>
              <w:right w:val="nil"/>
            </w:tcBorders>
            <w:shd w:val="clear" w:color="auto" w:fill="auto"/>
            <w:hideMark/>
          </w:tcPr>
          <w:p w14:paraId="77DE849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p>
        </w:tc>
        <w:tc>
          <w:tcPr>
            <w:tcW w:w="0" w:type="auto"/>
            <w:tcBorders>
              <w:top w:val="nil"/>
              <w:left w:val="single" w:sz="4" w:space="0" w:color="auto"/>
              <w:bottom w:val="single" w:sz="4" w:space="0" w:color="auto"/>
              <w:right w:val="single" w:sz="4" w:space="0" w:color="auto"/>
            </w:tcBorders>
            <w:shd w:val="clear" w:color="auto" w:fill="auto"/>
            <w:hideMark/>
          </w:tcPr>
          <w:p w14:paraId="2E9227C5"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19</w:t>
            </w:r>
          </w:p>
        </w:tc>
      </w:tr>
      <w:tr w:rsidR="00EB5138" w:rsidRPr="00825FF0" w14:paraId="3CDEE7D8" w14:textId="77777777" w:rsidTr="00825FF0">
        <w:trPr>
          <w:trHeight w:val="130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C962EAD"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Zangara et al (2002)</w:t>
            </w:r>
          </w:p>
          <w:p w14:paraId="697F0BC7" w14:textId="77777777" w:rsidR="001C29C5" w:rsidRDefault="001C29C5" w:rsidP="00825FF0">
            <w:pPr>
              <w:rPr>
                <w:rFonts w:asciiTheme="majorHAnsi" w:eastAsia="Times New Roman" w:hAnsiTheme="majorHAnsi" w:cs="Calibri"/>
                <w:color w:val="000000"/>
                <w:sz w:val="16"/>
                <w:szCs w:val="16"/>
                <w:lang w:eastAsia="en-GB"/>
              </w:rPr>
            </w:pPr>
          </w:p>
          <w:p w14:paraId="50F06E71" w14:textId="47A2C4A3"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C81A7C">
              <w:rPr>
                <w:rFonts w:asciiTheme="majorHAnsi" w:eastAsia="Times New Roman" w:hAnsiTheme="majorHAnsi" w:cs="Calibri"/>
                <w:color w:val="000000"/>
                <w:sz w:val="16"/>
                <w:szCs w:val="16"/>
                <w:lang w:eastAsia="en-GB"/>
              </w:rPr>
              <w:t>46</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32C9B3C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independent group design</w:t>
            </w:r>
          </w:p>
        </w:tc>
        <w:tc>
          <w:tcPr>
            <w:tcW w:w="0" w:type="auto"/>
            <w:tcBorders>
              <w:top w:val="single" w:sz="4" w:space="0" w:color="auto"/>
              <w:left w:val="nil"/>
              <w:bottom w:val="single" w:sz="4" w:space="0" w:color="auto"/>
              <w:right w:val="single" w:sz="4" w:space="0" w:color="auto"/>
            </w:tcBorders>
            <w:shd w:val="clear" w:color="auto" w:fill="auto"/>
            <w:hideMark/>
          </w:tcPr>
          <w:p w14:paraId="7F0395A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45 healthy volunteers</w:t>
            </w:r>
          </w:p>
        </w:tc>
        <w:tc>
          <w:tcPr>
            <w:tcW w:w="1320" w:type="dxa"/>
            <w:tcBorders>
              <w:top w:val="single" w:sz="4" w:space="0" w:color="auto"/>
              <w:left w:val="nil"/>
              <w:bottom w:val="single" w:sz="4" w:space="0" w:color="auto"/>
              <w:right w:val="single" w:sz="4" w:space="0" w:color="auto"/>
            </w:tcBorders>
            <w:shd w:val="clear" w:color="auto" w:fill="auto"/>
            <w:hideMark/>
          </w:tcPr>
          <w:p w14:paraId="47908A12" w14:textId="2E8695B4"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r w:rsidRPr="00825FF0">
              <w:rPr>
                <w:rFonts w:asciiTheme="majorHAnsi" w:eastAsia="Times New Roman" w:hAnsiTheme="majorHAnsi" w:cs="Calibri"/>
                <w:color w:val="000000"/>
                <w:sz w:val="16"/>
                <w:szCs w:val="16"/>
                <w:lang w:eastAsia="en-GB"/>
              </w:rPr>
              <w:br/>
              <w:t>Metropolol (selective antagonist of B1 adrenoceptors)</w:t>
            </w:r>
          </w:p>
        </w:tc>
        <w:tc>
          <w:tcPr>
            <w:tcW w:w="1363" w:type="dxa"/>
            <w:tcBorders>
              <w:top w:val="single" w:sz="4" w:space="0" w:color="auto"/>
              <w:left w:val="nil"/>
              <w:bottom w:val="single" w:sz="4" w:space="0" w:color="auto"/>
              <w:right w:val="single" w:sz="4" w:space="0" w:color="auto"/>
            </w:tcBorders>
            <w:shd w:val="clear" w:color="auto" w:fill="auto"/>
            <w:hideMark/>
          </w:tcPr>
          <w:p w14:paraId="0F0DB81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15mg</w:t>
            </w:r>
            <w:r w:rsidRPr="00825FF0">
              <w:rPr>
                <w:rFonts w:asciiTheme="majorHAnsi" w:eastAsia="Times New Roman" w:hAnsiTheme="majorHAnsi" w:cs="Calibri"/>
                <w:color w:val="000000"/>
                <w:sz w:val="16"/>
                <w:szCs w:val="16"/>
                <w:lang w:eastAsia="en-GB"/>
              </w:rPr>
              <w:br/>
              <w:t>50mg</w:t>
            </w:r>
          </w:p>
        </w:tc>
        <w:tc>
          <w:tcPr>
            <w:tcW w:w="0" w:type="auto"/>
            <w:tcBorders>
              <w:top w:val="single" w:sz="4" w:space="0" w:color="auto"/>
              <w:left w:val="nil"/>
              <w:bottom w:val="single" w:sz="4" w:space="0" w:color="auto"/>
              <w:right w:val="single" w:sz="4" w:space="0" w:color="auto"/>
            </w:tcBorders>
            <w:shd w:val="clear" w:color="auto" w:fill="auto"/>
            <w:hideMark/>
          </w:tcPr>
          <w:p w14:paraId="1C5D401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single" w:sz="4" w:space="0" w:color="auto"/>
              <w:left w:val="nil"/>
              <w:bottom w:val="single" w:sz="4" w:space="0" w:color="auto"/>
              <w:right w:val="single" w:sz="4" w:space="0" w:color="auto"/>
            </w:tcBorders>
            <w:shd w:val="clear" w:color="auto" w:fill="auto"/>
            <w:hideMark/>
          </w:tcPr>
          <w:p w14:paraId="4070D9D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single" w:sz="4" w:space="0" w:color="auto"/>
              <w:left w:val="nil"/>
              <w:bottom w:val="single" w:sz="4" w:space="0" w:color="auto"/>
              <w:right w:val="single" w:sz="4" w:space="0" w:color="auto"/>
            </w:tcBorders>
            <w:shd w:val="clear" w:color="auto" w:fill="auto"/>
            <w:hideMark/>
          </w:tcPr>
          <w:p w14:paraId="446125D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5DF610D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single" w:sz="4" w:space="0" w:color="auto"/>
              <w:left w:val="nil"/>
              <w:bottom w:val="single" w:sz="4" w:space="0" w:color="auto"/>
              <w:right w:val="single" w:sz="4" w:space="0" w:color="auto"/>
            </w:tcBorders>
            <w:shd w:val="clear" w:color="auto" w:fill="auto"/>
            <w:hideMark/>
          </w:tcPr>
          <w:p w14:paraId="43F19AA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single" w:sz="4" w:space="0" w:color="auto"/>
              <w:left w:val="nil"/>
              <w:bottom w:val="single" w:sz="4" w:space="0" w:color="auto"/>
              <w:right w:val="single" w:sz="4" w:space="0" w:color="auto"/>
            </w:tcBorders>
            <w:shd w:val="clear" w:color="auto" w:fill="auto"/>
            <w:hideMark/>
          </w:tcPr>
          <w:p w14:paraId="26C673C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Diazepam impairs the ability to recognise angry and fearful expressions.</w:t>
            </w:r>
          </w:p>
        </w:tc>
        <w:tc>
          <w:tcPr>
            <w:tcW w:w="0" w:type="auto"/>
            <w:tcBorders>
              <w:top w:val="single" w:sz="4" w:space="0" w:color="auto"/>
              <w:left w:val="nil"/>
              <w:bottom w:val="single" w:sz="4" w:space="0" w:color="auto"/>
              <w:right w:val="nil"/>
            </w:tcBorders>
            <w:shd w:val="clear" w:color="auto" w:fill="auto"/>
            <w:hideMark/>
          </w:tcPr>
          <w:p w14:paraId="26553A5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follow-up</w:t>
            </w:r>
            <w:r w:rsidRPr="00825FF0">
              <w:rPr>
                <w:rFonts w:asciiTheme="majorHAnsi" w:eastAsia="Times New Roman" w:hAnsiTheme="majorHAnsi" w:cs="Calibri"/>
                <w:color w:val="000000"/>
                <w:sz w:val="16"/>
                <w:szCs w:val="16"/>
                <w:lang w:eastAsia="en-GB"/>
              </w:rPr>
              <w:br/>
              <w:t>• Limited sample size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EACF926"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21</w:t>
            </w:r>
          </w:p>
        </w:tc>
      </w:tr>
      <w:tr w:rsidR="00EB5138" w:rsidRPr="00825FF0" w14:paraId="5BCC7263" w14:textId="77777777" w:rsidTr="00825FF0">
        <w:trPr>
          <w:trHeight w:val="1040"/>
        </w:trPr>
        <w:tc>
          <w:tcPr>
            <w:tcW w:w="0" w:type="auto"/>
            <w:tcBorders>
              <w:top w:val="nil"/>
              <w:left w:val="single" w:sz="4" w:space="0" w:color="auto"/>
              <w:bottom w:val="nil"/>
              <w:right w:val="single" w:sz="4" w:space="0" w:color="auto"/>
            </w:tcBorders>
            <w:shd w:val="clear" w:color="auto" w:fill="auto"/>
            <w:hideMark/>
          </w:tcPr>
          <w:p w14:paraId="25D5924C"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Nilsonne et al (2018)</w:t>
            </w:r>
          </w:p>
          <w:p w14:paraId="595490E4" w14:textId="77777777" w:rsidR="001C29C5" w:rsidRDefault="001C29C5" w:rsidP="00825FF0">
            <w:pPr>
              <w:rPr>
                <w:rFonts w:asciiTheme="majorHAnsi" w:eastAsia="Times New Roman" w:hAnsiTheme="majorHAnsi" w:cs="Calibri"/>
                <w:color w:val="000000"/>
                <w:sz w:val="16"/>
                <w:szCs w:val="16"/>
                <w:lang w:eastAsia="en-GB"/>
              </w:rPr>
            </w:pPr>
          </w:p>
          <w:p w14:paraId="4E71166B" w14:textId="0A15878F"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[4</w:t>
            </w:r>
            <w:r w:rsidR="00C81A7C">
              <w:rPr>
                <w:rFonts w:asciiTheme="majorHAnsi" w:eastAsia="Times New Roman" w:hAnsiTheme="majorHAnsi" w:cs="Calibri"/>
                <w:color w:val="000000"/>
                <w:sz w:val="16"/>
                <w:szCs w:val="16"/>
                <w:lang w:eastAsia="en-GB"/>
              </w:rPr>
              <w:t>8</w:t>
            </w:r>
            <w:r>
              <w:rPr>
                <w:rFonts w:asciiTheme="majorHAnsi" w:eastAsia="Times New Roman" w:hAnsiTheme="majorHAnsi" w:cs="Calibri"/>
                <w:color w:val="000000"/>
                <w:sz w:val="16"/>
                <w:szCs w:val="16"/>
                <w:lang w:eastAsia="en-GB"/>
              </w:rPr>
              <w:t>]</w:t>
            </w:r>
          </w:p>
        </w:tc>
        <w:tc>
          <w:tcPr>
            <w:tcW w:w="0" w:type="auto"/>
            <w:tcBorders>
              <w:top w:val="nil"/>
              <w:left w:val="nil"/>
              <w:bottom w:val="nil"/>
              <w:right w:val="single" w:sz="4" w:space="0" w:color="auto"/>
            </w:tcBorders>
            <w:shd w:val="clear" w:color="auto" w:fill="auto"/>
            <w:hideMark/>
          </w:tcPr>
          <w:p w14:paraId="6375F59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randomised controlled experiment.</w:t>
            </w:r>
          </w:p>
        </w:tc>
        <w:tc>
          <w:tcPr>
            <w:tcW w:w="0" w:type="auto"/>
            <w:tcBorders>
              <w:top w:val="nil"/>
              <w:left w:val="nil"/>
              <w:bottom w:val="nil"/>
              <w:right w:val="single" w:sz="4" w:space="0" w:color="auto"/>
            </w:tcBorders>
            <w:shd w:val="clear" w:color="auto" w:fill="auto"/>
            <w:hideMark/>
          </w:tcPr>
          <w:p w14:paraId="3F5C73B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Wave 1 = 37 healthy volunteers</w:t>
            </w:r>
            <w:r w:rsidRPr="00825FF0">
              <w:rPr>
                <w:rFonts w:asciiTheme="majorHAnsi" w:eastAsia="Times New Roman" w:hAnsiTheme="majorHAnsi" w:cs="Calibri"/>
                <w:color w:val="000000"/>
                <w:sz w:val="16"/>
                <w:szCs w:val="16"/>
                <w:lang w:eastAsia="en-GB"/>
              </w:rPr>
              <w:br/>
              <w:t>Wave 2 = 39 healthy volunteers</w:t>
            </w:r>
          </w:p>
        </w:tc>
        <w:tc>
          <w:tcPr>
            <w:tcW w:w="1320" w:type="dxa"/>
            <w:tcBorders>
              <w:top w:val="nil"/>
              <w:left w:val="nil"/>
              <w:bottom w:val="nil"/>
              <w:right w:val="single" w:sz="4" w:space="0" w:color="auto"/>
            </w:tcBorders>
            <w:shd w:val="clear" w:color="auto" w:fill="auto"/>
            <w:hideMark/>
          </w:tcPr>
          <w:p w14:paraId="58CFC14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Oxazepam</w:t>
            </w:r>
          </w:p>
        </w:tc>
        <w:tc>
          <w:tcPr>
            <w:tcW w:w="1363" w:type="dxa"/>
            <w:tcBorders>
              <w:top w:val="nil"/>
              <w:left w:val="nil"/>
              <w:bottom w:val="nil"/>
              <w:right w:val="single" w:sz="4" w:space="0" w:color="auto"/>
            </w:tcBorders>
            <w:shd w:val="clear" w:color="auto" w:fill="auto"/>
            <w:hideMark/>
          </w:tcPr>
          <w:p w14:paraId="353637B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25mg</w:t>
            </w:r>
          </w:p>
        </w:tc>
        <w:tc>
          <w:tcPr>
            <w:tcW w:w="0" w:type="auto"/>
            <w:tcBorders>
              <w:top w:val="nil"/>
              <w:left w:val="nil"/>
              <w:bottom w:val="nil"/>
              <w:right w:val="single" w:sz="4" w:space="0" w:color="auto"/>
            </w:tcBorders>
            <w:shd w:val="clear" w:color="auto" w:fill="auto"/>
            <w:hideMark/>
          </w:tcPr>
          <w:p w14:paraId="7C04B53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nil"/>
              <w:right w:val="single" w:sz="4" w:space="0" w:color="auto"/>
            </w:tcBorders>
            <w:shd w:val="clear" w:color="auto" w:fill="auto"/>
            <w:hideMark/>
          </w:tcPr>
          <w:p w14:paraId="5BA9906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 (Vitamin D3)</w:t>
            </w:r>
          </w:p>
        </w:tc>
        <w:tc>
          <w:tcPr>
            <w:tcW w:w="0" w:type="auto"/>
            <w:tcBorders>
              <w:top w:val="nil"/>
              <w:left w:val="nil"/>
              <w:bottom w:val="nil"/>
              <w:right w:val="single" w:sz="4" w:space="0" w:color="auto"/>
            </w:tcBorders>
            <w:shd w:val="clear" w:color="auto" w:fill="auto"/>
            <w:hideMark/>
          </w:tcPr>
          <w:p w14:paraId="1315453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Empathy</w:t>
            </w:r>
          </w:p>
        </w:tc>
        <w:tc>
          <w:tcPr>
            <w:tcW w:w="0" w:type="auto"/>
            <w:tcBorders>
              <w:top w:val="nil"/>
              <w:left w:val="nil"/>
              <w:bottom w:val="nil"/>
              <w:right w:val="single" w:sz="4" w:space="0" w:color="auto"/>
            </w:tcBorders>
            <w:shd w:val="clear" w:color="auto" w:fill="auto"/>
            <w:hideMark/>
          </w:tcPr>
          <w:p w14:paraId="320C1BC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Empathy for Pain Questionnaire</w:t>
            </w:r>
          </w:p>
        </w:tc>
        <w:tc>
          <w:tcPr>
            <w:tcW w:w="0" w:type="auto"/>
            <w:tcBorders>
              <w:top w:val="nil"/>
              <w:left w:val="nil"/>
              <w:bottom w:val="nil"/>
              <w:right w:val="single" w:sz="4" w:space="0" w:color="auto"/>
            </w:tcBorders>
            <w:shd w:val="clear" w:color="auto" w:fill="auto"/>
            <w:hideMark/>
          </w:tcPr>
          <w:p w14:paraId="1591825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nil"/>
              <w:right w:val="single" w:sz="4" w:space="0" w:color="auto"/>
            </w:tcBorders>
            <w:shd w:val="clear" w:color="auto" w:fill="auto"/>
            <w:hideMark/>
          </w:tcPr>
          <w:p w14:paraId="0A43466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effect of Oxazepam on empathy</w:t>
            </w:r>
          </w:p>
        </w:tc>
        <w:tc>
          <w:tcPr>
            <w:tcW w:w="0" w:type="auto"/>
            <w:tcBorders>
              <w:top w:val="nil"/>
              <w:left w:val="nil"/>
              <w:bottom w:val="nil"/>
              <w:right w:val="nil"/>
            </w:tcBorders>
            <w:shd w:val="clear" w:color="auto" w:fill="auto"/>
            <w:hideMark/>
          </w:tcPr>
          <w:p w14:paraId="51F00F9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Demographics of patient sample limits generalisability (all-male, largely university educated)</w:t>
            </w:r>
          </w:p>
        </w:tc>
        <w:tc>
          <w:tcPr>
            <w:tcW w:w="0" w:type="auto"/>
            <w:tcBorders>
              <w:top w:val="nil"/>
              <w:left w:val="single" w:sz="4" w:space="0" w:color="auto"/>
              <w:bottom w:val="nil"/>
              <w:right w:val="single" w:sz="4" w:space="0" w:color="auto"/>
            </w:tcBorders>
            <w:shd w:val="clear" w:color="auto" w:fill="auto"/>
            <w:hideMark/>
          </w:tcPr>
          <w:p w14:paraId="01921215"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23</w:t>
            </w:r>
          </w:p>
        </w:tc>
      </w:tr>
      <w:tr w:rsidR="00825FF0" w:rsidRPr="00825FF0" w14:paraId="26BAB93C" w14:textId="77777777" w:rsidTr="00825FF0">
        <w:trPr>
          <w:trHeight w:val="780"/>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4D4D3A19"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t>Patient Studies</w:t>
            </w:r>
          </w:p>
        </w:tc>
      </w:tr>
      <w:tr w:rsidR="00EB5138" w:rsidRPr="00825FF0" w14:paraId="142556C5" w14:textId="77777777" w:rsidTr="00825FF0">
        <w:trPr>
          <w:trHeight w:val="2060"/>
        </w:trPr>
        <w:tc>
          <w:tcPr>
            <w:tcW w:w="0" w:type="auto"/>
            <w:tcBorders>
              <w:top w:val="nil"/>
              <w:left w:val="single" w:sz="4" w:space="0" w:color="auto"/>
              <w:bottom w:val="single" w:sz="4" w:space="0" w:color="auto"/>
              <w:right w:val="single" w:sz="4" w:space="0" w:color="auto"/>
            </w:tcBorders>
            <w:shd w:val="clear" w:color="auto" w:fill="auto"/>
            <w:hideMark/>
          </w:tcPr>
          <w:p w14:paraId="154A9321"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Zurowska et al (2018)</w:t>
            </w:r>
          </w:p>
          <w:p w14:paraId="01790A26" w14:textId="77777777" w:rsidR="001C29C5" w:rsidRDefault="001C29C5" w:rsidP="00825FF0">
            <w:pPr>
              <w:rPr>
                <w:rFonts w:asciiTheme="majorHAnsi" w:eastAsia="Times New Roman" w:hAnsiTheme="majorHAnsi" w:cs="Calibri"/>
                <w:color w:val="000000"/>
                <w:sz w:val="16"/>
                <w:szCs w:val="16"/>
                <w:lang w:eastAsia="en-GB"/>
              </w:rPr>
            </w:pPr>
          </w:p>
          <w:p w14:paraId="6460F8B4" w14:textId="21D1EC3B"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C81A7C">
              <w:rPr>
                <w:rFonts w:asciiTheme="majorHAnsi" w:eastAsia="Times New Roman" w:hAnsiTheme="majorHAnsi" w:cs="Calibri"/>
                <w:color w:val="000000"/>
                <w:sz w:val="16"/>
                <w:szCs w:val="16"/>
                <w:lang w:eastAsia="en-GB"/>
              </w:rPr>
              <w:t>43</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7731FD4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Intergroup Difference Study</w:t>
            </w:r>
          </w:p>
        </w:tc>
        <w:tc>
          <w:tcPr>
            <w:tcW w:w="0" w:type="auto"/>
            <w:tcBorders>
              <w:top w:val="nil"/>
              <w:left w:val="nil"/>
              <w:bottom w:val="single" w:sz="4" w:space="0" w:color="auto"/>
              <w:right w:val="single" w:sz="4" w:space="0" w:color="auto"/>
            </w:tcBorders>
            <w:shd w:val="clear" w:color="auto" w:fill="auto"/>
            <w:hideMark/>
          </w:tcPr>
          <w:p w14:paraId="53CEC8F0" w14:textId="142F0D41"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The sample comprised 43 </w:t>
            </w:r>
            <w:r w:rsidR="00EB5138">
              <w:rPr>
                <w:rFonts w:asciiTheme="majorHAnsi" w:eastAsia="Times New Roman" w:hAnsiTheme="majorHAnsi" w:cs="Calibri"/>
                <w:color w:val="000000"/>
                <w:sz w:val="16"/>
                <w:szCs w:val="16"/>
                <w:lang w:eastAsia="en-GB"/>
              </w:rPr>
              <w:t>patients with schizophrenia</w:t>
            </w:r>
            <w:r w:rsidRPr="00825FF0">
              <w:rPr>
                <w:rFonts w:asciiTheme="majorHAnsi" w:eastAsia="Times New Roman" w:hAnsiTheme="majorHAnsi" w:cs="Calibri"/>
                <w:color w:val="000000"/>
                <w:sz w:val="16"/>
                <w:szCs w:val="16"/>
                <w:lang w:eastAsia="en-GB"/>
              </w:rPr>
              <w:t xml:space="preserve"> in three groups: (1) during detoxification </w:t>
            </w:r>
            <w:r w:rsidR="00EB5138">
              <w:rPr>
                <w:rFonts w:asciiTheme="majorHAnsi" w:eastAsia="Times New Roman" w:hAnsiTheme="majorHAnsi" w:cs="Calibri"/>
                <w:color w:val="000000"/>
                <w:sz w:val="16"/>
                <w:szCs w:val="16"/>
                <w:lang w:eastAsia="en-GB"/>
              </w:rPr>
              <w:t xml:space="preserve">from benzodiazepines </w:t>
            </w:r>
            <w:r w:rsidRPr="00825FF0">
              <w:rPr>
                <w:rFonts w:asciiTheme="majorHAnsi" w:eastAsia="Times New Roman" w:hAnsiTheme="majorHAnsi" w:cs="Calibri"/>
                <w:color w:val="000000"/>
                <w:sz w:val="16"/>
                <w:szCs w:val="16"/>
                <w:lang w:eastAsia="en-GB"/>
              </w:rPr>
              <w:t>(N = 13), (2) after detoxification (N = 15), (3) a</w:t>
            </w:r>
            <w:r w:rsidRPr="00825FF0">
              <w:rPr>
                <w:rFonts w:asciiTheme="majorHAnsi" w:eastAsia="Times New Roman" w:hAnsiTheme="majorHAnsi" w:cs="Calibri"/>
                <w:color w:val="000000"/>
                <w:sz w:val="16"/>
                <w:szCs w:val="16"/>
                <w:lang w:eastAsia="en-GB"/>
              </w:rPr>
              <w:br/>
              <w:t>matched control group (N = 15).</w:t>
            </w:r>
          </w:p>
        </w:tc>
        <w:tc>
          <w:tcPr>
            <w:tcW w:w="1320" w:type="dxa"/>
            <w:tcBorders>
              <w:top w:val="nil"/>
              <w:left w:val="nil"/>
              <w:bottom w:val="single" w:sz="4" w:space="0" w:color="auto"/>
              <w:right w:val="single" w:sz="4" w:space="0" w:color="auto"/>
            </w:tcBorders>
            <w:shd w:val="clear" w:color="auto" w:fill="auto"/>
            <w:hideMark/>
          </w:tcPr>
          <w:p w14:paraId="3EFF7CE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p>
        </w:tc>
        <w:tc>
          <w:tcPr>
            <w:tcW w:w="1363" w:type="dxa"/>
            <w:tcBorders>
              <w:top w:val="nil"/>
              <w:left w:val="nil"/>
              <w:bottom w:val="single" w:sz="4" w:space="0" w:color="auto"/>
              <w:right w:val="single" w:sz="4" w:space="0" w:color="auto"/>
            </w:tcBorders>
            <w:shd w:val="clear" w:color="auto" w:fill="auto"/>
            <w:hideMark/>
          </w:tcPr>
          <w:p w14:paraId="6A684C7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concentrations of BZD differed significantly between patients</w:t>
            </w:r>
          </w:p>
        </w:tc>
        <w:tc>
          <w:tcPr>
            <w:tcW w:w="0" w:type="auto"/>
            <w:tcBorders>
              <w:top w:val="nil"/>
              <w:left w:val="nil"/>
              <w:bottom w:val="single" w:sz="4" w:space="0" w:color="auto"/>
              <w:right w:val="single" w:sz="4" w:space="0" w:color="auto"/>
            </w:tcBorders>
            <w:shd w:val="clear" w:color="auto" w:fill="auto"/>
            <w:hideMark/>
          </w:tcPr>
          <w:p w14:paraId="3E4B40A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67FD5B4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7DA3AD9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Processing/Empathy</w:t>
            </w:r>
          </w:p>
        </w:tc>
        <w:tc>
          <w:tcPr>
            <w:tcW w:w="0" w:type="auto"/>
            <w:tcBorders>
              <w:top w:val="nil"/>
              <w:left w:val="nil"/>
              <w:bottom w:val="single" w:sz="4" w:space="0" w:color="auto"/>
              <w:right w:val="single" w:sz="4" w:space="0" w:color="auto"/>
            </w:tcBorders>
            <w:shd w:val="clear" w:color="auto" w:fill="auto"/>
            <w:hideMark/>
          </w:tcPr>
          <w:p w14:paraId="0B47BBA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Computerised emotion recognition task/Empathy Quotient</w:t>
            </w:r>
          </w:p>
        </w:tc>
        <w:tc>
          <w:tcPr>
            <w:tcW w:w="0" w:type="auto"/>
            <w:tcBorders>
              <w:top w:val="nil"/>
              <w:left w:val="nil"/>
              <w:bottom w:val="single" w:sz="4" w:space="0" w:color="auto"/>
              <w:right w:val="single" w:sz="4" w:space="0" w:color="auto"/>
            </w:tcBorders>
            <w:shd w:val="clear" w:color="auto" w:fill="auto"/>
            <w:hideMark/>
          </w:tcPr>
          <w:p w14:paraId="59F5921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single" w:sz="4" w:space="0" w:color="auto"/>
            </w:tcBorders>
            <w:shd w:val="clear" w:color="auto" w:fill="auto"/>
            <w:hideMark/>
          </w:tcPr>
          <w:p w14:paraId="3CF323B9" w14:textId="3EBA5872"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(during detox) addicted to benzodiazepines decreased ability to recognise emotions. Specifically, negative emotions (fear, sadness, and anger) compared to healthy volunteers</w:t>
            </w:r>
          </w:p>
        </w:tc>
        <w:tc>
          <w:tcPr>
            <w:tcW w:w="0" w:type="auto"/>
            <w:tcBorders>
              <w:top w:val="nil"/>
              <w:left w:val="nil"/>
              <w:bottom w:val="single" w:sz="4" w:space="0" w:color="auto"/>
              <w:right w:val="nil"/>
            </w:tcBorders>
            <w:shd w:val="clear" w:color="auto" w:fill="auto"/>
            <w:hideMark/>
          </w:tcPr>
          <w:p w14:paraId="56AE4B1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Patients going through detoxification of bzds could be experiencing more severe symptoms than those addicted – may impact general emotional outcomes – no assessment of withdrawal symptoms</w:t>
            </w:r>
            <w:r w:rsidRPr="00825FF0">
              <w:rPr>
                <w:rFonts w:asciiTheme="majorHAnsi" w:eastAsia="Times New Roman" w:hAnsiTheme="majorHAnsi" w:cs="Calibri"/>
                <w:color w:val="000000"/>
                <w:sz w:val="16"/>
                <w:szCs w:val="16"/>
                <w:lang w:eastAsia="en-GB"/>
              </w:rPr>
              <w:br/>
              <w:t>• Small sample size</w:t>
            </w:r>
            <w:r w:rsidRPr="00825FF0">
              <w:rPr>
                <w:rFonts w:asciiTheme="majorHAnsi" w:eastAsia="Times New Roman" w:hAnsiTheme="majorHAnsi" w:cs="Calibri"/>
                <w:color w:val="000000"/>
                <w:sz w:val="16"/>
                <w:szCs w:val="16"/>
                <w:lang w:eastAsia="en-GB"/>
              </w:rPr>
              <w:br/>
              <w:t>• Did not control for anxiety and depression</w:t>
            </w:r>
          </w:p>
        </w:tc>
        <w:tc>
          <w:tcPr>
            <w:tcW w:w="0" w:type="auto"/>
            <w:tcBorders>
              <w:top w:val="nil"/>
              <w:left w:val="single" w:sz="4" w:space="0" w:color="auto"/>
              <w:bottom w:val="single" w:sz="4" w:space="0" w:color="auto"/>
              <w:right w:val="single" w:sz="4" w:space="0" w:color="auto"/>
            </w:tcBorders>
            <w:shd w:val="clear" w:color="auto" w:fill="auto"/>
            <w:hideMark/>
          </w:tcPr>
          <w:p w14:paraId="7783BE38"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12</w:t>
            </w:r>
          </w:p>
        </w:tc>
      </w:tr>
      <w:tr w:rsidR="00825FF0" w:rsidRPr="00825FF0" w14:paraId="48B83D88" w14:textId="77777777" w:rsidTr="00825FF0">
        <w:trPr>
          <w:trHeight w:val="780"/>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777E70BF"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t>Neuroimaging Studies (healthy volunteer and patient studies)</w:t>
            </w:r>
          </w:p>
        </w:tc>
      </w:tr>
      <w:tr w:rsidR="00EB5138" w:rsidRPr="00825FF0" w14:paraId="65C01783" w14:textId="77777777" w:rsidTr="00825FF0">
        <w:trPr>
          <w:trHeight w:val="1300"/>
        </w:trPr>
        <w:tc>
          <w:tcPr>
            <w:tcW w:w="0" w:type="auto"/>
            <w:tcBorders>
              <w:top w:val="nil"/>
              <w:left w:val="single" w:sz="4" w:space="0" w:color="auto"/>
              <w:bottom w:val="single" w:sz="4" w:space="0" w:color="auto"/>
              <w:right w:val="single" w:sz="4" w:space="0" w:color="auto"/>
            </w:tcBorders>
            <w:shd w:val="clear" w:color="auto" w:fill="auto"/>
            <w:hideMark/>
          </w:tcPr>
          <w:p w14:paraId="32870BA1"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Paulus et al (2005)</w:t>
            </w:r>
          </w:p>
          <w:p w14:paraId="057243BB" w14:textId="77777777" w:rsidR="001C29C5" w:rsidRDefault="001C29C5" w:rsidP="00825FF0">
            <w:pPr>
              <w:rPr>
                <w:rFonts w:asciiTheme="majorHAnsi" w:eastAsia="Times New Roman" w:hAnsiTheme="majorHAnsi" w:cs="Calibri"/>
                <w:color w:val="000000"/>
                <w:sz w:val="16"/>
                <w:szCs w:val="16"/>
                <w:lang w:eastAsia="en-GB"/>
              </w:rPr>
            </w:pPr>
          </w:p>
          <w:p w14:paraId="5F1D64D8" w14:textId="1022066B"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50</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05B2958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placebo-controlled, randomised dose-response study.</w:t>
            </w:r>
          </w:p>
        </w:tc>
        <w:tc>
          <w:tcPr>
            <w:tcW w:w="0" w:type="auto"/>
            <w:tcBorders>
              <w:top w:val="nil"/>
              <w:left w:val="nil"/>
              <w:bottom w:val="single" w:sz="4" w:space="0" w:color="auto"/>
              <w:right w:val="single" w:sz="4" w:space="0" w:color="auto"/>
            </w:tcBorders>
            <w:shd w:val="clear" w:color="auto" w:fill="auto"/>
            <w:hideMark/>
          </w:tcPr>
          <w:p w14:paraId="2F1F147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 healthy volunteers</w:t>
            </w:r>
          </w:p>
        </w:tc>
        <w:tc>
          <w:tcPr>
            <w:tcW w:w="1320" w:type="dxa"/>
            <w:tcBorders>
              <w:top w:val="nil"/>
              <w:left w:val="nil"/>
              <w:bottom w:val="single" w:sz="4" w:space="0" w:color="auto"/>
              <w:right w:val="single" w:sz="4" w:space="0" w:color="auto"/>
            </w:tcBorders>
            <w:shd w:val="clear" w:color="auto" w:fill="auto"/>
            <w:hideMark/>
          </w:tcPr>
          <w:p w14:paraId="5660EA7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Lorazepam</w:t>
            </w:r>
          </w:p>
        </w:tc>
        <w:tc>
          <w:tcPr>
            <w:tcW w:w="1363" w:type="dxa"/>
            <w:tcBorders>
              <w:top w:val="nil"/>
              <w:left w:val="nil"/>
              <w:bottom w:val="single" w:sz="4" w:space="0" w:color="auto"/>
              <w:right w:val="single" w:sz="4" w:space="0" w:color="auto"/>
            </w:tcBorders>
            <w:shd w:val="clear" w:color="auto" w:fill="auto"/>
            <w:hideMark/>
          </w:tcPr>
          <w:p w14:paraId="5F0F3A1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0.25 or 1mg</w:t>
            </w:r>
          </w:p>
        </w:tc>
        <w:tc>
          <w:tcPr>
            <w:tcW w:w="0" w:type="auto"/>
            <w:tcBorders>
              <w:top w:val="nil"/>
              <w:left w:val="nil"/>
              <w:bottom w:val="single" w:sz="4" w:space="0" w:color="auto"/>
              <w:right w:val="single" w:sz="4" w:space="0" w:color="auto"/>
            </w:tcBorders>
            <w:shd w:val="clear" w:color="auto" w:fill="auto"/>
            <w:hideMark/>
          </w:tcPr>
          <w:p w14:paraId="66341E9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788603A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48463EF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49EA266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Emotional Face Assessment Task - fMRI</w:t>
            </w:r>
          </w:p>
        </w:tc>
        <w:tc>
          <w:tcPr>
            <w:tcW w:w="0" w:type="auto"/>
            <w:tcBorders>
              <w:top w:val="nil"/>
              <w:left w:val="nil"/>
              <w:bottom w:val="single" w:sz="4" w:space="0" w:color="auto"/>
              <w:right w:val="single" w:sz="4" w:space="0" w:color="auto"/>
            </w:tcBorders>
            <w:shd w:val="clear" w:color="auto" w:fill="auto"/>
            <w:hideMark/>
          </w:tcPr>
          <w:p w14:paraId="36D1133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single" w:sz="4" w:space="0" w:color="auto"/>
            </w:tcBorders>
            <w:shd w:val="clear" w:color="auto" w:fill="auto"/>
            <w:hideMark/>
          </w:tcPr>
          <w:p w14:paraId="0DDBFDB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Lorazepam decreased activation in Amygdala and Insula when viewing emotional faces.</w:t>
            </w:r>
          </w:p>
        </w:tc>
        <w:tc>
          <w:tcPr>
            <w:tcW w:w="0" w:type="auto"/>
            <w:tcBorders>
              <w:top w:val="nil"/>
              <w:left w:val="nil"/>
              <w:bottom w:val="single" w:sz="4" w:space="0" w:color="auto"/>
              <w:right w:val="nil"/>
            </w:tcBorders>
            <w:shd w:val="clear" w:color="auto" w:fill="auto"/>
            <w:hideMark/>
          </w:tcPr>
          <w:p w14:paraId="4BA197F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follow-up</w:t>
            </w:r>
            <w:r w:rsidRPr="00825FF0">
              <w:rPr>
                <w:rFonts w:asciiTheme="majorHAnsi" w:eastAsia="Times New Roman" w:hAnsiTheme="majorHAnsi" w:cs="Calibri"/>
                <w:color w:val="000000"/>
                <w:sz w:val="16"/>
                <w:szCs w:val="16"/>
                <w:lang w:eastAsia="en-GB"/>
              </w:rPr>
              <w:br/>
              <w:t>• Limited sample size</w:t>
            </w:r>
          </w:p>
        </w:tc>
        <w:tc>
          <w:tcPr>
            <w:tcW w:w="0" w:type="auto"/>
            <w:tcBorders>
              <w:top w:val="nil"/>
              <w:left w:val="single" w:sz="4" w:space="0" w:color="auto"/>
              <w:bottom w:val="single" w:sz="4" w:space="0" w:color="auto"/>
              <w:right w:val="single" w:sz="4" w:space="0" w:color="auto"/>
            </w:tcBorders>
            <w:shd w:val="clear" w:color="auto" w:fill="auto"/>
            <w:hideMark/>
          </w:tcPr>
          <w:p w14:paraId="1150D9CC"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20</w:t>
            </w:r>
          </w:p>
        </w:tc>
      </w:tr>
      <w:tr w:rsidR="00EB5138" w:rsidRPr="00825FF0" w14:paraId="38A57238" w14:textId="77777777" w:rsidTr="00825FF0">
        <w:trPr>
          <w:trHeight w:val="2686"/>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A8CD2BC"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Olofsson et al (2011)</w:t>
            </w:r>
          </w:p>
          <w:p w14:paraId="622C8A33" w14:textId="77777777" w:rsidR="001C29C5" w:rsidRDefault="001C29C5" w:rsidP="00825FF0">
            <w:pPr>
              <w:rPr>
                <w:rFonts w:asciiTheme="majorHAnsi" w:eastAsia="Times New Roman" w:hAnsiTheme="majorHAnsi" w:cs="Calibri"/>
                <w:color w:val="000000"/>
                <w:sz w:val="16"/>
                <w:szCs w:val="16"/>
                <w:lang w:eastAsia="en-GB"/>
              </w:rPr>
            </w:pPr>
          </w:p>
          <w:p w14:paraId="1552E378" w14:textId="0A559374"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[44]</w:t>
            </w:r>
          </w:p>
        </w:tc>
        <w:tc>
          <w:tcPr>
            <w:tcW w:w="0" w:type="auto"/>
            <w:tcBorders>
              <w:top w:val="single" w:sz="4" w:space="0" w:color="auto"/>
              <w:left w:val="nil"/>
              <w:bottom w:val="single" w:sz="4" w:space="0" w:color="auto"/>
              <w:right w:val="single" w:sz="4" w:space="0" w:color="auto"/>
            </w:tcBorders>
            <w:shd w:val="clear" w:color="auto" w:fill="auto"/>
            <w:hideMark/>
          </w:tcPr>
          <w:p w14:paraId="27ED352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experimental task.</w:t>
            </w:r>
          </w:p>
        </w:tc>
        <w:tc>
          <w:tcPr>
            <w:tcW w:w="0" w:type="auto"/>
            <w:tcBorders>
              <w:top w:val="single" w:sz="4" w:space="0" w:color="auto"/>
              <w:left w:val="nil"/>
              <w:bottom w:val="single" w:sz="4" w:space="0" w:color="auto"/>
              <w:right w:val="single" w:sz="4" w:space="0" w:color="auto"/>
            </w:tcBorders>
            <w:shd w:val="clear" w:color="auto" w:fill="auto"/>
            <w:hideMark/>
          </w:tcPr>
          <w:p w14:paraId="521C183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45 healthy volunteers</w:t>
            </w:r>
          </w:p>
        </w:tc>
        <w:tc>
          <w:tcPr>
            <w:tcW w:w="1320" w:type="dxa"/>
            <w:tcBorders>
              <w:top w:val="single" w:sz="4" w:space="0" w:color="auto"/>
              <w:left w:val="nil"/>
              <w:bottom w:val="single" w:sz="4" w:space="0" w:color="auto"/>
              <w:right w:val="single" w:sz="4" w:space="0" w:color="auto"/>
            </w:tcBorders>
            <w:shd w:val="clear" w:color="auto" w:fill="auto"/>
            <w:hideMark/>
          </w:tcPr>
          <w:p w14:paraId="1AD9DF0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Oxazepam</w:t>
            </w:r>
          </w:p>
        </w:tc>
        <w:tc>
          <w:tcPr>
            <w:tcW w:w="1363" w:type="dxa"/>
            <w:tcBorders>
              <w:top w:val="single" w:sz="4" w:space="0" w:color="auto"/>
              <w:left w:val="nil"/>
              <w:bottom w:val="single" w:sz="4" w:space="0" w:color="auto"/>
              <w:right w:val="single" w:sz="4" w:space="0" w:color="auto"/>
            </w:tcBorders>
            <w:shd w:val="clear" w:color="auto" w:fill="auto"/>
            <w:hideMark/>
          </w:tcPr>
          <w:p w14:paraId="334E02B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20mg</w:t>
            </w:r>
          </w:p>
        </w:tc>
        <w:tc>
          <w:tcPr>
            <w:tcW w:w="0" w:type="auto"/>
            <w:tcBorders>
              <w:top w:val="single" w:sz="4" w:space="0" w:color="auto"/>
              <w:left w:val="nil"/>
              <w:bottom w:val="single" w:sz="4" w:space="0" w:color="auto"/>
              <w:right w:val="single" w:sz="4" w:space="0" w:color="auto"/>
            </w:tcBorders>
            <w:shd w:val="clear" w:color="auto" w:fill="auto"/>
            <w:hideMark/>
          </w:tcPr>
          <w:p w14:paraId="52CABA8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single" w:sz="4" w:space="0" w:color="auto"/>
              <w:left w:val="nil"/>
              <w:bottom w:val="single" w:sz="4" w:space="0" w:color="auto"/>
              <w:right w:val="single" w:sz="4" w:space="0" w:color="auto"/>
            </w:tcBorders>
            <w:shd w:val="clear" w:color="auto" w:fill="auto"/>
            <w:hideMark/>
          </w:tcPr>
          <w:p w14:paraId="4663F3D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single" w:sz="4" w:space="0" w:color="auto"/>
              <w:left w:val="nil"/>
              <w:bottom w:val="single" w:sz="4" w:space="0" w:color="auto"/>
              <w:right w:val="single" w:sz="4" w:space="0" w:color="auto"/>
            </w:tcBorders>
            <w:shd w:val="clear" w:color="auto" w:fill="auto"/>
            <w:hideMark/>
          </w:tcPr>
          <w:p w14:paraId="038F3F0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2972A06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Affective Processing Task - EEG</w:t>
            </w:r>
          </w:p>
        </w:tc>
        <w:tc>
          <w:tcPr>
            <w:tcW w:w="0" w:type="auto"/>
            <w:tcBorders>
              <w:top w:val="single" w:sz="4" w:space="0" w:color="auto"/>
              <w:left w:val="nil"/>
              <w:bottom w:val="single" w:sz="4" w:space="0" w:color="auto"/>
              <w:right w:val="single" w:sz="4" w:space="0" w:color="auto"/>
            </w:tcBorders>
            <w:shd w:val="clear" w:color="auto" w:fill="auto"/>
            <w:hideMark/>
          </w:tcPr>
          <w:p w14:paraId="2D81531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 week</w:t>
            </w:r>
          </w:p>
        </w:tc>
        <w:tc>
          <w:tcPr>
            <w:tcW w:w="0" w:type="auto"/>
            <w:tcBorders>
              <w:top w:val="single" w:sz="4" w:space="0" w:color="auto"/>
              <w:left w:val="nil"/>
              <w:bottom w:val="single" w:sz="4" w:space="0" w:color="auto"/>
              <w:right w:val="single" w:sz="4" w:space="0" w:color="auto"/>
            </w:tcBorders>
            <w:shd w:val="clear" w:color="auto" w:fill="auto"/>
            <w:hideMark/>
          </w:tcPr>
          <w:p w14:paraId="555E270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Oxazepam does not influence electrocortical indexes of emotional perception</w:t>
            </w:r>
          </w:p>
        </w:tc>
        <w:tc>
          <w:tcPr>
            <w:tcW w:w="0" w:type="auto"/>
            <w:tcBorders>
              <w:top w:val="single" w:sz="4" w:space="0" w:color="auto"/>
              <w:left w:val="nil"/>
              <w:bottom w:val="single" w:sz="4" w:space="0" w:color="auto"/>
              <w:right w:val="nil"/>
            </w:tcBorders>
            <w:shd w:val="clear" w:color="auto" w:fill="auto"/>
            <w:hideMark/>
          </w:tcPr>
          <w:p w14:paraId="180BE07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patient sample</w:t>
            </w:r>
            <w:r w:rsidRPr="00825FF0">
              <w:rPr>
                <w:rFonts w:asciiTheme="majorHAnsi" w:eastAsia="Times New Roman" w:hAnsiTheme="majorHAnsi" w:cs="Calibri"/>
                <w:color w:val="000000"/>
                <w:sz w:val="16"/>
                <w:szCs w:val="16"/>
                <w:lang w:eastAsia="en-GB"/>
              </w:rPr>
              <w:br/>
              <w:t>• Only one medication type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AAEA2BA"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14</w:t>
            </w:r>
          </w:p>
        </w:tc>
      </w:tr>
      <w:tr w:rsidR="00EB5138" w:rsidRPr="00825FF0" w14:paraId="33765D3E" w14:textId="77777777" w:rsidTr="00825FF0">
        <w:trPr>
          <w:trHeight w:val="2000"/>
        </w:trPr>
        <w:tc>
          <w:tcPr>
            <w:tcW w:w="0" w:type="auto"/>
            <w:tcBorders>
              <w:top w:val="nil"/>
              <w:left w:val="single" w:sz="4" w:space="0" w:color="auto"/>
              <w:bottom w:val="single" w:sz="4" w:space="0" w:color="auto"/>
              <w:right w:val="single" w:sz="4" w:space="0" w:color="auto"/>
            </w:tcBorders>
            <w:shd w:val="clear" w:color="auto" w:fill="auto"/>
            <w:hideMark/>
          </w:tcPr>
          <w:p w14:paraId="6246BDD2"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Del-Ben et al (2012)</w:t>
            </w:r>
          </w:p>
          <w:p w14:paraId="77A9AD48" w14:textId="77777777" w:rsidR="001C29C5" w:rsidRDefault="001C29C5" w:rsidP="00825FF0">
            <w:pPr>
              <w:rPr>
                <w:rFonts w:asciiTheme="majorHAnsi" w:eastAsia="Times New Roman" w:hAnsiTheme="majorHAnsi" w:cs="Calibri"/>
                <w:color w:val="000000"/>
                <w:sz w:val="16"/>
                <w:szCs w:val="16"/>
                <w:lang w:eastAsia="en-GB"/>
              </w:rPr>
            </w:pPr>
          </w:p>
          <w:p w14:paraId="3E1B8E1C" w14:textId="74BD6125"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51</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422791C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Randomised, balanced-order, double-blind, placebo-controlled crossover design</w:t>
            </w:r>
          </w:p>
        </w:tc>
        <w:tc>
          <w:tcPr>
            <w:tcW w:w="0" w:type="auto"/>
            <w:tcBorders>
              <w:top w:val="nil"/>
              <w:left w:val="nil"/>
              <w:bottom w:val="single" w:sz="4" w:space="0" w:color="auto"/>
              <w:right w:val="single" w:sz="4" w:space="0" w:color="auto"/>
            </w:tcBorders>
            <w:shd w:val="clear" w:color="auto" w:fill="auto"/>
            <w:hideMark/>
          </w:tcPr>
          <w:p w14:paraId="030F5AD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12 healthy volunteers</w:t>
            </w:r>
          </w:p>
        </w:tc>
        <w:tc>
          <w:tcPr>
            <w:tcW w:w="1320" w:type="dxa"/>
            <w:tcBorders>
              <w:top w:val="nil"/>
              <w:left w:val="nil"/>
              <w:bottom w:val="single" w:sz="4" w:space="0" w:color="auto"/>
              <w:right w:val="single" w:sz="4" w:space="0" w:color="auto"/>
            </w:tcBorders>
            <w:shd w:val="clear" w:color="auto" w:fill="auto"/>
            <w:hideMark/>
          </w:tcPr>
          <w:p w14:paraId="7F1C35F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Diazepam</w:t>
            </w:r>
          </w:p>
        </w:tc>
        <w:tc>
          <w:tcPr>
            <w:tcW w:w="1363" w:type="dxa"/>
            <w:tcBorders>
              <w:top w:val="nil"/>
              <w:left w:val="nil"/>
              <w:bottom w:val="single" w:sz="4" w:space="0" w:color="auto"/>
              <w:right w:val="single" w:sz="4" w:space="0" w:color="auto"/>
            </w:tcBorders>
            <w:shd w:val="clear" w:color="auto" w:fill="auto"/>
            <w:hideMark/>
          </w:tcPr>
          <w:p w14:paraId="784EC1A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10mg</w:t>
            </w:r>
          </w:p>
        </w:tc>
        <w:tc>
          <w:tcPr>
            <w:tcW w:w="0" w:type="auto"/>
            <w:tcBorders>
              <w:top w:val="nil"/>
              <w:left w:val="nil"/>
              <w:bottom w:val="single" w:sz="4" w:space="0" w:color="auto"/>
              <w:right w:val="single" w:sz="4" w:space="0" w:color="auto"/>
            </w:tcBorders>
            <w:shd w:val="clear" w:color="auto" w:fill="auto"/>
            <w:hideMark/>
          </w:tcPr>
          <w:p w14:paraId="0068501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3CD4E77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4EC0455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413076D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7B4CE3D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single" w:sz="4" w:space="0" w:color="auto"/>
            </w:tcBorders>
            <w:shd w:val="clear" w:color="auto" w:fill="auto"/>
            <w:hideMark/>
          </w:tcPr>
          <w:p w14:paraId="4FCD63A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Diazepam impaired the recognition of fear in female faces</w:t>
            </w:r>
            <w:r w:rsidRPr="00825FF0">
              <w:rPr>
                <w:rFonts w:asciiTheme="majorHAnsi" w:eastAsia="Times New Roman" w:hAnsiTheme="majorHAnsi" w:cs="Calibri"/>
                <w:color w:val="000000"/>
                <w:sz w:val="16"/>
                <w:szCs w:val="16"/>
                <w:lang w:eastAsia="en-GB"/>
              </w:rPr>
              <w:br/>
              <w:t>• Reduced activation in right Amygdala and right OFC</w:t>
            </w:r>
            <w:r w:rsidRPr="00825FF0">
              <w:rPr>
                <w:rFonts w:asciiTheme="majorHAnsi" w:eastAsia="Times New Roman" w:hAnsiTheme="majorHAnsi" w:cs="Calibri"/>
                <w:color w:val="000000"/>
                <w:sz w:val="16"/>
                <w:szCs w:val="16"/>
                <w:lang w:eastAsia="en-GB"/>
              </w:rPr>
              <w:br/>
              <w:t>• Reduced activation of bilateral ACC to angry faces</w:t>
            </w:r>
            <w:r w:rsidRPr="00825FF0">
              <w:rPr>
                <w:rFonts w:asciiTheme="majorHAnsi" w:eastAsia="Times New Roman" w:hAnsiTheme="majorHAnsi" w:cs="Calibri"/>
                <w:color w:val="000000"/>
                <w:sz w:val="16"/>
                <w:szCs w:val="16"/>
                <w:lang w:eastAsia="en-GB"/>
              </w:rPr>
              <w:br/>
              <w:t>• Enhanced activation of posterior left Insula</w:t>
            </w:r>
          </w:p>
        </w:tc>
        <w:tc>
          <w:tcPr>
            <w:tcW w:w="0" w:type="auto"/>
            <w:tcBorders>
              <w:top w:val="nil"/>
              <w:left w:val="nil"/>
              <w:bottom w:val="single" w:sz="4" w:space="0" w:color="auto"/>
              <w:right w:val="nil"/>
            </w:tcBorders>
            <w:shd w:val="clear" w:color="auto" w:fill="auto"/>
            <w:hideMark/>
          </w:tcPr>
          <w:p w14:paraId="1573FE1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r w:rsidRPr="00825FF0">
              <w:rPr>
                <w:rFonts w:asciiTheme="majorHAnsi" w:eastAsia="Times New Roman" w:hAnsiTheme="majorHAnsi" w:cs="Calibri"/>
                <w:color w:val="000000"/>
                <w:sz w:val="16"/>
                <w:szCs w:val="16"/>
                <w:lang w:eastAsia="en-GB"/>
              </w:rPr>
              <w:br/>
              <w:t>• Patients may be aware of treatment arm</w:t>
            </w:r>
          </w:p>
        </w:tc>
        <w:tc>
          <w:tcPr>
            <w:tcW w:w="0" w:type="auto"/>
            <w:tcBorders>
              <w:top w:val="nil"/>
              <w:left w:val="single" w:sz="4" w:space="0" w:color="auto"/>
              <w:bottom w:val="single" w:sz="4" w:space="0" w:color="auto"/>
              <w:right w:val="single" w:sz="4" w:space="0" w:color="auto"/>
            </w:tcBorders>
            <w:shd w:val="clear" w:color="auto" w:fill="auto"/>
            <w:hideMark/>
          </w:tcPr>
          <w:p w14:paraId="1DE69F34"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17</w:t>
            </w:r>
          </w:p>
        </w:tc>
      </w:tr>
      <w:tr w:rsidR="00EB5138" w:rsidRPr="00825FF0" w14:paraId="4467BA7C" w14:textId="77777777" w:rsidTr="004F0A11">
        <w:trPr>
          <w:trHeight w:val="3399"/>
        </w:trPr>
        <w:tc>
          <w:tcPr>
            <w:tcW w:w="0" w:type="auto"/>
            <w:tcBorders>
              <w:top w:val="nil"/>
              <w:left w:val="single" w:sz="4" w:space="0" w:color="auto"/>
              <w:bottom w:val="single" w:sz="4" w:space="0" w:color="auto"/>
              <w:right w:val="single" w:sz="4" w:space="0" w:color="auto"/>
            </w:tcBorders>
            <w:shd w:val="clear" w:color="auto" w:fill="auto"/>
            <w:hideMark/>
          </w:tcPr>
          <w:p w14:paraId="2C08A8A7"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Richter et al (2010)</w:t>
            </w:r>
          </w:p>
          <w:p w14:paraId="66163379" w14:textId="77777777" w:rsidR="001C29C5" w:rsidRDefault="001C29C5" w:rsidP="00825FF0">
            <w:pPr>
              <w:rPr>
                <w:rFonts w:asciiTheme="majorHAnsi" w:eastAsia="Times New Roman" w:hAnsiTheme="majorHAnsi" w:cs="Calibri"/>
                <w:color w:val="000000"/>
                <w:sz w:val="16"/>
                <w:szCs w:val="16"/>
                <w:lang w:eastAsia="en-GB"/>
              </w:rPr>
            </w:pPr>
          </w:p>
          <w:p w14:paraId="5EE3D4B6" w14:textId="68F22162"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52</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6564250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Double-blind independent group design</w:t>
            </w:r>
          </w:p>
        </w:tc>
        <w:tc>
          <w:tcPr>
            <w:tcW w:w="0" w:type="auto"/>
            <w:tcBorders>
              <w:top w:val="nil"/>
              <w:left w:val="nil"/>
              <w:bottom w:val="single" w:sz="4" w:space="0" w:color="auto"/>
              <w:right w:val="single" w:sz="4" w:space="0" w:color="auto"/>
            </w:tcBorders>
            <w:shd w:val="clear" w:color="auto" w:fill="auto"/>
            <w:hideMark/>
          </w:tcPr>
          <w:p w14:paraId="4DEC7DDD" w14:textId="58B992EA"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6 catatonic </w:t>
            </w:r>
            <w:r w:rsidR="00E02518">
              <w:rPr>
                <w:rFonts w:asciiTheme="majorHAnsi" w:eastAsia="Times New Roman" w:hAnsiTheme="majorHAnsi" w:cs="Calibri"/>
                <w:color w:val="000000"/>
                <w:sz w:val="16"/>
                <w:szCs w:val="16"/>
                <w:lang w:eastAsia="en-GB"/>
              </w:rPr>
              <w:t xml:space="preserve">schizophrenia </w:t>
            </w:r>
            <w:r w:rsidRPr="00825FF0">
              <w:rPr>
                <w:rFonts w:asciiTheme="majorHAnsi" w:eastAsia="Times New Roman" w:hAnsiTheme="majorHAnsi" w:cs="Calibri"/>
                <w:color w:val="000000"/>
                <w:sz w:val="16"/>
                <w:szCs w:val="16"/>
                <w:lang w:eastAsia="en-GB"/>
              </w:rPr>
              <w:t>patients (recovered)</w:t>
            </w:r>
            <w:r w:rsidRPr="00825FF0">
              <w:rPr>
                <w:rFonts w:asciiTheme="majorHAnsi" w:eastAsia="Times New Roman" w:hAnsiTheme="majorHAnsi" w:cs="Calibri"/>
                <w:color w:val="000000"/>
                <w:sz w:val="16"/>
                <w:szCs w:val="16"/>
                <w:lang w:eastAsia="en-GB"/>
              </w:rPr>
              <w:br/>
              <w:t>16 healthy controls (8 placebo/8 Lorazepam)</w:t>
            </w:r>
          </w:p>
        </w:tc>
        <w:tc>
          <w:tcPr>
            <w:tcW w:w="1320" w:type="dxa"/>
            <w:tcBorders>
              <w:top w:val="nil"/>
              <w:left w:val="nil"/>
              <w:bottom w:val="single" w:sz="4" w:space="0" w:color="auto"/>
              <w:right w:val="single" w:sz="4" w:space="0" w:color="auto"/>
            </w:tcBorders>
            <w:shd w:val="clear" w:color="auto" w:fill="auto"/>
            <w:hideMark/>
          </w:tcPr>
          <w:p w14:paraId="04A573B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Lorazepam</w:t>
            </w:r>
          </w:p>
        </w:tc>
        <w:tc>
          <w:tcPr>
            <w:tcW w:w="1363" w:type="dxa"/>
            <w:tcBorders>
              <w:top w:val="nil"/>
              <w:left w:val="nil"/>
              <w:bottom w:val="single" w:sz="4" w:space="0" w:color="auto"/>
              <w:right w:val="single" w:sz="4" w:space="0" w:color="auto"/>
            </w:tcBorders>
            <w:shd w:val="clear" w:color="auto" w:fill="auto"/>
            <w:hideMark/>
          </w:tcPr>
          <w:p w14:paraId="5A54BA3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A dose of lorazepam 1–2.5 mg was administrated intravenously 2–4 </w:t>
            </w:r>
            <w:proofErr w:type="gramStart"/>
            <w:r w:rsidRPr="00825FF0">
              <w:rPr>
                <w:rFonts w:asciiTheme="majorHAnsi" w:eastAsia="Times New Roman" w:hAnsiTheme="majorHAnsi" w:cs="Calibri"/>
                <w:color w:val="000000"/>
                <w:sz w:val="16"/>
                <w:szCs w:val="16"/>
                <w:lang w:eastAsia="en-GB"/>
              </w:rPr>
              <w:t>times(</w:t>
            </w:r>
            <w:proofErr w:type="gramEnd"/>
            <w:r w:rsidRPr="00825FF0">
              <w:rPr>
                <w:rFonts w:asciiTheme="majorHAnsi" w:eastAsia="Times New Roman" w:hAnsiTheme="majorHAnsi" w:cs="Calibri"/>
                <w:color w:val="000000"/>
                <w:sz w:val="16"/>
                <w:szCs w:val="16"/>
                <w:lang w:eastAsia="en-GB"/>
              </w:rPr>
              <w:t>mean: 5.2mg)</w:t>
            </w:r>
          </w:p>
        </w:tc>
        <w:tc>
          <w:tcPr>
            <w:tcW w:w="0" w:type="auto"/>
            <w:tcBorders>
              <w:top w:val="nil"/>
              <w:left w:val="nil"/>
              <w:bottom w:val="single" w:sz="4" w:space="0" w:color="auto"/>
              <w:right w:val="single" w:sz="4" w:space="0" w:color="auto"/>
            </w:tcBorders>
            <w:shd w:val="clear" w:color="auto" w:fill="auto"/>
            <w:hideMark/>
          </w:tcPr>
          <w:p w14:paraId="7F7903E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nil"/>
              <w:left w:val="nil"/>
              <w:bottom w:val="single" w:sz="4" w:space="0" w:color="auto"/>
              <w:right w:val="single" w:sz="4" w:space="0" w:color="auto"/>
            </w:tcBorders>
            <w:shd w:val="clear" w:color="auto" w:fill="auto"/>
            <w:hideMark/>
          </w:tcPr>
          <w:p w14:paraId="6096D38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 (saline)</w:t>
            </w:r>
          </w:p>
        </w:tc>
        <w:tc>
          <w:tcPr>
            <w:tcW w:w="0" w:type="auto"/>
            <w:tcBorders>
              <w:top w:val="nil"/>
              <w:left w:val="nil"/>
              <w:bottom w:val="single" w:sz="4" w:space="0" w:color="auto"/>
              <w:right w:val="single" w:sz="4" w:space="0" w:color="auto"/>
            </w:tcBorders>
            <w:shd w:val="clear" w:color="auto" w:fill="auto"/>
            <w:hideMark/>
          </w:tcPr>
          <w:p w14:paraId="153D1D5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649B306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IAPS - fMRI analysis</w:t>
            </w:r>
          </w:p>
        </w:tc>
        <w:tc>
          <w:tcPr>
            <w:tcW w:w="0" w:type="auto"/>
            <w:tcBorders>
              <w:top w:val="nil"/>
              <w:left w:val="nil"/>
              <w:bottom w:val="single" w:sz="4" w:space="0" w:color="auto"/>
              <w:right w:val="single" w:sz="4" w:space="0" w:color="auto"/>
            </w:tcBorders>
            <w:shd w:val="clear" w:color="auto" w:fill="auto"/>
            <w:hideMark/>
          </w:tcPr>
          <w:p w14:paraId="309DAAA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nil"/>
              <w:left w:val="nil"/>
              <w:bottom w:val="single" w:sz="4" w:space="0" w:color="auto"/>
              <w:right w:val="single" w:sz="4" w:space="0" w:color="auto"/>
            </w:tcBorders>
            <w:shd w:val="clear" w:color="auto" w:fill="auto"/>
            <w:hideMark/>
          </w:tcPr>
          <w:p w14:paraId="2BA989F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High signal decreases in OFC and MPFC in catatonic patients during negative emotional stimulation after Lorazepam administration</w:t>
            </w:r>
          </w:p>
        </w:tc>
        <w:tc>
          <w:tcPr>
            <w:tcW w:w="0" w:type="auto"/>
            <w:tcBorders>
              <w:top w:val="nil"/>
              <w:left w:val="nil"/>
              <w:bottom w:val="single" w:sz="4" w:space="0" w:color="auto"/>
              <w:right w:val="nil"/>
            </w:tcBorders>
            <w:shd w:val="clear" w:color="auto" w:fill="auto"/>
            <w:hideMark/>
          </w:tcPr>
          <w:p w14:paraId="221E776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r w:rsidRPr="00825FF0">
              <w:rPr>
                <w:rFonts w:asciiTheme="majorHAnsi" w:eastAsia="Times New Roman" w:hAnsiTheme="majorHAnsi" w:cs="Calibri"/>
                <w:color w:val="000000"/>
                <w:sz w:val="16"/>
                <w:szCs w:val="16"/>
                <w:lang w:eastAsia="en-GB"/>
              </w:rPr>
              <w:br/>
              <w:t>• Absence of a control group of psychiatric patients</w:t>
            </w:r>
            <w:r w:rsidRPr="00825FF0">
              <w:rPr>
                <w:rFonts w:asciiTheme="majorHAnsi" w:eastAsia="Times New Roman" w:hAnsiTheme="majorHAnsi" w:cs="Calibri"/>
                <w:color w:val="000000"/>
                <w:sz w:val="16"/>
                <w:szCs w:val="16"/>
                <w:lang w:eastAsia="en-GB"/>
              </w:rPr>
              <w:br/>
              <w:t>• fMRI measurements covered only the frontal lobe – so relationship between amygdala and MPFC regarding emotional processes remains unclear</w:t>
            </w:r>
          </w:p>
        </w:tc>
        <w:tc>
          <w:tcPr>
            <w:tcW w:w="0" w:type="auto"/>
            <w:tcBorders>
              <w:top w:val="nil"/>
              <w:left w:val="single" w:sz="4" w:space="0" w:color="auto"/>
              <w:bottom w:val="single" w:sz="4" w:space="0" w:color="auto"/>
              <w:right w:val="single" w:sz="4" w:space="0" w:color="auto"/>
            </w:tcBorders>
            <w:shd w:val="clear" w:color="auto" w:fill="auto"/>
            <w:hideMark/>
          </w:tcPr>
          <w:p w14:paraId="05D7D735"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w:t>
            </w:r>
          </w:p>
        </w:tc>
      </w:tr>
      <w:tr w:rsidR="004F0A11" w:rsidRPr="004F0A11" w14:paraId="301B315A" w14:textId="77777777" w:rsidTr="004F0A11">
        <w:trPr>
          <w:trHeight w:val="320"/>
        </w:trPr>
        <w:tc>
          <w:tcPr>
            <w:tcW w:w="16436" w:type="dxa"/>
            <w:gridSpan w:val="13"/>
            <w:vMerge w:val="restart"/>
            <w:tcBorders>
              <w:top w:val="single" w:sz="4" w:space="0" w:color="auto"/>
              <w:left w:val="single" w:sz="4" w:space="0" w:color="auto"/>
              <w:bottom w:val="single" w:sz="4" w:space="0" w:color="auto"/>
              <w:right w:val="single" w:sz="4" w:space="0" w:color="auto"/>
            </w:tcBorders>
            <w:shd w:val="clear" w:color="000000" w:fill="auto"/>
            <w:hideMark/>
          </w:tcPr>
          <w:p w14:paraId="5A6A03A8" w14:textId="77777777" w:rsidR="00825FF0" w:rsidRPr="00825FF0" w:rsidRDefault="00825FF0" w:rsidP="00825FF0">
            <w:pP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lastRenderedPageBreak/>
              <w:t>Antipsychotic Studies</w:t>
            </w:r>
          </w:p>
        </w:tc>
      </w:tr>
      <w:tr w:rsidR="00825FF0" w:rsidRPr="00825FF0" w14:paraId="44112F89" w14:textId="77777777" w:rsidTr="004F0A11">
        <w:trPr>
          <w:trHeight w:val="320"/>
        </w:trPr>
        <w:tc>
          <w:tcPr>
            <w:tcW w:w="16436" w:type="dxa"/>
            <w:gridSpan w:val="13"/>
            <w:vMerge/>
            <w:tcBorders>
              <w:left w:val="single" w:sz="4" w:space="0" w:color="auto"/>
              <w:bottom w:val="single" w:sz="4" w:space="0" w:color="auto"/>
              <w:right w:val="single" w:sz="4" w:space="0" w:color="auto"/>
            </w:tcBorders>
            <w:shd w:val="clear" w:color="000000" w:fill="auto"/>
            <w:hideMark/>
          </w:tcPr>
          <w:p w14:paraId="1E412410" w14:textId="77777777" w:rsidR="00825FF0" w:rsidRPr="00825FF0" w:rsidRDefault="00825FF0" w:rsidP="00825FF0">
            <w:pPr>
              <w:rPr>
                <w:rFonts w:asciiTheme="majorHAnsi" w:eastAsia="Times New Roman" w:hAnsiTheme="majorHAnsi" w:cs="Calibri"/>
                <w:b/>
                <w:bCs/>
                <w:color w:val="FFFFFF"/>
                <w:sz w:val="16"/>
                <w:szCs w:val="16"/>
                <w:lang w:eastAsia="en-GB"/>
              </w:rPr>
            </w:pPr>
          </w:p>
        </w:tc>
      </w:tr>
      <w:tr w:rsidR="00825FF0" w:rsidRPr="00825FF0" w14:paraId="1E3726B3" w14:textId="77777777" w:rsidTr="00825FF0">
        <w:trPr>
          <w:trHeight w:val="780"/>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62597DAC"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t>Healthy Volunteers</w:t>
            </w:r>
          </w:p>
        </w:tc>
      </w:tr>
      <w:tr w:rsidR="00EB5138" w:rsidRPr="00825FF0" w14:paraId="5C3180D0" w14:textId="77777777" w:rsidTr="00825FF0">
        <w:trPr>
          <w:trHeight w:val="4349"/>
        </w:trPr>
        <w:tc>
          <w:tcPr>
            <w:tcW w:w="0" w:type="auto"/>
            <w:tcBorders>
              <w:top w:val="nil"/>
              <w:left w:val="single" w:sz="4" w:space="0" w:color="auto"/>
              <w:bottom w:val="single" w:sz="4" w:space="0" w:color="auto"/>
              <w:right w:val="single" w:sz="4" w:space="0" w:color="auto"/>
            </w:tcBorders>
            <w:shd w:val="clear" w:color="auto" w:fill="auto"/>
            <w:hideMark/>
          </w:tcPr>
          <w:p w14:paraId="4F3F67C7"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Lawrence et al (2002)</w:t>
            </w:r>
          </w:p>
          <w:p w14:paraId="30D61A8D" w14:textId="77777777" w:rsidR="001C29C5" w:rsidRDefault="001C29C5" w:rsidP="00825FF0">
            <w:pPr>
              <w:rPr>
                <w:rFonts w:asciiTheme="majorHAnsi" w:eastAsia="Times New Roman" w:hAnsiTheme="majorHAnsi" w:cs="Calibri"/>
                <w:color w:val="000000"/>
                <w:sz w:val="16"/>
                <w:szCs w:val="16"/>
                <w:lang w:eastAsia="en-GB"/>
              </w:rPr>
            </w:pPr>
          </w:p>
          <w:p w14:paraId="44D45421" w14:textId="2171E23E"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53</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20AC4B2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 experimental test conditions (drug vs. placebo) - crossover study design - participants who took Sulpiride in week 1 testing took placebo in week 2 testing, and vice versa</w:t>
            </w:r>
          </w:p>
        </w:tc>
        <w:tc>
          <w:tcPr>
            <w:tcW w:w="0" w:type="auto"/>
            <w:tcBorders>
              <w:top w:val="nil"/>
              <w:left w:val="nil"/>
              <w:bottom w:val="single" w:sz="4" w:space="0" w:color="auto"/>
              <w:right w:val="single" w:sz="4" w:space="0" w:color="auto"/>
            </w:tcBorders>
            <w:shd w:val="clear" w:color="auto" w:fill="auto"/>
            <w:hideMark/>
          </w:tcPr>
          <w:p w14:paraId="0CCD11B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14 healthy volunteers</w:t>
            </w:r>
          </w:p>
        </w:tc>
        <w:tc>
          <w:tcPr>
            <w:tcW w:w="1320" w:type="dxa"/>
            <w:tcBorders>
              <w:top w:val="nil"/>
              <w:left w:val="nil"/>
              <w:bottom w:val="single" w:sz="4" w:space="0" w:color="auto"/>
              <w:right w:val="single" w:sz="4" w:space="0" w:color="auto"/>
            </w:tcBorders>
            <w:shd w:val="clear" w:color="auto" w:fill="auto"/>
            <w:hideMark/>
          </w:tcPr>
          <w:p w14:paraId="322D191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Sulpiride</w:t>
            </w:r>
          </w:p>
        </w:tc>
        <w:tc>
          <w:tcPr>
            <w:tcW w:w="1363" w:type="dxa"/>
            <w:tcBorders>
              <w:top w:val="nil"/>
              <w:left w:val="nil"/>
              <w:bottom w:val="single" w:sz="4" w:space="0" w:color="auto"/>
              <w:right w:val="single" w:sz="4" w:space="0" w:color="auto"/>
            </w:tcBorders>
            <w:shd w:val="clear" w:color="auto" w:fill="auto"/>
            <w:hideMark/>
          </w:tcPr>
          <w:p w14:paraId="0728FE2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400mg</w:t>
            </w:r>
          </w:p>
        </w:tc>
        <w:tc>
          <w:tcPr>
            <w:tcW w:w="0" w:type="auto"/>
            <w:tcBorders>
              <w:top w:val="nil"/>
              <w:left w:val="nil"/>
              <w:bottom w:val="single" w:sz="4" w:space="0" w:color="auto"/>
              <w:right w:val="single" w:sz="4" w:space="0" w:color="auto"/>
            </w:tcBorders>
            <w:shd w:val="clear" w:color="auto" w:fill="auto"/>
            <w:hideMark/>
          </w:tcPr>
          <w:p w14:paraId="4AAB9DE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Testing commenced 100 min following tablet (drug or placebo) ingestion in order to maximise drug levels during test administration. In order to provide an adequate washout period, two test sessions were separated by a median interval of 3 weeks. In each of the two testing sessions, participants completed a test of emotion recognition from the face and a control task of unfamiliar face matching (the Benton task).</w:t>
            </w:r>
          </w:p>
        </w:tc>
        <w:tc>
          <w:tcPr>
            <w:tcW w:w="935" w:type="dxa"/>
            <w:tcBorders>
              <w:top w:val="nil"/>
              <w:left w:val="nil"/>
              <w:bottom w:val="single" w:sz="4" w:space="0" w:color="auto"/>
              <w:right w:val="single" w:sz="4" w:space="0" w:color="auto"/>
            </w:tcBorders>
            <w:shd w:val="clear" w:color="auto" w:fill="auto"/>
            <w:hideMark/>
          </w:tcPr>
          <w:p w14:paraId="34D5581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 (lactose)</w:t>
            </w:r>
          </w:p>
        </w:tc>
        <w:tc>
          <w:tcPr>
            <w:tcW w:w="0" w:type="auto"/>
            <w:tcBorders>
              <w:top w:val="nil"/>
              <w:left w:val="nil"/>
              <w:bottom w:val="single" w:sz="4" w:space="0" w:color="auto"/>
              <w:right w:val="single" w:sz="4" w:space="0" w:color="auto"/>
            </w:tcBorders>
            <w:shd w:val="clear" w:color="auto" w:fill="auto"/>
            <w:hideMark/>
          </w:tcPr>
          <w:p w14:paraId="77A08A5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64E9449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63F8316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~3weeks</w:t>
            </w:r>
          </w:p>
        </w:tc>
        <w:tc>
          <w:tcPr>
            <w:tcW w:w="0" w:type="auto"/>
            <w:tcBorders>
              <w:top w:val="nil"/>
              <w:left w:val="nil"/>
              <w:bottom w:val="single" w:sz="4" w:space="0" w:color="auto"/>
              <w:right w:val="single" w:sz="4" w:space="0" w:color="auto"/>
            </w:tcBorders>
            <w:shd w:val="clear" w:color="auto" w:fill="auto"/>
            <w:hideMark/>
          </w:tcPr>
          <w:p w14:paraId="438D697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 Following </w:t>
            </w:r>
            <w:proofErr w:type="spellStart"/>
            <w:r w:rsidRPr="00825FF0">
              <w:rPr>
                <w:rFonts w:asciiTheme="majorHAnsi" w:eastAsia="Times New Roman" w:hAnsiTheme="majorHAnsi" w:cs="Calibri"/>
                <w:color w:val="000000"/>
                <w:sz w:val="16"/>
                <w:szCs w:val="16"/>
                <w:lang w:eastAsia="en-GB"/>
              </w:rPr>
              <w:t>Sulpride</w:t>
            </w:r>
            <w:proofErr w:type="spellEnd"/>
            <w:r w:rsidRPr="00825FF0">
              <w:rPr>
                <w:rFonts w:asciiTheme="majorHAnsi" w:eastAsia="Times New Roman" w:hAnsiTheme="majorHAnsi" w:cs="Calibri"/>
                <w:color w:val="000000"/>
                <w:sz w:val="16"/>
                <w:szCs w:val="16"/>
                <w:lang w:eastAsia="en-GB"/>
              </w:rPr>
              <w:t xml:space="preserve"> use, recognition of anger facial expression at follow-up was impaired compared to baseline, other emotions intact</w:t>
            </w:r>
          </w:p>
        </w:tc>
        <w:tc>
          <w:tcPr>
            <w:tcW w:w="0" w:type="auto"/>
            <w:tcBorders>
              <w:top w:val="nil"/>
              <w:left w:val="nil"/>
              <w:bottom w:val="single" w:sz="4" w:space="0" w:color="auto"/>
              <w:right w:val="nil"/>
            </w:tcBorders>
            <w:shd w:val="clear" w:color="auto" w:fill="auto"/>
            <w:hideMark/>
          </w:tcPr>
          <w:p w14:paraId="23138A3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r w:rsidRPr="00825FF0">
              <w:rPr>
                <w:rFonts w:asciiTheme="majorHAnsi" w:eastAsia="Times New Roman" w:hAnsiTheme="majorHAnsi" w:cs="Calibri"/>
                <w:color w:val="000000"/>
                <w:sz w:val="16"/>
                <w:szCs w:val="16"/>
                <w:lang w:eastAsia="en-GB"/>
              </w:rPr>
              <w:br/>
              <w:t>• Short follow-up time</w:t>
            </w:r>
          </w:p>
        </w:tc>
        <w:tc>
          <w:tcPr>
            <w:tcW w:w="0" w:type="auto"/>
            <w:tcBorders>
              <w:top w:val="nil"/>
              <w:left w:val="single" w:sz="4" w:space="0" w:color="auto"/>
              <w:bottom w:val="single" w:sz="4" w:space="0" w:color="auto"/>
              <w:right w:val="single" w:sz="4" w:space="0" w:color="auto"/>
            </w:tcBorders>
            <w:shd w:val="clear" w:color="auto" w:fill="auto"/>
            <w:hideMark/>
          </w:tcPr>
          <w:p w14:paraId="3FA947BA"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13</w:t>
            </w:r>
          </w:p>
        </w:tc>
      </w:tr>
      <w:tr w:rsidR="00EB5138" w:rsidRPr="00825FF0" w14:paraId="18B9656F" w14:textId="77777777" w:rsidTr="00825FF0">
        <w:trPr>
          <w:trHeight w:val="3717"/>
        </w:trPr>
        <w:tc>
          <w:tcPr>
            <w:tcW w:w="0" w:type="auto"/>
            <w:tcBorders>
              <w:top w:val="nil"/>
              <w:left w:val="single" w:sz="4" w:space="0" w:color="auto"/>
              <w:bottom w:val="single" w:sz="4" w:space="0" w:color="auto"/>
              <w:right w:val="single" w:sz="4" w:space="0" w:color="auto"/>
            </w:tcBorders>
            <w:shd w:val="clear" w:color="auto" w:fill="auto"/>
            <w:hideMark/>
          </w:tcPr>
          <w:p w14:paraId="0F6FDE30"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Rock et al (2016)</w:t>
            </w:r>
          </w:p>
          <w:p w14:paraId="3B453878" w14:textId="77777777" w:rsidR="001C29C5" w:rsidRDefault="001C29C5" w:rsidP="00825FF0">
            <w:pPr>
              <w:rPr>
                <w:rFonts w:asciiTheme="majorHAnsi" w:eastAsia="Times New Roman" w:hAnsiTheme="majorHAnsi" w:cs="Calibri"/>
                <w:color w:val="000000"/>
                <w:sz w:val="16"/>
                <w:szCs w:val="16"/>
                <w:lang w:eastAsia="en-GB"/>
              </w:rPr>
            </w:pPr>
          </w:p>
          <w:p w14:paraId="72278805" w14:textId="4E40C311" w:rsidR="001C29C5"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54</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719A2D9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Between-subject, randomised, double-blind, placebo-controlled design</w:t>
            </w:r>
          </w:p>
        </w:tc>
        <w:tc>
          <w:tcPr>
            <w:tcW w:w="0" w:type="auto"/>
            <w:tcBorders>
              <w:top w:val="nil"/>
              <w:left w:val="nil"/>
              <w:bottom w:val="single" w:sz="4" w:space="0" w:color="auto"/>
              <w:right w:val="single" w:sz="4" w:space="0" w:color="auto"/>
            </w:tcBorders>
            <w:shd w:val="clear" w:color="auto" w:fill="auto"/>
            <w:hideMark/>
          </w:tcPr>
          <w:p w14:paraId="42D2CFF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40 healthy volunteers</w:t>
            </w:r>
          </w:p>
        </w:tc>
        <w:tc>
          <w:tcPr>
            <w:tcW w:w="1320" w:type="dxa"/>
            <w:tcBorders>
              <w:top w:val="nil"/>
              <w:left w:val="nil"/>
              <w:bottom w:val="single" w:sz="4" w:space="0" w:color="auto"/>
              <w:right w:val="single" w:sz="4" w:space="0" w:color="auto"/>
            </w:tcBorders>
            <w:shd w:val="clear" w:color="auto" w:fill="auto"/>
            <w:hideMark/>
          </w:tcPr>
          <w:p w14:paraId="2C8225A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Quetiapine</w:t>
            </w:r>
          </w:p>
        </w:tc>
        <w:tc>
          <w:tcPr>
            <w:tcW w:w="1363" w:type="dxa"/>
            <w:tcBorders>
              <w:top w:val="nil"/>
              <w:left w:val="nil"/>
              <w:bottom w:val="single" w:sz="4" w:space="0" w:color="auto"/>
              <w:right w:val="single" w:sz="4" w:space="0" w:color="auto"/>
            </w:tcBorders>
            <w:shd w:val="clear" w:color="auto" w:fill="auto"/>
            <w:hideMark/>
          </w:tcPr>
          <w:p w14:paraId="17EB647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150mg</w:t>
            </w:r>
          </w:p>
        </w:tc>
        <w:tc>
          <w:tcPr>
            <w:tcW w:w="0" w:type="auto"/>
            <w:tcBorders>
              <w:top w:val="nil"/>
              <w:left w:val="nil"/>
              <w:bottom w:val="single" w:sz="4" w:space="0" w:color="auto"/>
              <w:right w:val="single" w:sz="4" w:space="0" w:color="auto"/>
            </w:tcBorders>
            <w:shd w:val="clear" w:color="auto" w:fill="auto"/>
            <w:hideMark/>
          </w:tcPr>
          <w:p w14:paraId="3C79F92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27 received Quetiapine for 7 days - dropout to n=20 for Emotion Processing task</w:t>
            </w:r>
          </w:p>
        </w:tc>
        <w:tc>
          <w:tcPr>
            <w:tcW w:w="935" w:type="dxa"/>
            <w:tcBorders>
              <w:top w:val="nil"/>
              <w:left w:val="nil"/>
              <w:bottom w:val="single" w:sz="4" w:space="0" w:color="auto"/>
              <w:right w:val="single" w:sz="4" w:space="0" w:color="auto"/>
            </w:tcBorders>
            <w:shd w:val="clear" w:color="auto" w:fill="auto"/>
            <w:hideMark/>
          </w:tcPr>
          <w:p w14:paraId="2E592C4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2E04A67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0372003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477E01B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one week</w:t>
            </w:r>
          </w:p>
        </w:tc>
        <w:tc>
          <w:tcPr>
            <w:tcW w:w="0" w:type="auto"/>
            <w:tcBorders>
              <w:top w:val="nil"/>
              <w:left w:val="nil"/>
              <w:bottom w:val="single" w:sz="4" w:space="0" w:color="auto"/>
              <w:right w:val="single" w:sz="4" w:space="0" w:color="auto"/>
            </w:tcBorders>
            <w:shd w:val="clear" w:color="auto" w:fill="auto"/>
            <w:hideMark/>
          </w:tcPr>
          <w:p w14:paraId="48138505" w14:textId="77777777" w:rsidR="00825FF0" w:rsidRPr="00825FF0" w:rsidRDefault="00825FF0" w:rsidP="00825FF0">
            <w:pPr>
              <w:spacing w:after="240"/>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effect of Quetiapine on emotion processing ability in healthy participants at one week, compared to baseline</w:t>
            </w:r>
          </w:p>
        </w:tc>
        <w:tc>
          <w:tcPr>
            <w:tcW w:w="0" w:type="auto"/>
            <w:tcBorders>
              <w:top w:val="nil"/>
              <w:left w:val="nil"/>
              <w:bottom w:val="single" w:sz="4" w:space="0" w:color="auto"/>
              <w:right w:val="nil"/>
            </w:tcBorders>
            <w:shd w:val="clear" w:color="auto" w:fill="auto"/>
            <w:hideMark/>
          </w:tcPr>
          <w:p w14:paraId="2FE2E09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compliance measure</w:t>
            </w:r>
            <w:r w:rsidRPr="00825FF0">
              <w:rPr>
                <w:rFonts w:asciiTheme="majorHAnsi" w:eastAsia="Times New Roman" w:hAnsiTheme="majorHAnsi" w:cs="Calibri"/>
                <w:color w:val="000000"/>
                <w:sz w:val="16"/>
                <w:szCs w:val="16"/>
                <w:lang w:eastAsia="en-GB"/>
              </w:rPr>
              <w:br/>
              <w:t>• Healthy volunteers only</w:t>
            </w:r>
            <w:r w:rsidRPr="00825FF0">
              <w:rPr>
                <w:rFonts w:asciiTheme="majorHAnsi" w:eastAsia="Times New Roman" w:hAnsiTheme="majorHAnsi" w:cs="Calibri"/>
                <w:color w:val="000000"/>
                <w:sz w:val="16"/>
                <w:szCs w:val="16"/>
                <w:lang w:eastAsia="en-GB"/>
              </w:rPr>
              <w:br/>
              <w:t>• One-week duration only</w:t>
            </w:r>
            <w:r w:rsidRPr="00825FF0">
              <w:rPr>
                <w:rFonts w:asciiTheme="majorHAnsi" w:eastAsia="Times New Roman" w:hAnsiTheme="majorHAnsi" w:cs="Calibri"/>
                <w:color w:val="000000"/>
                <w:sz w:val="16"/>
                <w:szCs w:val="16"/>
                <w:lang w:eastAsia="en-GB"/>
              </w:rPr>
              <w:br/>
              <w:t>• Modest sample size</w:t>
            </w:r>
            <w:r w:rsidRPr="00825FF0">
              <w:rPr>
                <w:rFonts w:asciiTheme="majorHAnsi" w:eastAsia="Times New Roman" w:hAnsiTheme="majorHAnsi" w:cs="Calibri"/>
                <w:color w:val="000000"/>
                <w:sz w:val="16"/>
                <w:szCs w:val="16"/>
                <w:lang w:eastAsia="en-GB"/>
              </w:rPr>
              <w:br/>
              <w:t>• Dropout in Quetiapine arm (reduction of power)</w:t>
            </w:r>
            <w:r w:rsidRPr="00825FF0">
              <w:rPr>
                <w:rFonts w:asciiTheme="majorHAnsi" w:eastAsia="Times New Roman" w:hAnsiTheme="majorHAnsi" w:cs="Calibri"/>
                <w:color w:val="000000"/>
                <w:sz w:val="16"/>
                <w:szCs w:val="16"/>
                <w:lang w:eastAsia="en-GB"/>
              </w:rPr>
              <w:br/>
              <w:t>• Authors consultants for pharmaceutical company</w:t>
            </w:r>
          </w:p>
        </w:tc>
        <w:tc>
          <w:tcPr>
            <w:tcW w:w="0" w:type="auto"/>
            <w:tcBorders>
              <w:top w:val="nil"/>
              <w:left w:val="single" w:sz="4" w:space="0" w:color="auto"/>
              <w:bottom w:val="single" w:sz="4" w:space="0" w:color="auto"/>
              <w:right w:val="single" w:sz="4" w:space="0" w:color="auto"/>
            </w:tcBorders>
            <w:shd w:val="clear" w:color="auto" w:fill="auto"/>
            <w:hideMark/>
          </w:tcPr>
          <w:p w14:paraId="2DCFD209"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22</w:t>
            </w:r>
          </w:p>
        </w:tc>
      </w:tr>
      <w:tr w:rsidR="00825FF0" w:rsidRPr="00825FF0" w14:paraId="75CEBE68" w14:textId="77777777" w:rsidTr="004F0A11">
        <w:trPr>
          <w:trHeight w:val="780"/>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1B7515B7"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lastRenderedPageBreak/>
              <w:t>Patient Vs. Healthy Volunteers</w:t>
            </w:r>
          </w:p>
        </w:tc>
      </w:tr>
      <w:tr w:rsidR="004F0A11" w:rsidRPr="004F0A11" w14:paraId="140FDDF5" w14:textId="77777777" w:rsidTr="004F0A11">
        <w:trPr>
          <w:trHeight w:val="780"/>
        </w:trPr>
        <w:tc>
          <w:tcPr>
            <w:tcW w:w="16436" w:type="dxa"/>
            <w:gridSpan w:val="13"/>
            <w:tcBorders>
              <w:top w:val="single" w:sz="4" w:space="0" w:color="auto"/>
              <w:left w:val="single" w:sz="4" w:space="0" w:color="auto"/>
              <w:bottom w:val="single" w:sz="4" w:space="0" w:color="auto"/>
              <w:right w:val="single" w:sz="4" w:space="0" w:color="000000"/>
            </w:tcBorders>
            <w:shd w:val="clear" w:color="000000" w:fill="auto"/>
            <w:hideMark/>
          </w:tcPr>
          <w:p w14:paraId="176B8D13" w14:textId="77777777" w:rsidR="00825FF0" w:rsidRPr="00825FF0" w:rsidRDefault="00825FF0" w:rsidP="00825FF0">
            <w:pP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longitudinal studies</w:t>
            </w:r>
          </w:p>
        </w:tc>
      </w:tr>
      <w:tr w:rsidR="00EB5138" w:rsidRPr="00825FF0" w14:paraId="27DA42E4" w14:textId="77777777" w:rsidTr="00825FF0">
        <w:trPr>
          <w:trHeight w:val="2860"/>
        </w:trPr>
        <w:tc>
          <w:tcPr>
            <w:tcW w:w="0" w:type="auto"/>
            <w:tcBorders>
              <w:top w:val="nil"/>
              <w:left w:val="single" w:sz="4" w:space="0" w:color="auto"/>
              <w:bottom w:val="single" w:sz="4" w:space="0" w:color="auto"/>
              <w:right w:val="single" w:sz="4" w:space="0" w:color="auto"/>
            </w:tcBorders>
            <w:shd w:val="clear" w:color="auto" w:fill="auto"/>
            <w:hideMark/>
          </w:tcPr>
          <w:p w14:paraId="6914D5D1" w14:textId="77777777" w:rsidR="00825FF0" w:rsidRDefault="00825FF0" w:rsidP="00825FF0">
            <w:pPr>
              <w:rPr>
                <w:rFonts w:asciiTheme="majorHAnsi" w:eastAsia="Times New Roman" w:hAnsiTheme="majorHAnsi" w:cs="Calibri"/>
                <w:color w:val="000000"/>
                <w:sz w:val="16"/>
                <w:szCs w:val="16"/>
                <w:lang w:eastAsia="en-GB"/>
              </w:rPr>
            </w:pPr>
            <w:proofErr w:type="spellStart"/>
            <w:r w:rsidRPr="00825FF0">
              <w:rPr>
                <w:rFonts w:asciiTheme="majorHAnsi" w:eastAsia="Times New Roman" w:hAnsiTheme="majorHAnsi" w:cs="Calibri"/>
                <w:color w:val="000000"/>
                <w:sz w:val="16"/>
                <w:szCs w:val="16"/>
                <w:lang w:eastAsia="en-GB"/>
              </w:rPr>
              <w:t>Behere</w:t>
            </w:r>
            <w:proofErr w:type="spellEnd"/>
            <w:r w:rsidRPr="00825FF0">
              <w:rPr>
                <w:rFonts w:asciiTheme="majorHAnsi" w:eastAsia="Times New Roman" w:hAnsiTheme="majorHAnsi" w:cs="Calibri"/>
                <w:color w:val="000000"/>
                <w:sz w:val="16"/>
                <w:szCs w:val="16"/>
                <w:lang w:eastAsia="en-GB"/>
              </w:rPr>
              <w:t xml:space="preserve"> et al (2009)</w:t>
            </w:r>
          </w:p>
          <w:p w14:paraId="586D3344" w14:textId="77777777" w:rsidR="00C4280B" w:rsidRDefault="00C4280B" w:rsidP="00825FF0">
            <w:pPr>
              <w:rPr>
                <w:rFonts w:asciiTheme="majorHAnsi" w:eastAsia="Times New Roman" w:hAnsiTheme="majorHAnsi" w:cs="Calibri"/>
                <w:color w:val="000000"/>
                <w:sz w:val="16"/>
                <w:szCs w:val="16"/>
                <w:lang w:eastAsia="en-GB"/>
              </w:rPr>
            </w:pPr>
          </w:p>
          <w:p w14:paraId="3FC2C17E" w14:textId="5399927C"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56</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2D85CF2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Short-term treatment follow-up</w:t>
            </w:r>
          </w:p>
        </w:tc>
        <w:tc>
          <w:tcPr>
            <w:tcW w:w="0" w:type="auto"/>
            <w:tcBorders>
              <w:top w:val="nil"/>
              <w:left w:val="nil"/>
              <w:bottom w:val="single" w:sz="4" w:space="0" w:color="auto"/>
              <w:right w:val="single" w:sz="4" w:space="0" w:color="auto"/>
            </w:tcBorders>
            <w:shd w:val="clear" w:color="auto" w:fill="auto"/>
            <w:hideMark/>
          </w:tcPr>
          <w:p w14:paraId="0169A10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55 antipsychotic-naïve schizophrenia patients</w:t>
            </w:r>
            <w:r w:rsidRPr="00825FF0">
              <w:rPr>
                <w:rFonts w:asciiTheme="majorHAnsi" w:eastAsia="Times New Roman" w:hAnsiTheme="majorHAnsi" w:cs="Calibri"/>
                <w:color w:val="000000"/>
                <w:sz w:val="16"/>
                <w:szCs w:val="16"/>
                <w:lang w:eastAsia="en-GB"/>
              </w:rPr>
              <w:br/>
              <w:t>30 healthy controls</w:t>
            </w:r>
          </w:p>
        </w:tc>
        <w:tc>
          <w:tcPr>
            <w:tcW w:w="1320" w:type="dxa"/>
            <w:tcBorders>
              <w:top w:val="nil"/>
              <w:left w:val="nil"/>
              <w:bottom w:val="single" w:sz="4" w:space="0" w:color="auto"/>
              <w:right w:val="single" w:sz="4" w:space="0" w:color="auto"/>
            </w:tcBorders>
            <w:shd w:val="clear" w:color="auto" w:fill="auto"/>
            <w:hideMark/>
          </w:tcPr>
          <w:p w14:paraId="4C526AE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Risperidone</w:t>
            </w:r>
          </w:p>
        </w:tc>
        <w:tc>
          <w:tcPr>
            <w:tcW w:w="1363" w:type="dxa"/>
            <w:tcBorders>
              <w:top w:val="nil"/>
              <w:left w:val="nil"/>
              <w:bottom w:val="single" w:sz="4" w:space="0" w:color="auto"/>
              <w:right w:val="single" w:sz="4" w:space="0" w:color="auto"/>
            </w:tcBorders>
            <w:shd w:val="clear" w:color="auto" w:fill="auto"/>
            <w:hideMark/>
          </w:tcPr>
          <w:p w14:paraId="10DCA51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4mg/daily</w:t>
            </w:r>
          </w:p>
        </w:tc>
        <w:tc>
          <w:tcPr>
            <w:tcW w:w="0" w:type="auto"/>
            <w:tcBorders>
              <w:top w:val="nil"/>
              <w:left w:val="nil"/>
              <w:bottom w:val="single" w:sz="4" w:space="0" w:color="auto"/>
              <w:right w:val="single" w:sz="4" w:space="0" w:color="auto"/>
            </w:tcBorders>
            <w:shd w:val="clear" w:color="auto" w:fill="auto"/>
            <w:hideMark/>
          </w:tcPr>
          <w:p w14:paraId="7BB75CD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25 drug-naïve schizophrenia (DSM-IV) patients</w:t>
            </w:r>
          </w:p>
        </w:tc>
        <w:tc>
          <w:tcPr>
            <w:tcW w:w="935" w:type="dxa"/>
            <w:tcBorders>
              <w:top w:val="nil"/>
              <w:left w:val="nil"/>
              <w:bottom w:val="single" w:sz="4" w:space="0" w:color="auto"/>
              <w:right w:val="single" w:sz="4" w:space="0" w:color="auto"/>
            </w:tcBorders>
            <w:shd w:val="clear" w:color="auto" w:fill="auto"/>
            <w:hideMark/>
          </w:tcPr>
          <w:p w14:paraId="4471A85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5754757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5E2B17D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TRENDS</w:t>
            </w:r>
          </w:p>
        </w:tc>
        <w:tc>
          <w:tcPr>
            <w:tcW w:w="0" w:type="auto"/>
            <w:tcBorders>
              <w:top w:val="nil"/>
              <w:left w:val="nil"/>
              <w:bottom w:val="single" w:sz="4" w:space="0" w:color="auto"/>
              <w:right w:val="single" w:sz="4" w:space="0" w:color="auto"/>
            </w:tcBorders>
            <w:shd w:val="clear" w:color="auto" w:fill="auto"/>
            <w:hideMark/>
          </w:tcPr>
          <w:p w14:paraId="363F7DF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specified (short-term)</w:t>
            </w:r>
          </w:p>
        </w:tc>
        <w:tc>
          <w:tcPr>
            <w:tcW w:w="0" w:type="auto"/>
            <w:tcBorders>
              <w:top w:val="nil"/>
              <w:left w:val="nil"/>
              <w:bottom w:val="single" w:sz="4" w:space="0" w:color="auto"/>
              <w:right w:val="single" w:sz="4" w:space="0" w:color="auto"/>
            </w:tcBorders>
            <w:shd w:val="clear" w:color="auto" w:fill="auto"/>
            <w:hideMark/>
          </w:tcPr>
          <w:p w14:paraId="3CD0FA5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showed impairments in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Risperidone use in schizophrenia patients resulted in improvements in patient scores on the emotion processing task, when comparing their scores at baseline and follow-up</w:t>
            </w:r>
          </w:p>
        </w:tc>
        <w:tc>
          <w:tcPr>
            <w:tcW w:w="0" w:type="auto"/>
            <w:tcBorders>
              <w:top w:val="nil"/>
              <w:left w:val="nil"/>
              <w:bottom w:val="single" w:sz="4" w:space="0" w:color="auto"/>
              <w:right w:val="nil"/>
            </w:tcBorders>
            <w:shd w:val="clear" w:color="auto" w:fill="auto"/>
            <w:hideMark/>
          </w:tcPr>
          <w:p w14:paraId="38200A7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Non-specified follow-up duration - may be practice effects</w:t>
            </w:r>
            <w:r w:rsidRPr="00825FF0">
              <w:rPr>
                <w:rFonts w:asciiTheme="majorHAnsi" w:eastAsia="Times New Roman" w:hAnsiTheme="majorHAnsi" w:cs="Calibri"/>
                <w:color w:val="000000"/>
                <w:sz w:val="16"/>
                <w:szCs w:val="16"/>
                <w:lang w:eastAsia="en-GB"/>
              </w:rPr>
              <w:br/>
              <w:t>• Only one antipsychotic type</w:t>
            </w:r>
            <w:r w:rsidRPr="00825FF0">
              <w:rPr>
                <w:rFonts w:asciiTheme="majorHAnsi" w:eastAsia="Times New Roman" w:hAnsiTheme="majorHAnsi" w:cs="Calibri"/>
                <w:color w:val="000000"/>
                <w:sz w:val="16"/>
                <w:szCs w:val="16"/>
                <w:lang w:eastAsia="en-GB"/>
              </w:rPr>
              <w:br/>
              <w:t>• Non-randomised design</w:t>
            </w:r>
          </w:p>
        </w:tc>
        <w:tc>
          <w:tcPr>
            <w:tcW w:w="0" w:type="auto"/>
            <w:tcBorders>
              <w:top w:val="nil"/>
              <w:left w:val="single" w:sz="4" w:space="0" w:color="auto"/>
              <w:bottom w:val="single" w:sz="4" w:space="0" w:color="auto"/>
              <w:right w:val="single" w:sz="4" w:space="0" w:color="auto"/>
            </w:tcBorders>
            <w:shd w:val="clear" w:color="auto" w:fill="auto"/>
            <w:hideMark/>
          </w:tcPr>
          <w:p w14:paraId="403E0F35"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16</w:t>
            </w:r>
          </w:p>
        </w:tc>
      </w:tr>
      <w:tr w:rsidR="00EB5138" w:rsidRPr="00825FF0" w14:paraId="0588311E" w14:textId="77777777" w:rsidTr="00825FF0">
        <w:trPr>
          <w:trHeight w:val="3640"/>
        </w:trPr>
        <w:tc>
          <w:tcPr>
            <w:tcW w:w="0" w:type="auto"/>
            <w:tcBorders>
              <w:top w:val="nil"/>
              <w:left w:val="single" w:sz="4" w:space="0" w:color="auto"/>
              <w:bottom w:val="single" w:sz="4" w:space="0" w:color="auto"/>
              <w:right w:val="single" w:sz="4" w:space="0" w:color="auto"/>
            </w:tcBorders>
            <w:shd w:val="clear" w:color="auto" w:fill="auto"/>
            <w:hideMark/>
          </w:tcPr>
          <w:p w14:paraId="1BA19BED" w14:textId="55954C84" w:rsidR="00C4280B" w:rsidRDefault="00825FF0" w:rsidP="00825FF0">
            <w:pPr>
              <w:rPr>
                <w:rFonts w:asciiTheme="majorHAnsi" w:eastAsia="Times New Roman" w:hAnsiTheme="majorHAnsi" w:cs="Calibri"/>
                <w:color w:val="000000"/>
                <w:sz w:val="16"/>
                <w:szCs w:val="16"/>
                <w:lang w:eastAsia="en-GB"/>
              </w:rPr>
            </w:pPr>
            <w:proofErr w:type="spellStart"/>
            <w:r w:rsidRPr="00825FF0">
              <w:rPr>
                <w:rFonts w:asciiTheme="majorHAnsi" w:eastAsia="Times New Roman" w:hAnsiTheme="majorHAnsi" w:cs="Calibri"/>
                <w:color w:val="000000"/>
                <w:sz w:val="16"/>
                <w:szCs w:val="16"/>
                <w:lang w:eastAsia="en-GB"/>
              </w:rPr>
              <w:t>Gaebel</w:t>
            </w:r>
            <w:proofErr w:type="spellEnd"/>
            <w:r w:rsidRPr="00825FF0">
              <w:rPr>
                <w:rFonts w:asciiTheme="majorHAnsi" w:eastAsia="Times New Roman" w:hAnsiTheme="majorHAnsi" w:cs="Calibri"/>
                <w:color w:val="000000"/>
                <w:sz w:val="16"/>
                <w:szCs w:val="16"/>
                <w:lang w:eastAsia="en-GB"/>
              </w:rPr>
              <w:t xml:space="preserve"> et al (1992</w:t>
            </w:r>
            <w:r w:rsidR="00C4280B">
              <w:rPr>
                <w:rFonts w:asciiTheme="majorHAnsi" w:eastAsia="Times New Roman" w:hAnsiTheme="majorHAnsi" w:cs="Calibri"/>
                <w:color w:val="000000"/>
                <w:sz w:val="16"/>
                <w:szCs w:val="16"/>
                <w:lang w:eastAsia="en-GB"/>
              </w:rPr>
              <w:t>)</w:t>
            </w:r>
          </w:p>
          <w:p w14:paraId="4A92A208" w14:textId="77777777" w:rsidR="00C4280B" w:rsidRDefault="00C4280B" w:rsidP="00825FF0">
            <w:pPr>
              <w:rPr>
                <w:rFonts w:asciiTheme="majorHAnsi" w:eastAsia="Times New Roman" w:hAnsiTheme="majorHAnsi" w:cs="Calibri"/>
                <w:color w:val="000000"/>
                <w:sz w:val="16"/>
                <w:szCs w:val="16"/>
                <w:lang w:eastAsia="en-GB"/>
              </w:rPr>
            </w:pPr>
          </w:p>
          <w:p w14:paraId="7B44E81C" w14:textId="3144C226" w:rsidR="00825FF0"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[5</w:t>
            </w:r>
            <w:r w:rsidR="007B24BD">
              <w:rPr>
                <w:rFonts w:asciiTheme="majorHAnsi" w:eastAsia="Times New Roman" w:hAnsiTheme="majorHAnsi" w:cs="Calibri"/>
                <w:color w:val="000000"/>
                <w:sz w:val="16"/>
                <w:szCs w:val="16"/>
                <w:lang w:eastAsia="en-GB"/>
              </w:rPr>
              <w:t>7</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1D897EB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Experimental task</w:t>
            </w:r>
          </w:p>
        </w:tc>
        <w:tc>
          <w:tcPr>
            <w:tcW w:w="0" w:type="auto"/>
            <w:tcBorders>
              <w:top w:val="nil"/>
              <w:left w:val="nil"/>
              <w:bottom w:val="single" w:sz="4" w:space="0" w:color="auto"/>
              <w:right w:val="single" w:sz="4" w:space="0" w:color="auto"/>
            </w:tcBorders>
            <w:shd w:val="clear" w:color="auto" w:fill="auto"/>
            <w:hideMark/>
          </w:tcPr>
          <w:p w14:paraId="3ECF3F1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23 schizophrenia patients</w:t>
            </w:r>
            <w:r w:rsidRPr="00825FF0">
              <w:rPr>
                <w:rFonts w:asciiTheme="majorHAnsi" w:eastAsia="Times New Roman" w:hAnsiTheme="majorHAnsi" w:cs="Calibri"/>
                <w:color w:val="000000"/>
                <w:sz w:val="16"/>
                <w:szCs w:val="16"/>
                <w:lang w:eastAsia="en-GB"/>
              </w:rPr>
              <w:br/>
              <w:t>21 MDD</w:t>
            </w:r>
            <w:r w:rsidRPr="00825FF0">
              <w:rPr>
                <w:rFonts w:asciiTheme="majorHAnsi" w:eastAsia="Times New Roman" w:hAnsiTheme="majorHAnsi" w:cs="Calibri"/>
                <w:color w:val="000000"/>
                <w:sz w:val="16"/>
                <w:szCs w:val="16"/>
                <w:lang w:eastAsia="en-GB"/>
              </w:rPr>
              <w:br/>
              <w:t>15 healthy volunteers</w:t>
            </w:r>
          </w:p>
        </w:tc>
        <w:tc>
          <w:tcPr>
            <w:tcW w:w="1320" w:type="dxa"/>
            <w:tcBorders>
              <w:top w:val="nil"/>
              <w:left w:val="nil"/>
              <w:bottom w:val="single" w:sz="4" w:space="0" w:color="auto"/>
              <w:right w:val="single" w:sz="4" w:space="0" w:color="auto"/>
            </w:tcBorders>
            <w:shd w:val="clear" w:color="auto" w:fill="auto"/>
            <w:hideMark/>
          </w:tcPr>
          <w:p w14:paraId="2FB55FC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13 Perazine</w:t>
            </w:r>
            <w:r w:rsidRPr="00825FF0">
              <w:rPr>
                <w:rFonts w:asciiTheme="majorHAnsi" w:eastAsia="Times New Roman" w:hAnsiTheme="majorHAnsi" w:cs="Calibri"/>
                <w:color w:val="000000"/>
                <w:sz w:val="16"/>
                <w:szCs w:val="16"/>
                <w:lang w:eastAsia="en-GB"/>
              </w:rPr>
              <w:br/>
              <w:t>10 Haloperidol</w:t>
            </w:r>
            <w:r w:rsidRPr="00825FF0">
              <w:rPr>
                <w:rFonts w:asciiTheme="majorHAnsi" w:eastAsia="Times New Roman" w:hAnsiTheme="majorHAnsi" w:cs="Calibri"/>
                <w:color w:val="000000"/>
                <w:sz w:val="16"/>
                <w:szCs w:val="16"/>
                <w:lang w:eastAsia="en-GB"/>
              </w:rPr>
              <w:br/>
              <w:t>(schizophrenia patients only)</w:t>
            </w:r>
          </w:p>
        </w:tc>
        <w:tc>
          <w:tcPr>
            <w:tcW w:w="1363" w:type="dxa"/>
            <w:tcBorders>
              <w:top w:val="nil"/>
              <w:left w:val="nil"/>
              <w:bottom w:val="single" w:sz="4" w:space="0" w:color="auto"/>
              <w:right w:val="single" w:sz="4" w:space="0" w:color="auto"/>
            </w:tcBorders>
            <w:shd w:val="clear" w:color="auto" w:fill="auto"/>
            <w:hideMark/>
          </w:tcPr>
          <w:p w14:paraId="5C28352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The mean daily/cumulative dosages were 376/10160mg CPZE and 445/16400 mg CPZE respectively.</w:t>
            </w:r>
          </w:p>
        </w:tc>
        <w:tc>
          <w:tcPr>
            <w:tcW w:w="0" w:type="auto"/>
            <w:tcBorders>
              <w:top w:val="nil"/>
              <w:left w:val="nil"/>
              <w:bottom w:val="single" w:sz="4" w:space="0" w:color="auto"/>
              <w:right w:val="single" w:sz="4" w:space="0" w:color="auto"/>
            </w:tcBorders>
            <w:shd w:val="clear" w:color="auto" w:fill="auto"/>
            <w:hideMark/>
          </w:tcPr>
          <w:p w14:paraId="0D8AF2AE" w14:textId="117884CF"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11/23 schizophrenia </w:t>
            </w:r>
            <w:r w:rsidR="00E708A0" w:rsidRPr="00825FF0">
              <w:rPr>
                <w:rFonts w:asciiTheme="majorHAnsi" w:eastAsia="Times New Roman" w:hAnsiTheme="majorHAnsi" w:cs="Calibri"/>
                <w:color w:val="000000"/>
                <w:sz w:val="16"/>
                <w:szCs w:val="16"/>
                <w:lang w:eastAsia="en-GB"/>
              </w:rPr>
              <w:t>patients’</w:t>
            </w:r>
            <w:r w:rsidRPr="00825FF0">
              <w:rPr>
                <w:rFonts w:asciiTheme="majorHAnsi" w:eastAsia="Times New Roman" w:hAnsiTheme="majorHAnsi" w:cs="Calibri"/>
                <w:color w:val="000000"/>
                <w:sz w:val="16"/>
                <w:szCs w:val="16"/>
                <w:lang w:eastAsia="en-GB"/>
              </w:rPr>
              <w:t xml:space="preserve"> drug-naïve, remaining 12 drug-free</w:t>
            </w:r>
          </w:p>
        </w:tc>
        <w:tc>
          <w:tcPr>
            <w:tcW w:w="935" w:type="dxa"/>
            <w:tcBorders>
              <w:top w:val="nil"/>
              <w:left w:val="nil"/>
              <w:bottom w:val="single" w:sz="4" w:space="0" w:color="auto"/>
              <w:right w:val="single" w:sz="4" w:space="0" w:color="auto"/>
            </w:tcBorders>
            <w:shd w:val="clear" w:color="auto" w:fill="auto"/>
            <w:hideMark/>
          </w:tcPr>
          <w:p w14:paraId="268CBFD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00A7C77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3F9CC4F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7C3D77F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4 weeks</w:t>
            </w:r>
          </w:p>
        </w:tc>
        <w:tc>
          <w:tcPr>
            <w:tcW w:w="0" w:type="auto"/>
            <w:tcBorders>
              <w:top w:val="nil"/>
              <w:left w:val="nil"/>
              <w:bottom w:val="single" w:sz="4" w:space="0" w:color="auto"/>
              <w:right w:val="single" w:sz="4" w:space="0" w:color="auto"/>
            </w:tcBorders>
            <w:shd w:val="clear" w:color="auto" w:fill="auto"/>
            <w:hideMark/>
          </w:tcPr>
          <w:p w14:paraId="5D315A63" w14:textId="09A1C87D"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showed impairments in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Both schizophrenia patient and healthy control groups improved at follow-up,</w:t>
            </w:r>
            <w:r>
              <w:rPr>
                <w:rFonts w:asciiTheme="majorHAnsi" w:eastAsia="Times New Roman" w:hAnsiTheme="majorHAnsi" w:cs="Calibri"/>
                <w:color w:val="000000"/>
                <w:sz w:val="16"/>
                <w:szCs w:val="16"/>
                <w:lang w:eastAsia="en-GB"/>
              </w:rPr>
              <w:t xml:space="preserve"> </w:t>
            </w:r>
            <w:r w:rsidRPr="00825FF0">
              <w:rPr>
                <w:rFonts w:asciiTheme="majorHAnsi" w:eastAsia="Times New Roman" w:hAnsiTheme="majorHAnsi" w:cs="Calibri"/>
                <w:color w:val="000000"/>
                <w:sz w:val="16"/>
                <w:szCs w:val="16"/>
                <w:lang w:eastAsia="en-GB"/>
              </w:rPr>
              <w:t>larger improvements in schizophrenia patient group</w:t>
            </w:r>
            <w:r w:rsidRPr="00825FF0">
              <w:rPr>
                <w:rFonts w:asciiTheme="majorHAnsi" w:eastAsia="Times New Roman" w:hAnsiTheme="majorHAnsi" w:cs="Calibri"/>
                <w:color w:val="000000"/>
                <w:sz w:val="16"/>
                <w:szCs w:val="16"/>
                <w:lang w:eastAsia="en-GB"/>
              </w:rPr>
              <w:br/>
            </w:r>
          </w:p>
        </w:tc>
        <w:tc>
          <w:tcPr>
            <w:tcW w:w="0" w:type="auto"/>
            <w:tcBorders>
              <w:top w:val="nil"/>
              <w:left w:val="nil"/>
              <w:bottom w:val="single" w:sz="4" w:space="0" w:color="auto"/>
              <w:right w:val="nil"/>
            </w:tcBorders>
            <w:shd w:val="clear" w:color="auto" w:fill="auto"/>
            <w:hideMark/>
          </w:tcPr>
          <w:p w14:paraId="49655F6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 </w:t>
            </w:r>
            <w:proofErr w:type="spellStart"/>
            <w:r w:rsidRPr="00825FF0">
              <w:rPr>
                <w:rFonts w:asciiTheme="majorHAnsi" w:eastAsia="Times New Roman" w:hAnsiTheme="majorHAnsi" w:cs="Calibri"/>
                <w:color w:val="000000"/>
                <w:sz w:val="16"/>
                <w:szCs w:val="16"/>
                <w:lang w:eastAsia="en-GB"/>
              </w:rPr>
              <w:t>Pratice</w:t>
            </w:r>
            <w:proofErr w:type="spellEnd"/>
            <w:r w:rsidRPr="00825FF0">
              <w:rPr>
                <w:rFonts w:asciiTheme="majorHAnsi" w:eastAsia="Times New Roman" w:hAnsiTheme="majorHAnsi" w:cs="Calibri"/>
                <w:color w:val="000000"/>
                <w:sz w:val="16"/>
                <w:szCs w:val="16"/>
                <w:lang w:eastAsia="en-GB"/>
              </w:rPr>
              <w:t xml:space="preserve"> effects due to short follow-up time</w:t>
            </w:r>
            <w:r w:rsidRPr="00825FF0">
              <w:rPr>
                <w:rFonts w:asciiTheme="majorHAnsi" w:eastAsia="Times New Roman" w:hAnsiTheme="majorHAnsi" w:cs="Calibri"/>
                <w:color w:val="000000"/>
                <w:sz w:val="16"/>
                <w:szCs w:val="16"/>
                <w:lang w:eastAsia="en-GB"/>
              </w:rPr>
              <w:br/>
              <w:t>• Mixture of drug-naïve and drug-free patients</w:t>
            </w:r>
          </w:p>
        </w:tc>
        <w:tc>
          <w:tcPr>
            <w:tcW w:w="0" w:type="auto"/>
            <w:tcBorders>
              <w:top w:val="nil"/>
              <w:left w:val="single" w:sz="4" w:space="0" w:color="auto"/>
              <w:bottom w:val="single" w:sz="4" w:space="0" w:color="auto"/>
              <w:right w:val="single" w:sz="4" w:space="0" w:color="auto"/>
            </w:tcBorders>
            <w:shd w:val="clear" w:color="auto" w:fill="auto"/>
            <w:hideMark/>
          </w:tcPr>
          <w:p w14:paraId="5109F1A5"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w:t>
            </w:r>
          </w:p>
        </w:tc>
      </w:tr>
      <w:tr w:rsidR="00EB5138" w:rsidRPr="00825FF0" w14:paraId="0EAD77B3" w14:textId="77777777" w:rsidTr="004F0A11">
        <w:trPr>
          <w:trHeight w:val="5383"/>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485BBE6"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Olivier et al, (2015)</w:t>
            </w:r>
          </w:p>
          <w:p w14:paraId="31918FA3" w14:textId="77777777" w:rsidR="00C4280B" w:rsidRDefault="00C4280B" w:rsidP="00825FF0">
            <w:pPr>
              <w:rPr>
                <w:rFonts w:asciiTheme="majorHAnsi" w:eastAsia="Times New Roman" w:hAnsiTheme="majorHAnsi" w:cs="Calibri"/>
                <w:color w:val="000000"/>
                <w:sz w:val="16"/>
                <w:szCs w:val="16"/>
                <w:lang w:eastAsia="en-GB"/>
              </w:rPr>
            </w:pPr>
          </w:p>
          <w:p w14:paraId="54D10E22" w14:textId="5F78969B"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[5</w:t>
            </w:r>
            <w:r w:rsidR="007B24BD">
              <w:rPr>
                <w:rFonts w:asciiTheme="majorHAnsi" w:eastAsia="Times New Roman" w:hAnsiTheme="majorHAnsi" w:cs="Calibri"/>
                <w:color w:val="000000"/>
                <w:sz w:val="16"/>
                <w:szCs w:val="16"/>
                <w:lang w:eastAsia="en-GB"/>
              </w:rPr>
              <w:t>8</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73181E1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Case-control design over 12 months.</w:t>
            </w:r>
          </w:p>
        </w:tc>
        <w:tc>
          <w:tcPr>
            <w:tcW w:w="0" w:type="auto"/>
            <w:tcBorders>
              <w:top w:val="single" w:sz="4" w:space="0" w:color="auto"/>
              <w:left w:val="nil"/>
              <w:bottom w:val="single" w:sz="4" w:space="0" w:color="auto"/>
              <w:right w:val="single" w:sz="4" w:space="0" w:color="auto"/>
            </w:tcBorders>
            <w:shd w:val="clear" w:color="auto" w:fill="auto"/>
            <w:hideMark/>
          </w:tcPr>
          <w:p w14:paraId="7F466BB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92 FEP patients</w:t>
            </w:r>
            <w:r w:rsidRPr="00825FF0">
              <w:rPr>
                <w:rFonts w:asciiTheme="majorHAnsi" w:eastAsia="Times New Roman" w:hAnsiTheme="majorHAnsi" w:cs="Calibri"/>
                <w:color w:val="000000"/>
                <w:sz w:val="16"/>
                <w:szCs w:val="16"/>
                <w:lang w:eastAsia="en-GB"/>
              </w:rPr>
              <w:br/>
              <w:t>100 healthy volunteers</w:t>
            </w:r>
          </w:p>
        </w:tc>
        <w:tc>
          <w:tcPr>
            <w:tcW w:w="1320" w:type="dxa"/>
            <w:tcBorders>
              <w:top w:val="single" w:sz="4" w:space="0" w:color="auto"/>
              <w:left w:val="nil"/>
              <w:bottom w:val="single" w:sz="4" w:space="0" w:color="auto"/>
              <w:right w:val="single" w:sz="4" w:space="0" w:color="auto"/>
            </w:tcBorders>
            <w:shd w:val="clear" w:color="auto" w:fill="auto"/>
            <w:hideMark/>
          </w:tcPr>
          <w:p w14:paraId="4B9EF09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Flupenthixol Decanoate (LAI)</w:t>
            </w:r>
          </w:p>
        </w:tc>
        <w:tc>
          <w:tcPr>
            <w:tcW w:w="1363" w:type="dxa"/>
            <w:tcBorders>
              <w:top w:val="single" w:sz="4" w:space="0" w:color="auto"/>
              <w:left w:val="nil"/>
              <w:bottom w:val="single" w:sz="4" w:space="0" w:color="auto"/>
              <w:right w:val="single" w:sz="4" w:space="0" w:color="auto"/>
            </w:tcBorders>
            <w:shd w:val="clear" w:color="auto" w:fill="auto"/>
            <w:hideMark/>
          </w:tcPr>
          <w:p w14:paraId="2B7FE79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10mg</w:t>
            </w:r>
          </w:p>
        </w:tc>
        <w:tc>
          <w:tcPr>
            <w:tcW w:w="0" w:type="auto"/>
            <w:tcBorders>
              <w:top w:val="single" w:sz="4" w:space="0" w:color="auto"/>
              <w:left w:val="nil"/>
              <w:bottom w:val="single" w:sz="4" w:space="0" w:color="auto"/>
              <w:right w:val="single" w:sz="4" w:space="0" w:color="auto"/>
            </w:tcBorders>
            <w:shd w:val="clear" w:color="auto" w:fill="auto"/>
            <w:hideMark/>
          </w:tcPr>
          <w:p w14:paraId="64E4111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&lt; 4 weeks of treatment (not a statistically significant difference at baseline, but difference is present)  </w:t>
            </w:r>
          </w:p>
        </w:tc>
        <w:tc>
          <w:tcPr>
            <w:tcW w:w="935" w:type="dxa"/>
            <w:tcBorders>
              <w:top w:val="single" w:sz="4" w:space="0" w:color="auto"/>
              <w:left w:val="nil"/>
              <w:bottom w:val="single" w:sz="4" w:space="0" w:color="auto"/>
              <w:right w:val="single" w:sz="4" w:space="0" w:color="auto"/>
            </w:tcBorders>
            <w:shd w:val="clear" w:color="auto" w:fill="auto"/>
            <w:hideMark/>
          </w:tcPr>
          <w:p w14:paraId="1C70E15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3181D11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Emotional Intelligence</w:t>
            </w:r>
          </w:p>
        </w:tc>
        <w:tc>
          <w:tcPr>
            <w:tcW w:w="0" w:type="auto"/>
            <w:tcBorders>
              <w:top w:val="single" w:sz="4" w:space="0" w:color="auto"/>
              <w:left w:val="nil"/>
              <w:bottom w:val="single" w:sz="4" w:space="0" w:color="auto"/>
              <w:right w:val="single" w:sz="4" w:space="0" w:color="auto"/>
            </w:tcBorders>
            <w:shd w:val="clear" w:color="auto" w:fill="auto"/>
            <w:hideMark/>
          </w:tcPr>
          <w:p w14:paraId="5C3E932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MCCB</w:t>
            </w:r>
          </w:p>
        </w:tc>
        <w:tc>
          <w:tcPr>
            <w:tcW w:w="0" w:type="auto"/>
            <w:tcBorders>
              <w:top w:val="single" w:sz="4" w:space="0" w:color="auto"/>
              <w:left w:val="nil"/>
              <w:bottom w:val="single" w:sz="4" w:space="0" w:color="auto"/>
              <w:right w:val="single" w:sz="4" w:space="0" w:color="auto"/>
            </w:tcBorders>
            <w:shd w:val="clear" w:color="auto" w:fill="auto"/>
            <w:hideMark/>
          </w:tcPr>
          <w:p w14:paraId="67A0236C" w14:textId="0283E575" w:rsidR="00825FF0" w:rsidRPr="00825FF0" w:rsidRDefault="00E50071"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6-month</w:t>
            </w:r>
            <w:r w:rsidR="00825FF0" w:rsidRPr="00825FF0">
              <w:rPr>
                <w:rFonts w:asciiTheme="majorHAnsi" w:eastAsia="Times New Roman" w:hAnsiTheme="majorHAnsi" w:cs="Calibri"/>
                <w:color w:val="000000"/>
                <w:sz w:val="16"/>
                <w:szCs w:val="16"/>
                <w:lang w:eastAsia="en-GB"/>
              </w:rPr>
              <w:t xml:space="preserve">, 12 </w:t>
            </w:r>
            <w:proofErr w:type="gramStart"/>
            <w:r w:rsidR="00825FF0" w:rsidRPr="00825FF0">
              <w:rPr>
                <w:rFonts w:asciiTheme="majorHAnsi" w:eastAsia="Times New Roman" w:hAnsiTheme="majorHAnsi" w:cs="Calibri"/>
                <w:color w:val="000000"/>
                <w:sz w:val="16"/>
                <w:szCs w:val="16"/>
                <w:lang w:eastAsia="en-GB"/>
              </w:rPr>
              <w:t>month</w:t>
            </w:r>
            <w:proofErr w:type="gramEnd"/>
          </w:p>
        </w:tc>
        <w:tc>
          <w:tcPr>
            <w:tcW w:w="0" w:type="auto"/>
            <w:tcBorders>
              <w:top w:val="single" w:sz="4" w:space="0" w:color="auto"/>
              <w:left w:val="nil"/>
              <w:bottom w:val="single" w:sz="4" w:space="0" w:color="auto"/>
              <w:right w:val="single" w:sz="4" w:space="0" w:color="auto"/>
            </w:tcBorders>
            <w:shd w:val="clear" w:color="auto" w:fill="auto"/>
            <w:hideMark/>
          </w:tcPr>
          <w:p w14:paraId="057BC16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FEP performed significantly worse at baseline in all cognitive domains bar social cognition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FEP significantly improved in all MCCB domains (including social cognition) between baseline and 6 months.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No further improvements were seen in social cognition at 12 months in the FEP group, suggesting stability of emotional intelligence over time.</w:t>
            </w:r>
          </w:p>
        </w:tc>
        <w:tc>
          <w:tcPr>
            <w:tcW w:w="0" w:type="auto"/>
            <w:tcBorders>
              <w:top w:val="single" w:sz="4" w:space="0" w:color="auto"/>
              <w:left w:val="nil"/>
              <w:bottom w:val="single" w:sz="4" w:space="0" w:color="auto"/>
              <w:right w:val="nil"/>
            </w:tcBorders>
            <w:shd w:val="clear" w:color="auto" w:fill="auto"/>
            <w:hideMark/>
          </w:tcPr>
          <w:p w14:paraId="77B8283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 Additional oral </w:t>
            </w:r>
            <w:proofErr w:type="spellStart"/>
            <w:r w:rsidRPr="00825FF0">
              <w:rPr>
                <w:rFonts w:asciiTheme="majorHAnsi" w:eastAsia="Times New Roman" w:hAnsiTheme="majorHAnsi" w:cs="Calibri"/>
                <w:color w:val="000000"/>
                <w:sz w:val="16"/>
                <w:szCs w:val="16"/>
                <w:lang w:eastAsia="en-GB"/>
              </w:rPr>
              <w:t>flupenthixol</w:t>
            </w:r>
            <w:proofErr w:type="spellEnd"/>
            <w:r w:rsidRPr="00825FF0">
              <w:rPr>
                <w:rFonts w:asciiTheme="majorHAnsi" w:eastAsia="Times New Roman" w:hAnsiTheme="majorHAnsi" w:cs="Calibri"/>
                <w:color w:val="000000"/>
                <w:sz w:val="16"/>
                <w:szCs w:val="16"/>
                <w:lang w:eastAsia="en-GB"/>
              </w:rPr>
              <w:t xml:space="preserve"> was prescribed at the discretion of the investigator.</w:t>
            </w:r>
            <w:r w:rsidRPr="00825FF0">
              <w:rPr>
                <w:rFonts w:asciiTheme="majorHAnsi" w:eastAsia="Times New Roman" w:hAnsiTheme="majorHAnsi" w:cs="Calibri"/>
                <w:color w:val="000000"/>
                <w:sz w:val="16"/>
                <w:szCs w:val="16"/>
                <w:lang w:eastAsia="en-GB"/>
              </w:rPr>
              <w:br/>
              <w:t>• Not all patients were tested in their first language</w:t>
            </w:r>
            <w:r w:rsidRPr="00825FF0">
              <w:rPr>
                <w:rFonts w:asciiTheme="majorHAnsi" w:eastAsia="Times New Roman" w:hAnsiTheme="majorHAnsi" w:cs="Calibri"/>
                <w:color w:val="000000"/>
                <w:sz w:val="16"/>
                <w:szCs w:val="16"/>
                <w:lang w:eastAsia="en-GB"/>
              </w:rPr>
              <w:br/>
              <w:t>• Patients were not necessarily antipsychotic naïve</w:t>
            </w:r>
            <w:r w:rsidRPr="00825FF0">
              <w:rPr>
                <w:rFonts w:asciiTheme="majorHAnsi" w:eastAsia="Times New Roman" w:hAnsiTheme="majorHAnsi" w:cs="Calibri"/>
                <w:color w:val="000000"/>
                <w:sz w:val="16"/>
                <w:szCs w:val="16"/>
                <w:lang w:eastAsia="en-GB"/>
              </w:rPr>
              <w:br/>
              <w:t>• One antipsychotic type</w:t>
            </w:r>
            <w:r w:rsidRPr="00825FF0">
              <w:rPr>
                <w:rFonts w:asciiTheme="majorHAnsi" w:eastAsia="Times New Roman" w:hAnsiTheme="majorHAnsi" w:cs="Calibri"/>
                <w:color w:val="000000"/>
                <w:sz w:val="16"/>
                <w:szCs w:val="16"/>
                <w:lang w:eastAsia="en-GB"/>
              </w:rPr>
              <w:br/>
              <w:t>• FEP only</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EECD4D2"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16</w:t>
            </w:r>
          </w:p>
        </w:tc>
      </w:tr>
      <w:tr w:rsidR="00EB5138" w:rsidRPr="00825FF0" w14:paraId="3551F8A3" w14:textId="77777777" w:rsidTr="00825FF0">
        <w:trPr>
          <w:trHeight w:val="2860"/>
        </w:trPr>
        <w:tc>
          <w:tcPr>
            <w:tcW w:w="0" w:type="auto"/>
            <w:tcBorders>
              <w:top w:val="nil"/>
              <w:left w:val="single" w:sz="4" w:space="0" w:color="auto"/>
              <w:bottom w:val="single" w:sz="4" w:space="0" w:color="auto"/>
              <w:right w:val="single" w:sz="4" w:space="0" w:color="auto"/>
            </w:tcBorders>
            <w:shd w:val="clear" w:color="auto" w:fill="auto"/>
            <w:hideMark/>
          </w:tcPr>
          <w:p w14:paraId="7582FCAA"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Zhou et al (2017)</w:t>
            </w:r>
          </w:p>
          <w:p w14:paraId="25F4EEEF" w14:textId="77777777" w:rsidR="00C4280B" w:rsidRDefault="00C4280B" w:rsidP="00825FF0">
            <w:pPr>
              <w:rPr>
                <w:rFonts w:asciiTheme="majorHAnsi" w:eastAsia="Times New Roman" w:hAnsiTheme="majorHAnsi" w:cs="Calibri"/>
                <w:color w:val="000000"/>
                <w:sz w:val="16"/>
                <w:szCs w:val="16"/>
                <w:lang w:eastAsia="en-GB"/>
              </w:rPr>
            </w:pPr>
          </w:p>
          <w:p w14:paraId="2FD5C7CC" w14:textId="7A46D290"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59</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375EB8AC" w14:textId="42F25AE8"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12</w:t>
            </w:r>
            <w:r w:rsidR="004F0A11">
              <w:rPr>
                <w:rFonts w:asciiTheme="majorHAnsi" w:eastAsia="Times New Roman" w:hAnsiTheme="majorHAnsi" w:cs="Calibri"/>
                <w:color w:val="000000"/>
                <w:sz w:val="16"/>
                <w:szCs w:val="16"/>
                <w:lang w:eastAsia="en-GB"/>
              </w:rPr>
              <w:t>-</w:t>
            </w:r>
            <w:r w:rsidRPr="00825FF0">
              <w:rPr>
                <w:rFonts w:asciiTheme="majorHAnsi" w:eastAsia="Times New Roman" w:hAnsiTheme="majorHAnsi" w:cs="Calibri"/>
                <w:color w:val="000000"/>
                <w:sz w:val="16"/>
                <w:szCs w:val="16"/>
                <w:lang w:eastAsia="en-GB"/>
              </w:rPr>
              <w:t>week treatment study</w:t>
            </w:r>
          </w:p>
        </w:tc>
        <w:tc>
          <w:tcPr>
            <w:tcW w:w="0" w:type="auto"/>
            <w:tcBorders>
              <w:top w:val="nil"/>
              <w:left w:val="nil"/>
              <w:bottom w:val="single" w:sz="4" w:space="0" w:color="auto"/>
              <w:right w:val="single" w:sz="4" w:space="0" w:color="auto"/>
            </w:tcBorders>
            <w:shd w:val="clear" w:color="auto" w:fill="auto"/>
            <w:hideMark/>
          </w:tcPr>
          <w:p w14:paraId="47DF76F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56 schizophrenia inpatients</w:t>
            </w:r>
            <w:r w:rsidRPr="00825FF0">
              <w:rPr>
                <w:rFonts w:asciiTheme="majorHAnsi" w:eastAsia="Times New Roman" w:hAnsiTheme="majorHAnsi" w:cs="Calibri"/>
                <w:color w:val="000000"/>
                <w:sz w:val="16"/>
                <w:szCs w:val="16"/>
                <w:lang w:eastAsia="en-GB"/>
              </w:rPr>
              <w:br/>
              <w:t>28 healthy volunteers</w:t>
            </w:r>
          </w:p>
        </w:tc>
        <w:tc>
          <w:tcPr>
            <w:tcW w:w="1320" w:type="dxa"/>
            <w:tcBorders>
              <w:top w:val="nil"/>
              <w:left w:val="nil"/>
              <w:bottom w:val="single" w:sz="4" w:space="0" w:color="auto"/>
              <w:right w:val="single" w:sz="4" w:space="0" w:color="auto"/>
            </w:tcBorders>
            <w:shd w:val="clear" w:color="auto" w:fill="auto"/>
            <w:hideMark/>
          </w:tcPr>
          <w:p w14:paraId="62E41C2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haloperidol (n=12), fluphenazine (n=8),</w:t>
            </w:r>
            <w:r w:rsidRPr="00825FF0">
              <w:rPr>
                <w:rFonts w:asciiTheme="majorHAnsi" w:eastAsia="Times New Roman" w:hAnsiTheme="majorHAnsi" w:cs="Calibri"/>
                <w:color w:val="000000"/>
                <w:sz w:val="16"/>
                <w:szCs w:val="16"/>
                <w:lang w:eastAsia="en-GB"/>
              </w:rPr>
              <w:br/>
              <w:t>chlorpromazine (n=6), or trifluoperazine (n=2).</w:t>
            </w:r>
            <w:r w:rsidRPr="00825FF0">
              <w:rPr>
                <w:rFonts w:asciiTheme="majorHAnsi" w:eastAsia="Times New Roman" w:hAnsiTheme="majorHAnsi" w:cs="Calibri"/>
                <w:color w:val="000000"/>
                <w:sz w:val="16"/>
                <w:szCs w:val="16"/>
                <w:lang w:eastAsia="en-GB"/>
              </w:rPr>
              <w:br/>
              <w:t>Risperidone (n=28)</w:t>
            </w:r>
          </w:p>
        </w:tc>
        <w:tc>
          <w:tcPr>
            <w:tcW w:w="1363" w:type="dxa"/>
            <w:tcBorders>
              <w:top w:val="nil"/>
              <w:left w:val="nil"/>
              <w:bottom w:val="single" w:sz="4" w:space="0" w:color="auto"/>
              <w:right w:val="single" w:sz="4" w:space="0" w:color="auto"/>
            </w:tcBorders>
            <w:shd w:val="clear" w:color="auto" w:fill="auto"/>
            <w:hideMark/>
          </w:tcPr>
          <w:p w14:paraId="6418DB0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The mean</w:t>
            </w:r>
            <w:r w:rsidRPr="00825FF0">
              <w:rPr>
                <w:rFonts w:asciiTheme="majorHAnsi" w:eastAsia="Times New Roman" w:hAnsiTheme="majorHAnsi" w:cs="Calibri"/>
                <w:color w:val="000000"/>
                <w:sz w:val="16"/>
                <w:szCs w:val="16"/>
                <w:lang w:eastAsia="en-GB"/>
              </w:rPr>
              <w:br/>
              <w:t>chlorpromazine-equivalent dose was 502.0±198.3 mg/d.</w:t>
            </w:r>
            <w:r w:rsidRPr="00825FF0">
              <w:rPr>
                <w:rFonts w:asciiTheme="majorHAnsi" w:eastAsia="Times New Roman" w:hAnsiTheme="majorHAnsi" w:cs="Calibri"/>
                <w:color w:val="000000"/>
                <w:sz w:val="16"/>
                <w:szCs w:val="16"/>
                <w:lang w:eastAsia="en-GB"/>
              </w:rPr>
              <w:br/>
              <w:t>The mean (±standard</w:t>
            </w:r>
            <w:r w:rsidRPr="00825FF0">
              <w:rPr>
                <w:rFonts w:asciiTheme="majorHAnsi" w:eastAsia="Times New Roman" w:hAnsiTheme="majorHAnsi" w:cs="Calibri"/>
                <w:color w:val="000000"/>
                <w:sz w:val="16"/>
                <w:szCs w:val="16"/>
                <w:lang w:eastAsia="en-GB"/>
              </w:rPr>
              <w:br/>
              <w:t>deviation) dose of risperidone was 4±1.5 mg/d.</w:t>
            </w:r>
          </w:p>
        </w:tc>
        <w:tc>
          <w:tcPr>
            <w:tcW w:w="0" w:type="auto"/>
            <w:tcBorders>
              <w:top w:val="nil"/>
              <w:left w:val="nil"/>
              <w:bottom w:val="single" w:sz="4" w:space="0" w:color="auto"/>
              <w:right w:val="single" w:sz="4" w:space="0" w:color="auto"/>
            </w:tcBorders>
            <w:shd w:val="clear" w:color="auto" w:fill="auto"/>
            <w:hideMark/>
          </w:tcPr>
          <w:p w14:paraId="2896C99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In the risperidone treatment group, 19 patients were drug-naive and 9 were drug-free (5 for at least 6 months and 4 for at least 1 month). In the typical antipsychotic treatment group, 17 patients were drug-naive and 11 were drug-free (8 for at least 6 months and 5 for at least 1 month).</w:t>
            </w:r>
          </w:p>
        </w:tc>
        <w:tc>
          <w:tcPr>
            <w:tcW w:w="935" w:type="dxa"/>
            <w:tcBorders>
              <w:top w:val="nil"/>
              <w:left w:val="nil"/>
              <w:bottom w:val="single" w:sz="4" w:space="0" w:color="auto"/>
              <w:right w:val="single" w:sz="4" w:space="0" w:color="auto"/>
            </w:tcBorders>
            <w:shd w:val="clear" w:color="auto" w:fill="auto"/>
            <w:hideMark/>
          </w:tcPr>
          <w:p w14:paraId="3BBFCAD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47D4998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4212B59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FEDT</w:t>
            </w:r>
          </w:p>
        </w:tc>
        <w:tc>
          <w:tcPr>
            <w:tcW w:w="0" w:type="auto"/>
            <w:tcBorders>
              <w:top w:val="nil"/>
              <w:left w:val="nil"/>
              <w:bottom w:val="single" w:sz="4" w:space="0" w:color="auto"/>
              <w:right w:val="single" w:sz="4" w:space="0" w:color="auto"/>
            </w:tcBorders>
            <w:shd w:val="clear" w:color="auto" w:fill="auto"/>
            <w:hideMark/>
          </w:tcPr>
          <w:p w14:paraId="62CC809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4 weeks, 12 weeks</w:t>
            </w:r>
          </w:p>
        </w:tc>
        <w:tc>
          <w:tcPr>
            <w:tcW w:w="0" w:type="auto"/>
            <w:tcBorders>
              <w:top w:val="nil"/>
              <w:left w:val="nil"/>
              <w:bottom w:val="single" w:sz="4" w:space="0" w:color="auto"/>
              <w:right w:val="single" w:sz="4" w:space="0" w:color="auto"/>
            </w:tcBorders>
            <w:shd w:val="clear" w:color="auto" w:fill="auto"/>
            <w:hideMark/>
          </w:tcPr>
          <w:p w14:paraId="5A6E5043" w14:textId="53466C84"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showed impairments in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xml:space="preserve">• Risperidone improved social cognition in schizophrenia patients after 12 weeks compared to baseline, but not at 4 weeks. </w:t>
            </w:r>
          </w:p>
        </w:tc>
        <w:tc>
          <w:tcPr>
            <w:tcW w:w="0" w:type="auto"/>
            <w:tcBorders>
              <w:top w:val="nil"/>
              <w:left w:val="nil"/>
              <w:bottom w:val="single" w:sz="4" w:space="0" w:color="auto"/>
              <w:right w:val="nil"/>
            </w:tcBorders>
            <w:shd w:val="clear" w:color="auto" w:fill="auto"/>
            <w:hideMark/>
          </w:tcPr>
          <w:p w14:paraId="5509FCA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Mixture of drug-naïve and drug-free patients</w:t>
            </w:r>
          </w:p>
        </w:tc>
        <w:tc>
          <w:tcPr>
            <w:tcW w:w="0" w:type="auto"/>
            <w:tcBorders>
              <w:top w:val="nil"/>
              <w:left w:val="single" w:sz="4" w:space="0" w:color="auto"/>
              <w:bottom w:val="single" w:sz="4" w:space="0" w:color="auto"/>
              <w:right w:val="single" w:sz="4" w:space="0" w:color="auto"/>
            </w:tcBorders>
            <w:shd w:val="clear" w:color="auto" w:fill="auto"/>
            <w:hideMark/>
          </w:tcPr>
          <w:p w14:paraId="7B2E2BC4"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w:t>
            </w:r>
          </w:p>
        </w:tc>
      </w:tr>
      <w:tr w:rsidR="00EB5138" w:rsidRPr="00825FF0" w14:paraId="35F6E25A" w14:textId="77777777" w:rsidTr="00825FF0">
        <w:trPr>
          <w:trHeight w:val="208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3A8AE73"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Lewis et al (1995)</w:t>
            </w:r>
          </w:p>
          <w:p w14:paraId="532B5FB2" w14:textId="77777777" w:rsidR="00C4280B" w:rsidRDefault="00C4280B" w:rsidP="00825FF0">
            <w:pPr>
              <w:rPr>
                <w:rFonts w:asciiTheme="majorHAnsi" w:eastAsia="Times New Roman" w:hAnsiTheme="majorHAnsi" w:cs="Calibri"/>
                <w:color w:val="000000"/>
                <w:sz w:val="16"/>
                <w:szCs w:val="16"/>
                <w:lang w:eastAsia="en-GB"/>
              </w:rPr>
            </w:pPr>
          </w:p>
          <w:p w14:paraId="24BC5790" w14:textId="63B382AF"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60</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6877FAB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Experimental task</w:t>
            </w:r>
          </w:p>
        </w:tc>
        <w:tc>
          <w:tcPr>
            <w:tcW w:w="0" w:type="auto"/>
            <w:tcBorders>
              <w:top w:val="single" w:sz="4" w:space="0" w:color="auto"/>
              <w:left w:val="nil"/>
              <w:bottom w:val="single" w:sz="4" w:space="0" w:color="auto"/>
              <w:right w:val="single" w:sz="4" w:space="0" w:color="auto"/>
            </w:tcBorders>
            <w:shd w:val="clear" w:color="auto" w:fill="auto"/>
            <w:hideMark/>
          </w:tcPr>
          <w:p w14:paraId="5DD927C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 psychosis patients</w:t>
            </w:r>
            <w:r w:rsidRPr="00825FF0">
              <w:rPr>
                <w:rFonts w:asciiTheme="majorHAnsi" w:eastAsia="Times New Roman" w:hAnsiTheme="majorHAnsi" w:cs="Calibri"/>
                <w:color w:val="000000"/>
                <w:sz w:val="16"/>
                <w:szCs w:val="16"/>
                <w:lang w:eastAsia="en-GB"/>
              </w:rPr>
              <w:br/>
              <w:t>10 healthy volunteers</w:t>
            </w:r>
          </w:p>
        </w:tc>
        <w:tc>
          <w:tcPr>
            <w:tcW w:w="1320" w:type="dxa"/>
            <w:tcBorders>
              <w:top w:val="single" w:sz="4" w:space="0" w:color="auto"/>
              <w:left w:val="nil"/>
              <w:bottom w:val="single" w:sz="4" w:space="0" w:color="auto"/>
              <w:right w:val="single" w:sz="4" w:space="0" w:color="auto"/>
            </w:tcBorders>
            <w:shd w:val="clear" w:color="auto" w:fill="auto"/>
            <w:hideMark/>
          </w:tcPr>
          <w:p w14:paraId="6ED8B29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Haloperidol</w:t>
            </w:r>
          </w:p>
        </w:tc>
        <w:tc>
          <w:tcPr>
            <w:tcW w:w="1363" w:type="dxa"/>
            <w:tcBorders>
              <w:top w:val="single" w:sz="4" w:space="0" w:color="auto"/>
              <w:left w:val="nil"/>
              <w:bottom w:val="single" w:sz="4" w:space="0" w:color="auto"/>
              <w:right w:val="single" w:sz="4" w:space="0" w:color="auto"/>
            </w:tcBorders>
            <w:shd w:val="clear" w:color="auto" w:fill="auto"/>
            <w:hideMark/>
          </w:tcPr>
          <w:p w14:paraId="0A486A3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5-20mg</w:t>
            </w:r>
          </w:p>
        </w:tc>
        <w:tc>
          <w:tcPr>
            <w:tcW w:w="0" w:type="auto"/>
            <w:tcBorders>
              <w:top w:val="single" w:sz="4" w:space="0" w:color="auto"/>
              <w:left w:val="nil"/>
              <w:bottom w:val="single" w:sz="4" w:space="0" w:color="auto"/>
              <w:right w:val="single" w:sz="4" w:space="0" w:color="auto"/>
            </w:tcBorders>
            <w:shd w:val="clear" w:color="auto" w:fill="auto"/>
            <w:hideMark/>
          </w:tcPr>
          <w:p w14:paraId="17201A6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Drug-free at baseline (for an unspecified time period)</w:t>
            </w:r>
          </w:p>
        </w:tc>
        <w:tc>
          <w:tcPr>
            <w:tcW w:w="935" w:type="dxa"/>
            <w:tcBorders>
              <w:top w:val="single" w:sz="4" w:space="0" w:color="auto"/>
              <w:left w:val="nil"/>
              <w:bottom w:val="single" w:sz="4" w:space="0" w:color="auto"/>
              <w:right w:val="single" w:sz="4" w:space="0" w:color="auto"/>
            </w:tcBorders>
            <w:shd w:val="clear" w:color="auto" w:fill="auto"/>
            <w:hideMark/>
          </w:tcPr>
          <w:p w14:paraId="45A1810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5FE0292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3596E8A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single" w:sz="4" w:space="0" w:color="auto"/>
              <w:left w:val="nil"/>
              <w:bottom w:val="single" w:sz="4" w:space="0" w:color="auto"/>
              <w:right w:val="single" w:sz="4" w:space="0" w:color="auto"/>
            </w:tcBorders>
            <w:shd w:val="clear" w:color="auto" w:fill="auto"/>
            <w:hideMark/>
          </w:tcPr>
          <w:p w14:paraId="7968065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2 weeks</w:t>
            </w:r>
          </w:p>
        </w:tc>
        <w:tc>
          <w:tcPr>
            <w:tcW w:w="0" w:type="auto"/>
            <w:tcBorders>
              <w:top w:val="single" w:sz="4" w:space="0" w:color="auto"/>
              <w:left w:val="nil"/>
              <w:bottom w:val="single" w:sz="4" w:space="0" w:color="auto"/>
              <w:right w:val="single" w:sz="4" w:space="0" w:color="auto"/>
            </w:tcBorders>
            <w:shd w:val="clear" w:color="auto" w:fill="auto"/>
            <w:hideMark/>
          </w:tcPr>
          <w:p w14:paraId="26C80FD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showed impairments at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Haloperidol had no effect on patient performance at follow-up compared to baseline scores</w:t>
            </w:r>
          </w:p>
        </w:tc>
        <w:tc>
          <w:tcPr>
            <w:tcW w:w="0" w:type="auto"/>
            <w:tcBorders>
              <w:top w:val="single" w:sz="4" w:space="0" w:color="auto"/>
              <w:left w:val="nil"/>
              <w:bottom w:val="single" w:sz="4" w:space="0" w:color="auto"/>
              <w:right w:val="nil"/>
            </w:tcBorders>
            <w:shd w:val="clear" w:color="auto" w:fill="auto"/>
            <w:hideMark/>
          </w:tcPr>
          <w:p w14:paraId="6415B6F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Small sample size</w:t>
            </w:r>
            <w:r w:rsidRPr="00825FF0">
              <w:rPr>
                <w:rFonts w:asciiTheme="majorHAnsi" w:eastAsia="Times New Roman" w:hAnsiTheme="majorHAnsi" w:cs="Calibri"/>
                <w:color w:val="000000"/>
                <w:sz w:val="16"/>
                <w:szCs w:val="16"/>
                <w:lang w:eastAsia="en-GB"/>
              </w:rPr>
              <w:br/>
              <w:t>• Short follow-up time period - practice effects</w:t>
            </w:r>
            <w:r w:rsidRPr="00825FF0">
              <w:rPr>
                <w:rFonts w:asciiTheme="majorHAnsi" w:eastAsia="Times New Roman" w:hAnsiTheme="majorHAnsi" w:cs="Calibri"/>
                <w:color w:val="000000"/>
                <w:sz w:val="16"/>
                <w:szCs w:val="16"/>
                <w:lang w:eastAsia="en-GB"/>
              </w:rPr>
              <w:br/>
              <w:t>• Did not subtype psychotic patients</w:t>
            </w:r>
            <w:r w:rsidRPr="00825FF0">
              <w:rPr>
                <w:rFonts w:asciiTheme="majorHAnsi" w:eastAsia="Times New Roman" w:hAnsiTheme="majorHAnsi" w:cs="Calibri"/>
                <w:color w:val="000000"/>
                <w:sz w:val="16"/>
                <w:szCs w:val="16"/>
                <w:lang w:eastAsia="en-GB"/>
              </w:rPr>
              <w:br/>
              <w:t>• Patients were not antipsychotic naïve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018796C"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16</w:t>
            </w:r>
          </w:p>
        </w:tc>
      </w:tr>
      <w:tr w:rsidR="00EB5138" w:rsidRPr="00825FF0" w14:paraId="7F296BDF" w14:textId="77777777" w:rsidTr="00825FF0">
        <w:trPr>
          <w:trHeight w:val="2760"/>
        </w:trPr>
        <w:tc>
          <w:tcPr>
            <w:tcW w:w="0" w:type="auto"/>
            <w:tcBorders>
              <w:top w:val="nil"/>
              <w:left w:val="single" w:sz="4" w:space="0" w:color="auto"/>
              <w:bottom w:val="single" w:sz="4" w:space="0" w:color="auto"/>
              <w:right w:val="single" w:sz="4" w:space="0" w:color="auto"/>
            </w:tcBorders>
            <w:shd w:val="clear" w:color="auto" w:fill="auto"/>
            <w:hideMark/>
          </w:tcPr>
          <w:p w14:paraId="5DCC43CC" w14:textId="77777777" w:rsidR="00825FF0" w:rsidRDefault="00825FF0" w:rsidP="00825FF0">
            <w:pPr>
              <w:rPr>
                <w:rFonts w:asciiTheme="majorHAnsi" w:eastAsia="Times New Roman" w:hAnsiTheme="majorHAnsi" w:cs="Calibri"/>
                <w:color w:val="000000"/>
                <w:sz w:val="16"/>
                <w:szCs w:val="16"/>
                <w:lang w:eastAsia="en-GB"/>
              </w:rPr>
            </w:pPr>
            <w:proofErr w:type="spellStart"/>
            <w:r w:rsidRPr="00825FF0">
              <w:rPr>
                <w:rFonts w:asciiTheme="majorHAnsi" w:eastAsia="Times New Roman" w:hAnsiTheme="majorHAnsi" w:cs="Calibri"/>
                <w:color w:val="000000"/>
                <w:sz w:val="16"/>
                <w:szCs w:val="16"/>
                <w:lang w:eastAsia="en-GB"/>
              </w:rPr>
              <w:t>Wölwer</w:t>
            </w:r>
            <w:proofErr w:type="spellEnd"/>
            <w:r w:rsidRPr="00825FF0">
              <w:rPr>
                <w:rFonts w:asciiTheme="majorHAnsi" w:eastAsia="Times New Roman" w:hAnsiTheme="majorHAnsi" w:cs="Calibri"/>
                <w:color w:val="000000"/>
                <w:sz w:val="16"/>
                <w:szCs w:val="16"/>
                <w:lang w:eastAsia="en-GB"/>
              </w:rPr>
              <w:t xml:space="preserve"> et al (1996)</w:t>
            </w:r>
          </w:p>
          <w:p w14:paraId="609BBD4E" w14:textId="77777777" w:rsidR="00C4280B" w:rsidRDefault="00C4280B" w:rsidP="00825FF0">
            <w:pPr>
              <w:rPr>
                <w:rFonts w:asciiTheme="majorHAnsi" w:eastAsia="Times New Roman" w:hAnsiTheme="majorHAnsi" w:cs="Calibri"/>
                <w:color w:val="000000"/>
                <w:sz w:val="16"/>
                <w:szCs w:val="16"/>
                <w:lang w:eastAsia="en-GB"/>
              </w:rPr>
            </w:pPr>
          </w:p>
          <w:p w14:paraId="6EEE298B" w14:textId="77777777" w:rsidR="00C4280B" w:rsidRDefault="00C4280B" w:rsidP="00825FF0">
            <w:pPr>
              <w:rPr>
                <w:rFonts w:asciiTheme="majorHAnsi" w:eastAsia="Times New Roman" w:hAnsiTheme="majorHAnsi" w:cs="Calibri"/>
                <w:color w:val="000000"/>
                <w:sz w:val="16"/>
                <w:szCs w:val="16"/>
                <w:lang w:eastAsia="en-GB"/>
              </w:rPr>
            </w:pPr>
          </w:p>
          <w:p w14:paraId="5B56606C" w14:textId="6CAC8C5F"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67</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1BBE054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Experimental task</w:t>
            </w:r>
          </w:p>
        </w:tc>
        <w:tc>
          <w:tcPr>
            <w:tcW w:w="0" w:type="auto"/>
            <w:tcBorders>
              <w:top w:val="nil"/>
              <w:left w:val="nil"/>
              <w:bottom w:val="single" w:sz="4" w:space="0" w:color="auto"/>
              <w:right w:val="single" w:sz="4" w:space="0" w:color="auto"/>
            </w:tcBorders>
            <w:shd w:val="clear" w:color="auto" w:fill="auto"/>
            <w:hideMark/>
          </w:tcPr>
          <w:p w14:paraId="63DC1EF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32 acute schizophrenia inpatients (S/a)</w:t>
            </w:r>
            <w:r w:rsidRPr="00825FF0">
              <w:rPr>
                <w:rFonts w:asciiTheme="majorHAnsi" w:eastAsia="Times New Roman" w:hAnsiTheme="majorHAnsi" w:cs="Calibri"/>
                <w:color w:val="000000"/>
                <w:sz w:val="16"/>
                <w:szCs w:val="16"/>
                <w:lang w:eastAsia="en-GB"/>
              </w:rPr>
              <w:br/>
              <w:t>36 remitted schizophrenic patients (S/r)</w:t>
            </w:r>
            <w:r w:rsidRPr="00825FF0">
              <w:rPr>
                <w:rFonts w:asciiTheme="majorHAnsi" w:eastAsia="Times New Roman" w:hAnsiTheme="majorHAnsi" w:cs="Calibri"/>
                <w:color w:val="000000"/>
                <w:sz w:val="16"/>
                <w:szCs w:val="16"/>
                <w:lang w:eastAsia="en-GB"/>
              </w:rPr>
              <w:br/>
              <w:t>21 healthy volunteers</w:t>
            </w:r>
          </w:p>
        </w:tc>
        <w:tc>
          <w:tcPr>
            <w:tcW w:w="1320" w:type="dxa"/>
            <w:tcBorders>
              <w:top w:val="nil"/>
              <w:left w:val="nil"/>
              <w:bottom w:val="single" w:sz="4" w:space="0" w:color="auto"/>
              <w:right w:val="single" w:sz="4" w:space="0" w:color="auto"/>
            </w:tcBorders>
            <w:shd w:val="clear" w:color="auto" w:fill="auto"/>
            <w:hideMark/>
          </w:tcPr>
          <w:p w14:paraId="0E9C1AA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Perazine</w:t>
            </w:r>
            <w:r w:rsidRPr="00825FF0">
              <w:rPr>
                <w:rFonts w:asciiTheme="majorHAnsi" w:eastAsia="Times New Roman" w:hAnsiTheme="majorHAnsi" w:cs="Calibri"/>
                <w:color w:val="000000"/>
                <w:sz w:val="16"/>
                <w:szCs w:val="16"/>
                <w:lang w:eastAsia="en-GB"/>
              </w:rPr>
              <w:br/>
              <w:t>Haloperidol</w:t>
            </w:r>
            <w:r w:rsidRPr="00825FF0">
              <w:rPr>
                <w:rFonts w:asciiTheme="majorHAnsi" w:eastAsia="Times New Roman" w:hAnsiTheme="majorHAnsi" w:cs="Calibri"/>
                <w:color w:val="000000"/>
                <w:sz w:val="16"/>
                <w:szCs w:val="16"/>
                <w:lang w:eastAsia="en-GB"/>
              </w:rPr>
              <w:br/>
              <w:t>Chlorpromazine</w:t>
            </w:r>
            <w:r w:rsidRPr="00825FF0">
              <w:rPr>
                <w:rFonts w:asciiTheme="majorHAnsi" w:eastAsia="Times New Roman" w:hAnsiTheme="majorHAnsi" w:cs="Calibri"/>
                <w:color w:val="000000"/>
                <w:sz w:val="16"/>
                <w:szCs w:val="16"/>
                <w:lang w:eastAsia="en-GB"/>
              </w:rPr>
              <w:br/>
              <w:t>Clozapine</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b/>
                <w:bCs/>
                <w:color w:val="000000"/>
                <w:sz w:val="16"/>
                <w:szCs w:val="16"/>
                <w:lang w:eastAsia="en-GB"/>
              </w:rPr>
              <w:t>S/r and S/a only</w:t>
            </w:r>
          </w:p>
        </w:tc>
        <w:tc>
          <w:tcPr>
            <w:tcW w:w="1363" w:type="dxa"/>
            <w:tcBorders>
              <w:top w:val="nil"/>
              <w:left w:val="nil"/>
              <w:bottom w:val="single" w:sz="4" w:space="0" w:color="auto"/>
              <w:right w:val="single" w:sz="4" w:space="0" w:color="auto"/>
            </w:tcBorders>
            <w:shd w:val="clear" w:color="auto" w:fill="auto"/>
            <w:hideMark/>
          </w:tcPr>
          <w:p w14:paraId="15B86D3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The S/a were orally treated with either perazine (n = 20) or haloperidol (n = 12). The average daily dosage in chlorpromazine equivalents (CPZE) in the T0-T1 interval did not differ significantly (perazine: 436 + 217 mg CPZE; haloperidol: 531 + 313 mg CPZE). Among S/r 10 patients were treated with clozapine (mean daily dosage = 426 -+ 144 mg CPZE), 21 received typical neuroleptic drugs either orally or as depot (mean daily dosage = 477 + 430 mg CPZE)</w:t>
            </w:r>
          </w:p>
        </w:tc>
        <w:tc>
          <w:tcPr>
            <w:tcW w:w="0" w:type="auto"/>
            <w:tcBorders>
              <w:top w:val="nil"/>
              <w:left w:val="nil"/>
              <w:bottom w:val="single" w:sz="4" w:space="0" w:color="auto"/>
              <w:right w:val="single" w:sz="4" w:space="0" w:color="auto"/>
            </w:tcBorders>
            <w:shd w:val="clear" w:color="auto" w:fill="auto"/>
            <w:hideMark/>
          </w:tcPr>
          <w:p w14:paraId="5F428EF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Among S/r 10 patients were treated with clozapine (mean daily dosage = 426 -+ 144 mg CPZE), 21 received typical neuroleptic drugs either orally or as depot (mean daily dosage = 477 + 430 mg CPZE) and 5 patients were drug-free in the T0"-T1" interval. Five S/a, but none of the S/r, received anticholinergic medication.</w:t>
            </w:r>
          </w:p>
        </w:tc>
        <w:tc>
          <w:tcPr>
            <w:tcW w:w="935" w:type="dxa"/>
            <w:tcBorders>
              <w:top w:val="nil"/>
              <w:left w:val="nil"/>
              <w:bottom w:val="single" w:sz="4" w:space="0" w:color="auto"/>
              <w:right w:val="single" w:sz="4" w:space="0" w:color="auto"/>
            </w:tcBorders>
            <w:shd w:val="clear" w:color="auto" w:fill="auto"/>
            <w:hideMark/>
          </w:tcPr>
          <w:p w14:paraId="1772F46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3017752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0EF7240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3A2EE55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4 weeks</w:t>
            </w:r>
          </w:p>
        </w:tc>
        <w:tc>
          <w:tcPr>
            <w:tcW w:w="0" w:type="auto"/>
            <w:tcBorders>
              <w:top w:val="nil"/>
              <w:left w:val="nil"/>
              <w:bottom w:val="single" w:sz="4" w:space="0" w:color="auto"/>
              <w:right w:val="single" w:sz="4" w:space="0" w:color="auto"/>
            </w:tcBorders>
            <w:shd w:val="clear" w:color="auto" w:fill="auto"/>
            <w:hideMark/>
          </w:tcPr>
          <w:p w14:paraId="3421BDB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Acute and remitted schizophrenic patients demonstrated a stable deficit in emotion recognition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Antipsychotic medication had no effect on patient performance at follow-up compared to baseline scores.</w:t>
            </w:r>
          </w:p>
        </w:tc>
        <w:tc>
          <w:tcPr>
            <w:tcW w:w="0" w:type="auto"/>
            <w:tcBorders>
              <w:top w:val="nil"/>
              <w:left w:val="nil"/>
              <w:bottom w:val="single" w:sz="4" w:space="0" w:color="auto"/>
              <w:right w:val="nil"/>
            </w:tcBorders>
            <w:shd w:val="clear" w:color="auto" w:fill="auto"/>
            <w:hideMark/>
          </w:tcPr>
          <w:p w14:paraId="0D77A6F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Non-randomised design</w:t>
            </w:r>
            <w:r w:rsidRPr="00825FF0">
              <w:rPr>
                <w:rFonts w:asciiTheme="majorHAnsi" w:eastAsia="Times New Roman" w:hAnsiTheme="majorHAnsi" w:cs="Calibri"/>
                <w:color w:val="000000"/>
                <w:sz w:val="16"/>
                <w:szCs w:val="16"/>
                <w:lang w:eastAsia="en-GB"/>
              </w:rPr>
              <w:br/>
              <w:t>• Short follow-up - practice effects</w:t>
            </w:r>
            <w:r w:rsidRPr="00825FF0">
              <w:rPr>
                <w:rFonts w:asciiTheme="majorHAnsi" w:eastAsia="Times New Roman" w:hAnsiTheme="majorHAnsi" w:cs="Calibri"/>
                <w:color w:val="000000"/>
                <w:sz w:val="16"/>
                <w:szCs w:val="16"/>
                <w:lang w:eastAsia="en-GB"/>
              </w:rPr>
              <w:br/>
              <w:t>• Patients were not antipsychotic naïve</w:t>
            </w:r>
          </w:p>
        </w:tc>
        <w:tc>
          <w:tcPr>
            <w:tcW w:w="0" w:type="auto"/>
            <w:tcBorders>
              <w:top w:val="nil"/>
              <w:left w:val="single" w:sz="4" w:space="0" w:color="auto"/>
              <w:bottom w:val="single" w:sz="4" w:space="0" w:color="auto"/>
              <w:right w:val="single" w:sz="4" w:space="0" w:color="auto"/>
            </w:tcBorders>
            <w:shd w:val="clear" w:color="auto" w:fill="auto"/>
            <w:hideMark/>
          </w:tcPr>
          <w:p w14:paraId="424C2B64"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w:t>
            </w:r>
          </w:p>
        </w:tc>
      </w:tr>
      <w:tr w:rsidR="00EB5138" w:rsidRPr="00825FF0" w14:paraId="2B9E8728" w14:textId="77777777" w:rsidTr="00825FF0">
        <w:trPr>
          <w:trHeight w:val="234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043A9A0" w14:textId="77777777" w:rsidR="00825FF0" w:rsidRDefault="00825FF0" w:rsidP="00825FF0">
            <w:pPr>
              <w:rPr>
                <w:rFonts w:asciiTheme="majorHAnsi" w:eastAsia="Times New Roman" w:hAnsiTheme="majorHAnsi" w:cs="Calibri"/>
                <w:color w:val="000000"/>
                <w:sz w:val="16"/>
                <w:szCs w:val="16"/>
                <w:lang w:eastAsia="en-GB"/>
              </w:rPr>
            </w:pPr>
            <w:proofErr w:type="spellStart"/>
            <w:r w:rsidRPr="00825FF0">
              <w:rPr>
                <w:rFonts w:asciiTheme="majorHAnsi" w:eastAsia="Times New Roman" w:hAnsiTheme="majorHAnsi" w:cs="Calibri"/>
                <w:color w:val="000000"/>
                <w:sz w:val="16"/>
                <w:szCs w:val="16"/>
                <w:lang w:eastAsia="en-GB"/>
              </w:rPr>
              <w:lastRenderedPageBreak/>
              <w:t>Herbener</w:t>
            </w:r>
            <w:proofErr w:type="spellEnd"/>
            <w:r w:rsidRPr="00825FF0">
              <w:rPr>
                <w:rFonts w:asciiTheme="majorHAnsi" w:eastAsia="Times New Roman" w:hAnsiTheme="majorHAnsi" w:cs="Calibri"/>
                <w:color w:val="000000"/>
                <w:sz w:val="16"/>
                <w:szCs w:val="16"/>
                <w:lang w:eastAsia="en-GB"/>
              </w:rPr>
              <w:t xml:space="preserve"> et al (2005)</w:t>
            </w:r>
          </w:p>
          <w:p w14:paraId="10E2CC39" w14:textId="77777777" w:rsidR="00C4280B" w:rsidRDefault="00C4280B" w:rsidP="00825FF0">
            <w:pPr>
              <w:rPr>
                <w:rFonts w:asciiTheme="majorHAnsi" w:eastAsia="Times New Roman" w:hAnsiTheme="majorHAnsi" w:cs="Calibri"/>
                <w:color w:val="000000"/>
                <w:sz w:val="16"/>
                <w:szCs w:val="16"/>
                <w:lang w:eastAsia="en-GB"/>
              </w:rPr>
            </w:pPr>
          </w:p>
          <w:p w14:paraId="731C5454" w14:textId="60C0A0B4"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61</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20DC005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Short-term follow-up study</w:t>
            </w:r>
          </w:p>
        </w:tc>
        <w:tc>
          <w:tcPr>
            <w:tcW w:w="0" w:type="auto"/>
            <w:tcBorders>
              <w:top w:val="single" w:sz="4" w:space="0" w:color="auto"/>
              <w:left w:val="nil"/>
              <w:bottom w:val="single" w:sz="4" w:space="0" w:color="auto"/>
              <w:right w:val="single" w:sz="4" w:space="0" w:color="auto"/>
            </w:tcBorders>
            <w:shd w:val="clear" w:color="auto" w:fill="auto"/>
            <w:hideMark/>
          </w:tcPr>
          <w:p w14:paraId="3306041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13 schizophrenia patients</w:t>
            </w:r>
            <w:r w:rsidRPr="00825FF0">
              <w:rPr>
                <w:rFonts w:asciiTheme="majorHAnsi" w:eastAsia="Times New Roman" w:hAnsiTheme="majorHAnsi" w:cs="Calibri"/>
                <w:color w:val="000000"/>
                <w:sz w:val="16"/>
                <w:szCs w:val="16"/>
                <w:lang w:eastAsia="en-GB"/>
              </w:rPr>
              <w:br/>
              <w:t>13 healthy volunteers</w:t>
            </w:r>
          </w:p>
        </w:tc>
        <w:tc>
          <w:tcPr>
            <w:tcW w:w="1320" w:type="dxa"/>
            <w:tcBorders>
              <w:top w:val="single" w:sz="4" w:space="0" w:color="auto"/>
              <w:left w:val="nil"/>
              <w:bottom w:val="single" w:sz="4" w:space="0" w:color="auto"/>
              <w:right w:val="single" w:sz="4" w:space="0" w:color="auto"/>
            </w:tcBorders>
            <w:shd w:val="clear" w:color="auto" w:fill="auto"/>
            <w:hideMark/>
          </w:tcPr>
          <w:p w14:paraId="08D8A5B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Risperidone</w:t>
            </w:r>
            <w:r w:rsidRPr="00825FF0">
              <w:rPr>
                <w:rFonts w:asciiTheme="majorHAnsi" w:eastAsia="Times New Roman" w:hAnsiTheme="majorHAnsi" w:cs="Calibri"/>
                <w:color w:val="000000"/>
                <w:sz w:val="16"/>
                <w:szCs w:val="16"/>
                <w:lang w:eastAsia="en-GB"/>
              </w:rPr>
              <w:br/>
              <w:t>Ziprasidone</w:t>
            </w:r>
            <w:r w:rsidRPr="00825FF0">
              <w:rPr>
                <w:rFonts w:asciiTheme="majorHAnsi" w:eastAsia="Times New Roman" w:hAnsiTheme="majorHAnsi" w:cs="Calibri"/>
                <w:color w:val="000000"/>
                <w:sz w:val="16"/>
                <w:szCs w:val="16"/>
                <w:lang w:eastAsia="en-GB"/>
              </w:rPr>
              <w:br/>
              <w:t>Aripiprazole</w:t>
            </w:r>
            <w:r w:rsidRPr="00825FF0">
              <w:rPr>
                <w:rFonts w:asciiTheme="majorHAnsi" w:eastAsia="Times New Roman" w:hAnsiTheme="majorHAnsi" w:cs="Calibri"/>
                <w:color w:val="000000"/>
                <w:sz w:val="16"/>
                <w:szCs w:val="16"/>
                <w:lang w:eastAsia="en-GB"/>
              </w:rPr>
              <w:br/>
              <w:t>Haloperidol</w:t>
            </w:r>
          </w:p>
        </w:tc>
        <w:tc>
          <w:tcPr>
            <w:tcW w:w="1363" w:type="dxa"/>
            <w:tcBorders>
              <w:top w:val="single" w:sz="4" w:space="0" w:color="auto"/>
              <w:left w:val="nil"/>
              <w:bottom w:val="single" w:sz="4" w:space="0" w:color="auto"/>
              <w:right w:val="single" w:sz="4" w:space="0" w:color="auto"/>
            </w:tcBorders>
            <w:shd w:val="clear" w:color="auto" w:fill="auto"/>
            <w:hideMark/>
          </w:tcPr>
          <w:p w14:paraId="3967930D"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mean dose</w:t>
            </w:r>
            <w:r>
              <w:rPr>
                <w:rFonts w:asciiTheme="majorHAnsi" w:eastAsia="Times New Roman" w:hAnsiTheme="majorHAnsi" w:cs="Calibri"/>
                <w:color w:val="000000"/>
                <w:sz w:val="16"/>
                <w:szCs w:val="16"/>
                <w:lang w:eastAsia="en-GB"/>
              </w:rPr>
              <w:t xml:space="preserve"> </w:t>
            </w:r>
          </w:p>
          <w:p w14:paraId="7A59A3B5" w14:textId="4532655E"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 3.38mg</w:t>
            </w:r>
            <w:r w:rsidRPr="00825FF0">
              <w:rPr>
                <w:rFonts w:asciiTheme="majorHAnsi" w:eastAsia="Times New Roman" w:hAnsiTheme="majorHAnsi" w:cs="Calibri"/>
                <w:color w:val="000000"/>
                <w:sz w:val="16"/>
                <w:szCs w:val="16"/>
                <w:lang w:eastAsia="en-GB"/>
              </w:rPr>
              <w:br/>
              <w:t>Z= 140mg</w:t>
            </w:r>
            <w:r w:rsidRPr="00825FF0">
              <w:rPr>
                <w:rFonts w:asciiTheme="majorHAnsi" w:eastAsia="Times New Roman" w:hAnsiTheme="majorHAnsi" w:cs="Calibri"/>
                <w:color w:val="000000"/>
                <w:sz w:val="16"/>
                <w:szCs w:val="16"/>
                <w:lang w:eastAsia="en-GB"/>
              </w:rPr>
              <w:br/>
              <w:t>A= 30mg</w:t>
            </w:r>
            <w:r w:rsidRPr="00825FF0">
              <w:rPr>
                <w:rFonts w:asciiTheme="majorHAnsi" w:eastAsia="Times New Roman" w:hAnsiTheme="majorHAnsi" w:cs="Calibri"/>
                <w:color w:val="000000"/>
                <w:sz w:val="16"/>
                <w:szCs w:val="16"/>
                <w:lang w:eastAsia="en-GB"/>
              </w:rPr>
              <w:br/>
              <w:t>H= 4.5mg</w:t>
            </w:r>
          </w:p>
        </w:tc>
        <w:tc>
          <w:tcPr>
            <w:tcW w:w="0" w:type="auto"/>
            <w:tcBorders>
              <w:top w:val="single" w:sz="4" w:space="0" w:color="auto"/>
              <w:left w:val="nil"/>
              <w:bottom w:val="single" w:sz="4" w:space="0" w:color="auto"/>
              <w:right w:val="single" w:sz="4" w:space="0" w:color="auto"/>
            </w:tcBorders>
            <w:shd w:val="clear" w:color="auto" w:fill="auto"/>
            <w:hideMark/>
          </w:tcPr>
          <w:p w14:paraId="5BEA553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&lt; 4 weeks prior antipsychotic treatment in lifetime</w:t>
            </w:r>
          </w:p>
        </w:tc>
        <w:tc>
          <w:tcPr>
            <w:tcW w:w="935" w:type="dxa"/>
            <w:tcBorders>
              <w:top w:val="single" w:sz="4" w:space="0" w:color="auto"/>
              <w:left w:val="nil"/>
              <w:bottom w:val="single" w:sz="4" w:space="0" w:color="auto"/>
              <w:right w:val="single" w:sz="4" w:space="0" w:color="auto"/>
            </w:tcBorders>
            <w:shd w:val="clear" w:color="auto" w:fill="auto"/>
            <w:hideMark/>
          </w:tcPr>
          <w:p w14:paraId="47D4A9A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447D30C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11C421BA" w14:textId="1C0C6B6A" w:rsidR="00A54340" w:rsidRPr="00825FF0" w:rsidRDefault="00A54340"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CNB</w:t>
            </w:r>
          </w:p>
        </w:tc>
        <w:tc>
          <w:tcPr>
            <w:tcW w:w="0" w:type="auto"/>
            <w:tcBorders>
              <w:top w:val="single" w:sz="4" w:space="0" w:color="auto"/>
              <w:left w:val="nil"/>
              <w:bottom w:val="single" w:sz="4" w:space="0" w:color="auto"/>
              <w:right w:val="single" w:sz="4" w:space="0" w:color="auto"/>
            </w:tcBorders>
            <w:shd w:val="clear" w:color="auto" w:fill="auto"/>
            <w:hideMark/>
          </w:tcPr>
          <w:p w14:paraId="2C4E863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average 31.3 days later (where clinically stable)</w:t>
            </w:r>
          </w:p>
        </w:tc>
        <w:tc>
          <w:tcPr>
            <w:tcW w:w="0" w:type="auto"/>
            <w:tcBorders>
              <w:top w:val="single" w:sz="4" w:space="0" w:color="auto"/>
              <w:left w:val="nil"/>
              <w:bottom w:val="single" w:sz="4" w:space="0" w:color="auto"/>
              <w:right w:val="single" w:sz="4" w:space="0" w:color="auto"/>
            </w:tcBorders>
            <w:shd w:val="clear" w:color="auto" w:fill="auto"/>
            <w:hideMark/>
          </w:tcPr>
          <w:p w14:paraId="5B805EF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showed impairments at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Antipsychotic medication had no effect on patient performance at follow-up compared to baseline scores</w:t>
            </w:r>
          </w:p>
        </w:tc>
        <w:tc>
          <w:tcPr>
            <w:tcW w:w="0" w:type="auto"/>
            <w:tcBorders>
              <w:top w:val="single" w:sz="4" w:space="0" w:color="auto"/>
              <w:left w:val="nil"/>
              <w:bottom w:val="single" w:sz="4" w:space="0" w:color="auto"/>
              <w:right w:val="nil"/>
            </w:tcBorders>
            <w:shd w:val="clear" w:color="auto" w:fill="auto"/>
            <w:hideMark/>
          </w:tcPr>
          <w:p w14:paraId="66C8529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Limited sample size</w:t>
            </w:r>
            <w:r w:rsidRPr="00825FF0">
              <w:rPr>
                <w:rFonts w:asciiTheme="majorHAnsi" w:eastAsia="Times New Roman" w:hAnsiTheme="majorHAnsi" w:cs="Calibri"/>
                <w:color w:val="000000"/>
                <w:sz w:val="16"/>
                <w:szCs w:val="16"/>
                <w:lang w:eastAsia="en-GB"/>
              </w:rPr>
              <w:br/>
              <w:t>• Non-randomised design</w:t>
            </w:r>
            <w:r w:rsidRPr="00825FF0">
              <w:rPr>
                <w:rFonts w:asciiTheme="majorHAnsi" w:eastAsia="Times New Roman" w:hAnsiTheme="majorHAnsi" w:cs="Calibri"/>
                <w:color w:val="000000"/>
                <w:sz w:val="16"/>
                <w:szCs w:val="16"/>
                <w:lang w:eastAsia="en-GB"/>
              </w:rPr>
              <w:br/>
              <w:t>• Short follow-up time - practice effects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E166146"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11</w:t>
            </w:r>
          </w:p>
        </w:tc>
      </w:tr>
      <w:tr w:rsidR="00EB5138" w:rsidRPr="00825FF0" w14:paraId="0915CE25" w14:textId="77777777" w:rsidTr="004F0A11">
        <w:trPr>
          <w:trHeight w:val="6025"/>
        </w:trPr>
        <w:tc>
          <w:tcPr>
            <w:tcW w:w="0" w:type="auto"/>
            <w:tcBorders>
              <w:top w:val="nil"/>
              <w:left w:val="single" w:sz="4" w:space="0" w:color="auto"/>
              <w:bottom w:val="single" w:sz="4" w:space="0" w:color="auto"/>
              <w:right w:val="single" w:sz="4" w:space="0" w:color="auto"/>
            </w:tcBorders>
            <w:shd w:val="clear" w:color="auto" w:fill="auto"/>
            <w:hideMark/>
          </w:tcPr>
          <w:p w14:paraId="4C59D2B5" w14:textId="77777777" w:rsidR="00825FF0" w:rsidRDefault="00825FF0" w:rsidP="00825FF0">
            <w:pPr>
              <w:rPr>
                <w:rFonts w:asciiTheme="majorHAnsi" w:eastAsia="Times New Roman" w:hAnsiTheme="majorHAnsi" w:cs="Calibri"/>
                <w:color w:val="000000"/>
                <w:sz w:val="16"/>
                <w:szCs w:val="16"/>
                <w:lang w:eastAsia="en-GB"/>
              </w:rPr>
            </w:pPr>
            <w:proofErr w:type="spellStart"/>
            <w:r w:rsidRPr="00825FF0">
              <w:rPr>
                <w:rFonts w:asciiTheme="majorHAnsi" w:eastAsia="Times New Roman" w:hAnsiTheme="majorHAnsi" w:cs="Calibri"/>
                <w:color w:val="000000"/>
                <w:sz w:val="16"/>
                <w:szCs w:val="16"/>
                <w:lang w:eastAsia="en-GB"/>
              </w:rPr>
              <w:t>Daros</w:t>
            </w:r>
            <w:proofErr w:type="spellEnd"/>
            <w:r w:rsidRPr="00825FF0">
              <w:rPr>
                <w:rFonts w:asciiTheme="majorHAnsi" w:eastAsia="Times New Roman" w:hAnsiTheme="majorHAnsi" w:cs="Calibri"/>
                <w:color w:val="000000"/>
                <w:sz w:val="16"/>
                <w:szCs w:val="16"/>
                <w:lang w:eastAsia="en-GB"/>
              </w:rPr>
              <w:t xml:space="preserve"> et al (2014)</w:t>
            </w:r>
          </w:p>
          <w:p w14:paraId="56F2BE1E" w14:textId="77777777" w:rsidR="00C4280B" w:rsidRDefault="00C4280B" w:rsidP="00825FF0">
            <w:pPr>
              <w:rPr>
                <w:rFonts w:asciiTheme="majorHAnsi" w:eastAsia="Times New Roman" w:hAnsiTheme="majorHAnsi" w:cs="Calibri"/>
                <w:color w:val="000000"/>
                <w:sz w:val="16"/>
                <w:szCs w:val="16"/>
                <w:lang w:eastAsia="en-GB"/>
              </w:rPr>
            </w:pPr>
          </w:p>
          <w:p w14:paraId="7BB3E35E" w14:textId="6CB40D56"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64</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3F26852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Blocked experimental task</w:t>
            </w:r>
          </w:p>
        </w:tc>
        <w:tc>
          <w:tcPr>
            <w:tcW w:w="0" w:type="auto"/>
            <w:tcBorders>
              <w:top w:val="nil"/>
              <w:left w:val="nil"/>
              <w:bottom w:val="single" w:sz="4" w:space="0" w:color="auto"/>
              <w:right w:val="single" w:sz="4" w:space="0" w:color="auto"/>
            </w:tcBorders>
            <w:shd w:val="clear" w:color="auto" w:fill="auto"/>
            <w:hideMark/>
          </w:tcPr>
          <w:p w14:paraId="43D0359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54 Healthy volunteers</w:t>
            </w:r>
            <w:r w:rsidRPr="00825FF0">
              <w:rPr>
                <w:rFonts w:asciiTheme="majorHAnsi" w:eastAsia="Times New Roman" w:hAnsiTheme="majorHAnsi" w:cs="Calibri"/>
                <w:color w:val="000000"/>
                <w:sz w:val="16"/>
                <w:szCs w:val="16"/>
                <w:lang w:eastAsia="en-GB"/>
              </w:rPr>
              <w:br/>
              <w:t>29 Schizophrenia patients</w:t>
            </w:r>
            <w:r w:rsidRPr="00825FF0">
              <w:rPr>
                <w:rFonts w:asciiTheme="majorHAnsi" w:eastAsia="Times New Roman" w:hAnsiTheme="majorHAnsi" w:cs="Calibri"/>
                <w:color w:val="000000"/>
                <w:sz w:val="16"/>
                <w:szCs w:val="16"/>
                <w:lang w:eastAsia="en-GB"/>
              </w:rPr>
              <w:br/>
              <w:t>28 Bipolar Disorder patients</w:t>
            </w:r>
          </w:p>
        </w:tc>
        <w:tc>
          <w:tcPr>
            <w:tcW w:w="1320" w:type="dxa"/>
            <w:tcBorders>
              <w:top w:val="nil"/>
              <w:left w:val="nil"/>
              <w:bottom w:val="single" w:sz="4" w:space="0" w:color="auto"/>
              <w:right w:val="single" w:sz="4" w:space="0" w:color="auto"/>
            </w:tcBorders>
            <w:shd w:val="clear" w:color="auto" w:fill="auto"/>
            <w:hideMark/>
          </w:tcPr>
          <w:p w14:paraId="25A5A43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b/>
                <w:bCs/>
                <w:color w:val="000000"/>
                <w:sz w:val="16"/>
                <w:szCs w:val="16"/>
                <w:lang w:eastAsia="en-GB"/>
              </w:rPr>
              <w:t>Schizophrenia</w:t>
            </w:r>
            <w:r w:rsidRPr="00825FF0">
              <w:rPr>
                <w:rFonts w:asciiTheme="majorHAnsi" w:eastAsia="Times New Roman" w:hAnsiTheme="majorHAnsi" w:cs="Calibri"/>
                <w:color w:val="000000"/>
                <w:sz w:val="16"/>
                <w:szCs w:val="16"/>
                <w:lang w:eastAsia="en-GB"/>
              </w:rPr>
              <w:br/>
              <w:t>Risperidone (79.2%)</w:t>
            </w:r>
            <w:r w:rsidRPr="00825FF0">
              <w:rPr>
                <w:rFonts w:asciiTheme="majorHAnsi" w:eastAsia="Times New Roman" w:hAnsiTheme="majorHAnsi" w:cs="Calibri"/>
                <w:color w:val="000000"/>
                <w:sz w:val="16"/>
                <w:szCs w:val="16"/>
                <w:lang w:eastAsia="en-GB"/>
              </w:rPr>
              <w:br/>
              <w:t>Aripiprazole (12.5%)</w:t>
            </w:r>
            <w:r w:rsidRPr="00825FF0">
              <w:rPr>
                <w:rFonts w:asciiTheme="majorHAnsi" w:eastAsia="Times New Roman" w:hAnsiTheme="majorHAnsi" w:cs="Calibri"/>
                <w:color w:val="000000"/>
                <w:sz w:val="16"/>
                <w:szCs w:val="16"/>
                <w:lang w:eastAsia="en-GB"/>
              </w:rPr>
              <w:br/>
              <w:t>Haloperidol (8.3%)</w:t>
            </w:r>
            <w:r w:rsidRPr="00825FF0">
              <w:rPr>
                <w:rFonts w:asciiTheme="majorHAnsi" w:eastAsia="Times New Roman" w:hAnsiTheme="majorHAnsi" w:cs="Calibri"/>
                <w:color w:val="000000"/>
                <w:sz w:val="16"/>
                <w:szCs w:val="16"/>
                <w:lang w:eastAsia="en-GB"/>
              </w:rPr>
              <w:br/>
              <w:t>Ziprasidone (4.2%).</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b/>
                <w:bCs/>
                <w:color w:val="000000"/>
                <w:sz w:val="16"/>
                <w:szCs w:val="16"/>
                <w:lang w:eastAsia="en-GB"/>
              </w:rPr>
              <w:t xml:space="preserve">Bipolar Disorder </w:t>
            </w:r>
            <w:r w:rsidRPr="00825FF0">
              <w:rPr>
                <w:rFonts w:asciiTheme="majorHAnsi" w:eastAsia="Times New Roman" w:hAnsiTheme="majorHAnsi" w:cs="Calibri"/>
                <w:color w:val="000000"/>
                <w:sz w:val="16"/>
                <w:szCs w:val="16"/>
                <w:lang w:eastAsia="en-GB"/>
              </w:rPr>
              <w:br/>
              <w:t>Risperidone (86.7%)</w:t>
            </w:r>
            <w:r w:rsidRPr="00825FF0">
              <w:rPr>
                <w:rFonts w:asciiTheme="majorHAnsi" w:eastAsia="Times New Roman" w:hAnsiTheme="majorHAnsi" w:cs="Calibri"/>
                <w:color w:val="000000"/>
                <w:sz w:val="16"/>
                <w:szCs w:val="16"/>
                <w:lang w:eastAsia="en-GB"/>
              </w:rPr>
              <w:br/>
              <w:t>Olanzapine (6.7%)</w:t>
            </w:r>
          </w:p>
        </w:tc>
        <w:tc>
          <w:tcPr>
            <w:tcW w:w="1363" w:type="dxa"/>
            <w:tcBorders>
              <w:top w:val="nil"/>
              <w:left w:val="nil"/>
              <w:bottom w:val="single" w:sz="4" w:space="0" w:color="auto"/>
              <w:right w:val="single" w:sz="4" w:space="0" w:color="auto"/>
            </w:tcBorders>
            <w:shd w:val="clear" w:color="auto" w:fill="auto"/>
            <w:hideMark/>
          </w:tcPr>
          <w:p w14:paraId="5E98FC0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Drugs in chlorpromazine equivalents was 326.9 mg (SD = 218.9; range: 34.4−907.8 mg) for SCZ patients and 154.4 mg (SD = 125.7; range: 34.4−524.6 mg) for BP patients.</w:t>
            </w:r>
          </w:p>
        </w:tc>
        <w:tc>
          <w:tcPr>
            <w:tcW w:w="0" w:type="auto"/>
            <w:tcBorders>
              <w:top w:val="nil"/>
              <w:left w:val="nil"/>
              <w:bottom w:val="single" w:sz="4" w:space="0" w:color="auto"/>
              <w:right w:val="single" w:sz="4" w:space="0" w:color="auto"/>
            </w:tcBorders>
            <w:shd w:val="clear" w:color="auto" w:fill="auto"/>
            <w:hideMark/>
          </w:tcPr>
          <w:p w14:paraId="2E09D85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FEP patients.</w:t>
            </w:r>
            <w:r w:rsidRPr="00825FF0">
              <w:rPr>
                <w:rFonts w:asciiTheme="majorHAnsi" w:eastAsia="Times New Roman" w:hAnsiTheme="majorHAnsi" w:cs="Calibri"/>
                <w:color w:val="000000"/>
                <w:sz w:val="16"/>
                <w:szCs w:val="16"/>
                <w:lang w:eastAsia="en-GB"/>
              </w:rPr>
              <w:br/>
              <w:t>At study entry, some patients with SCZ and BP had previously been exposed to atypical antipsychotics (45.0%), antidepressants (30.0%), typical antipsychotics (15.0%), mood stabilizers/anticonvulsants (12.5%), and stimulants (12.5%), typically for brief periods of time in the months preceding their participation. No patient had taken a dose of any of these medications within three days of assessments, with the exception of BP (6.3%) and SCZ (12.5%) patients who were on maintenance antidepressant treatment started prior to study entry. Up to four weeks of prior cumulative lifetime antipsychotic treatment was allowed.</w:t>
            </w:r>
          </w:p>
        </w:tc>
        <w:tc>
          <w:tcPr>
            <w:tcW w:w="935" w:type="dxa"/>
            <w:tcBorders>
              <w:top w:val="nil"/>
              <w:left w:val="nil"/>
              <w:bottom w:val="single" w:sz="4" w:space="0" w:color="auto"/>
              <w:right w:val="single" w:sz="4" w:space="0" w:color="auto"/>
            </w:tcBorders>
            <w:shd w:val="clear" w:color="auto" w:fill="auto"/>
            <w:hideMark/>
          </w:tcPr>
          <w:p w14:paraId="4ABE1B4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w:t>
            </w:r>
          </w:p>
        </w:tc>
        <w:tc>
          <w:tcPr>
            <w:tcW w:w="0" w:type="auto"/>
            <w:tcBorders>
              <w:top w:val="nil"/>
              <w:left w:val="nil"/>
              <w:bottom w:val="single" w:sz="4" w:space="0" w:color="auto"/>
              <w:right w:val="single" w:sz="4" w:space="0" w:color="auto"/>
            </w:tcBorders>
            <w:shd w:val="clear" w:color="auto" w:fill="auto"/>
            <w:hideMark/>
          </w:tcPr>
          <w:p w14:paraId="7A28AB0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05356B7C" w14:textId="70121D38" w:rsidR="00825FF0" w:rsidRPr="00825FF0" w:rsidRDefault="00A54340"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CNB</w:t>
            </w:r>
          </w:p>
        </w:tc>
        <w:tc>
          <w:tcPr>
            <w:tcW w:w="0" w:type="auto"/>
            <w:tcBorders>
              <w:top w:val="nil"/>
              <w:left w:val="nil"/>
              <w:bottom w:val="single" w:sz="4" w:space="0" w:color="auto"/>
              <w:right w:val="single" w:sz="4" w:space="0" w:color="auto"/>
            </w:tcBorders>
            <w:shd w:val="clear" w:color="auto" w:fill="auto"/>
            <w:hideMark/>
          </w:tcPr>
          <w:p w14:paraId="6D691BF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an average of 6.8 weeks</w:t>
            </w:r>
          </w:p>
        </w:tc>
        <w:tc>
          <w:tcPr>
            <w:tcW w:w="0" w:type="auto"/>
            <w:tcBorders>
              <w:top w:val="nil"/>
              <w:left w:val="nil"/>
              <w:bottom w:val="single" w:sz="4" w:space="0" w:color="auto"/>
              <w:right w:val="single" w:sz="4" w:space="0" w:color="auto"/>
            </w:tcBorders>
            <w:shd w:val="clear" w:color="auto" w:fill="auto"/>
            <w:hideMark/>
          </w:tcPr>
          <w:p w14:paraId="74636544" w14:textId="19E43E5F"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 Schizophrenia patients showed impairments </w:t>
            </w:r>
            <w:r w:rsidR="00966A4B">
              <w:rPr>
                <w:rFonts w:asciiTheme="majorHAnsi" w:eastAsia="Times New Roman" w:hAnsiTheme="majorHAnsi" w:cs="Calibri"/>
                <w:color w:val="000000"/>
                <w:sz w:val="16"/>
                <w:szCs w:val="16"/>
                <w:lang w:eastAsia="en-GB"/>
              </w:rPr>
              <w:t>on</w:t>
            </w:r>
            <w:r w:rsidRPr="00825FF0">
              <w:rPr>
                <w:rFonts w:asciiTheme="majorHAnsi" w:eastAsia="Times New Roman" w:hAnsiTheme="majorHAnsi" w:cs="Calibri"/>
                <w:color w:val="000000"/>
                <w:sz w:val="16"/>
                <w:szCs w:val="16"/>
                <w:lang w:eastAsia="en-GB"/>
              </w:rPr>
              <w:t xml:space="preserve">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Compared with controls, schizophrenia patients were worse at recogni</w:t>
            </w:r>
            <w:r>
              <w:rPr>
                <w:rFonts w:asciiTheme="majorHAnsi" w:eastAsia="Times New Roman" w:hAnsiTheme="majorHAnsi" w:cs="Calibri"/>
                <w:color w:val="000000"/>
                <w:sz w:val="16"/>
                <w:szCs w:val="16"/>
                <w:lang w:eastAsia="en-GB"/>
              </w:rPr>
              <w:t>s</w:t>
            </w:r>
            <w:r w:rsidRPr="00825FF0">
              <w:rPr>
                <w:rFonts w:asciiTheme="majorHAnsi" w:eastAsia="Times New Roman" w:hAnsiTheme="majorHAnsi" w:cs="Calibri"/>
                <w:color w:val="000000"/>
                <w:sz w:val="16"/>
                <w:szCs w:val="16"/>
                <w:lang w:eastAsia="en-GB"/>
              </w:rPr>
              <w:t xml:space="preserve">ing mildly and moderately sad expressions at follow-up.  </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xml:space="preserve">• </w:t>
            </w:r>
            <w:r>
              <w:rPr>
                <w:rFonts w:asciiTheme="majorHAnsi" w:eastAsia="Times New Roman" w:hAnsiTheme="majorHAnsi" w:cs="Calibri"/>
                <w:color w:val="000000"/>
                <w:sz w:val="16"/>
                <w:szCs w:val="16"/>
                <w:lang w:eastAsia="en-GB"/>
              </w:rPr>
              <w:t>At</w:t>
            </w:r>
            <w:r w:rsidRPr="00825FF0">
              <w:rPr>
                <w:rFonts w:asciiTheme="majorHAnsi" w:eastAsia="Times New Roman" w:hAnsiTheme="majorHAnsi" w:cs="Calibri"/>
                <w:color w:val="000000"/>
                <w:sz w:val="16"/>
                <w:szCs w:val="16"/>
                <w:lang w:eastAsia="en-GB"/>
              </w:rPr>
              <w:t xml:space="preserve"> follow-up, schizophrenia and bipolar disorder patients did not significantly differ from each other on any emotion category. </w:t>
            </w:r>
          </w:p>
        </w:tc>
        <w:tc>
          <w:tcPr>
            <w:tcW w:w="0" w:type="auto"/>
            <w:tcBorders>
              <w:top w:val="nil"/>
              <w:left w:val="nil"/>
              <w:bottom w:val="single" w:sz="4" w:space="0" w:color="auto"/>
              <w:right w:val="nil"/>
            </w:tcBorders>
            <w:shd w:val="clear" w:color="auto" w:fill="auto"/>
            <w:hideMark/>
          </w:tcPr>
          <w:p w14:paraId="2430CFE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Non-randomised design</w:t>
            </w:r>
            <w:r w:rsidRPr="00825FF0">
              <w:rPr>
                <w:rFonts w:asciiTheme="majorHAnsi" w:eastAsia="Times New Roman" w:hAnsiTheme="majorHAnsi" w:cs="Calibri"/>
                <w:color w:val="000000"/>
                <w:sz w:val="16"/>
                <w:szCs w:val="16"/>
                <w:lang w:eastAsia="en-GB"/>
              </w:rPr>
              <w:br/>
              <w:t>• Authors consult for pharmaceutical company</w:t>
            </w:r>
          </w:p>
        </w:tc>
        <w:tc>
          <w:tcPr>
            <w:tcW w:w="0" w:type="auto"/>
            <w:tcBorders>
              <w:top w:val="nil"/>
              <w:left w:val="single" w:sz="4" w:space="0" w:color="auto"/>
              <w:bottom w:val="single" w:sz="4" w:space="0" w:color="auto"/>
              <w:right w:val="single" w:sz="4" w:space="0" w:color="auto"/>
            </w:tcBorders>
            <w:shd w:val="clear" w:color="auto" w:fill="auto"/>
            <w:hideMark/>
          </w:tcPr>
          <w:p w14:paraId="7FA57210"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12</w:t>
            </w:r>
          </w:p>
        </w:tc>
      </w:tr>
      <w:tr w:rsidR="00825FF0" w:rsidRPr="00825FF0" w14:paraId="14A93C7E" w14:textId="77777777" w:rsidTr="004F0A11">
        <w:trPr>
          <w:trHeight w:val="480"/>
        </w:trPr>
        <w:tc>
          <w:tcPr>
            <w:tcW w:w="16436" w:type="dxa"/>
            <w:gridSpan w:val="13"/>
            <w:tcBorders>
              <w:top w:val="single" w:sz="4" w:space="0" w:color="auto"/>
              <w:left w:val="single" w:sz="4" w:space="0" w:color="auto"/>
              <w:bottom w:val="single" w:sz="4" w:space="0" w:color="auto"/>
              <w:right w:val="single" w:sz="4" w:space="0" w:color="000000"/>
            </w:tcBorders>
            <w:shd w:val="clear" w:color="000000" w:fill="auto"/>
            <w:hideMark/>
          </w:tcPr>
          <w:p w14:paraId="24921E83" w14:textId="77777777" w:rsidR="00825FF0" w:rsidRPr="00825FF0" w:rsidRDefault="00825FF0" w:rsidP="00825FF0">
            <w:pP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lastRenderedPageBreak/>
              <w:t>cross-sectional studies</w:t>
            </w:r>
          </w:p>
        </w:tc>
      </w:tr>
      <w:tr w:rsidR="00EB5138" w:rsidRPr="00825FF0" w14:paraId="68BF35B8" w14:textId="77777777" w:rsidTr="004F0A11">
        <w:trPr>
          <w:trHeight w:val="3321"/>
        </w:trPr>
        <w:tc>
          <w:tcPr>
            <w:tcW w:w="0" w:type="auto"/>
            <w:tcBorders>
              <w:top w:val="nil"/>
              <w:left w:val="single" w:sz="4" w:space="0" w:color="auto"/>
              <w:bottom w:val="single" w:sz="4" w:space="0" w:color="auto"/>
              <w:right w:val="single" w:sz="4" w:space="0" w:color="auto"/>
            </w:tcBorders>
            <w:shd w:val="clear" w:color="auto" w:fill="auto"/>
            <w:hideMark/>
          </w:tcPr>
          <w:p w14:paraId="1A3DA59F" w14:textId="3B51DF86"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Kucharska-Pietura et al (2012)</w:t>
            </w:r>
          </w:p>
          <w:p w14:paraId="1D265C1E" w14:textId="77777777" w:rsidR="00C4280B" w:rsidRDefault="00C4280B" w:rsidP="00825FF0">
            <w:pPr>
              <w:rPr>
                <w:rFonts w:asciiTheme="majorHAnsi" w:eastAsia="Times New Roman" w:hAnsiTheme="majorHAnsi" w:cs="Calibri"/>
                <w:color w:val="000000"/>
                <w:sz w:val="16"/>
                <w:szCs w:val="16"/>
                <w:lang w:eastAsia="en-GB"/>
              </w:rPr>
            </w:pPr>
          </w:p>
          <w:p w14:paraId="3B826A64" w14:textId="13B39014"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66</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1538562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Naturalistic treatment conditions</w:t>
            </w:r>
          </w:p>
        </w:tc>
        <w:tc>
          <w:tcPr>
            <w:tcW w:w="0" w:type="auto"/>
            <w:tcBorders>
              <w:top w:val="nil"/>
              <w:left w:val="nil"/>
              <w:bottom w:val="single" w:sz="4" w:space="0" w:color="auto"/>
              <w:right w:val="single" w:sz="4" w:space="0" w:color="auto"/>
            </w:tcBorders>
            <w:shd w:val="clear" w:color="auto" w:fill="auto"/>
            <w:hideMark/>
          </w:tcPr>
          <w:p w14:paraId="2D4D9EC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100 schizophrenia patients</w:t>
            </w:r>
            <w:r w:rsidRPr="00825FF0">
              <w:rPr>
                <w:rFonts w:asciiTheme="majorHAnsi" w:eastAsia="Times New Roman" w:hAnsiTheme="majorHAnsi" w:cs="Calibri"/>
                <w:color w:val="000000"/>
                <w:sz w:val="16"/>
                <w:szCs w:val="16"/>
                <w:lang w:eastAsia="en-GB"/>
              </w:rPr>
              <w:br/>
              <w:t>50 healthy volunteers</w:t>
            </w:r>
          </w:p>
        </w:tc>
        <w:tc>
          <w:tcPr>
            <w:tcW w:w="1320" w:type="dxa"/>
            <w:tcBorders>
              <w:top w:val="nil"/>
              <w:left w:val="nil"/>
              <w:bottom w:val="single" w:sz="4" w:space="0" w:color="auto"/>
              <w:right w:val="single" w:sz="4" w:space="0" w:color="auto"/>
            </w:tcBorders>
            <w:shd w:val="clear" w:color="auto" w:fill="auto"/>
            <w:hideMark/>
          </w:tcPr>
          <w:p w14:paraId="15D15A9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Typical</w:t>
            </w:r>
            <w:r w:rsidRPr="00825FF0">
              <w:rPr>
                <w:rFonts w:asciiTheme="majorHAnsi" w:eastAsia="Times New Roman" w:hAnsiTheme="majorHAnsi" w:cs="Calibri"/>
                <w:color w:val="000000"/>
                <w:sz w:val="16"/>
                <w:szCs w:val="16"/>
                <w:lang w:eastAsia="en-GB"/>
              </w:rPr>
              <w:br/>
              <w:t>Atypical</w:t>
            </w:r>
          </w:p>
        </w:tc>
        <w:tc>
          <w:tcPr>
            <w:tcW w:w="1363" w:type="dxa"/>
            <w:tcBorders>
              <w:top w:val="nil"/>
              <w:left w:val="nil"/>
              <w:bottom w:val="single" w:sz="4" w:space="0" w:color="auto"/>
              <w:right w:val="single" w:sz="4" w:space="0" w:color="auto"/>
            </w:tcBorders>
            <w:shd w:val="clear" w:color="auto" w:fill="auto"/>
            <w:hideMark/>
          </w:tcPr>
          <w:p w14:paraId="1B8D16F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stated</w:t>
            </w:r>
          </w:p>
        </w:tc>
        <w:tc>
          <w:tcPr>
            <w:tcW w:w="0" w:type="auto"/>
            <w:tcBorders>
              <w:top w:val="nil"/>
              <w:left w:val="nil"/>
              <w:bottom w:val="single" w:sz="4" w:space="0" w:color="auto"/>
              <w:right w:val="single" w:sz="4" w:space="0" w:color="auto"/>
            </w:tcBorders>
            <w:shd w:val="clear" w:color="auto" w:fill="auto"/>
            <w:hideMark/>
          </w:tcPr>
          <w:p w14:paraId="0EB6DFD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Twenty-eight (13 males) were treated with FGAs (perphenazine, n=14; haloperidol, n=14) and 56 (31 males) were treated with SGAs (olanzapine, n=28; clozapine, n=28). All patients were clinically stable after 3–4 weeks of antipsychotic treatment.</w:t>
            </w:r>
          </w:p>
        </w:tc>
        <w:tc>
          <w:tcPr>
            <w:tcW w:w="935" w:type="dxa"/>
            <w:tcBorders>
              <w:top w:val="nil"/>
              <w:left w:val="nil"/>
              <w:bottom w:val="single" w:sz="4" w:space="0" w:color="auto"/>
              <w:right w:val="single" w:sz="4" w:space="0" w:color="auto"/>
            </w:tcBorders>
            <w:shd w:val="clear" w:color="auto" w:fill="auto"/>
            <w:hideMark/>
          </w:tcPr>
          <w:p w14:paraId="18B61A5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1D1D504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r w:rsidRPr="00825FF0">
              <w:rPr>
                <w:rFonts w:asciiTheme="majorHAnsi" w:eastAsia="Times New Roman" w:hAnsiTheme="majorHAnsi" w:cs="Calibri"/>
                <w:color w:val="000000"/>
                <w:sz w:val="16"/>
                <w:szCs w:val="16"/>
                <w:lang w:eastAsia="en-GB"/>
              </w:rPr>
              <w:br/>
              <w:t>Theory of Mind</w:t>
            </w:r>
            <w:r w:rsidRPr="00825FF0">
              <w:rPr>
                <w:rFonts w:asciiTheme="majorHAnsi" w:eastAsia="Times New Roman" w:hAnsiTheme="majorHAnsi" w:cs="Calibri"/>
                <w:color w:val="000000"/>
                <w:sz w:val="16"/>
                <w:szCs w:val="16"/>
                <w:lang w:eastAsia="en-GB"/>
              </w:rPr>
              <w:br/>
              <w:t>Empathy</w:t>
            </w:r>
          </w:p>
        </w:tc>
        <w:tc>
          <w:tcPr>
            <w:tcW w:w="0" w:type="auto"/>
            <w:tcBorders>
              <w:top w:val="nil"/>
              <w:left w:val="nil"/>
              <w:bottom w:val="single" w:sz="4" w:space="0" w:color="auto"/>
              <w:right w:val="single" w:sz="4" w:space="0" w:color="auto"/>
            </w:tcBorders>
            <w:shd w:val="clear" w:color="auto" w:fill="auto"/>
            <w:hideMark/>
          </w:tcPr>
          <w:p w14:paraId="089D710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r w:rsidRPr="00825FF0">
              <w:rPr>
                <w:rFonts w:asciiTheme="majorHAnsi" w:eastAsia="Times New Roman" w:hAnsiTheme="majorHAnsi" w:cs="Calibri"/>
                <w:color w:val="000000"/>
                <w:sz w:val="16"/>
                <w:szCs w:val="16"/>
                <w:lang w:eastAsia="en-GB"/>
              </w:rPr>
              <w:br/>
              <w:t xml:space="preserve">'Reading in the </w:t>
            </w:r>
            <w:proofErr w:type="spellStart"/>
            <w:r w:rsidRPr="00825FF0">
              <w:rPr>
                <w:rFonts w:asciiTheme="majorHAnsi" w:eastAsia="Times New Roman" w:hAnsiTheme="majorHAnsi" w:cs="Calibri"/>
                <w:color w:val="000000"/>
                <w:sz w:val="16"/>
                <w:szCs w:val="16"/>
                <w:lang w:eastAsia="en-GB"/>
              </w:rPr>
              <w:t>Minds</w:t>
            </w:r>
            <w:proofErr w:type="spellEnd"/>
            <w:r w:rsidRPr="00825FF0">
              <w:rPr>
                <w:rFonts w:asciiTheme="majorHAnsi" w:eastAsia="Times New Roman" w:hAnsiTheme="majorHAnsi" w:cs="Calibri"/>
                <w:color w:val="000000"/>
                <w:sz w:val="16"/>
                <w:szCs w:val="16"/>
                <w:lang w:eastAsia="en-GB"/>
              </w:rPr>
              <w:t xml:space="preserve"> Eye' test</w:t>
            </w:r>
            <w:r w:rsidRPr="00825FF0">
              <w:rPr>
                <w:rFonts w:asciiTheme="majorHAnsi" w:eastAsia="Times New Roman" w:hAnsiTheme="majorHAnsi" w:cs="Calibri"/>
                <w:color w:val="000000"/>
                <w:sz w:val="16"/>
                <w:szCs w:val="16"/>
                <w:lang w:eastAsia="en-GB"/>
              </w:rPr>
              <w:br/>
              <w:t>Balanced Emotional Empathy Scale</w:t>
            </w:r>
          </w:p>
        </w:tc>
        <w:tc>
          <w:tcPr>
            <w:tcW w:w="0" w:type="auto"/>
            <w:tcBorders>
              <w:top w:val="nil"/>
              <w:left w:val="nil"/>
              <w:bottom w:val="single" w:sz="4" w:space="0" w:color="auto"/>
              <w:right w:val="single" w:sz="4" w:space="0" w:color="auto"/>
            </w:tcBorders>
            <w:shd w:val="clear" w:color="auto" w:fill="auto"/>
            <w:hideMark/>
          </w:tcPr>
          <w:p w14:paraId="1B0542E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 - cross-sectional</w:t>
            </w:r>
          </w:p>
        </w:tc>
        <w:tc>
          <w:tcPr>
            <w:tcW w:w="0" w:type="auto"/>
            <w:tcBorders>
              <w:top w:val="nil"/>
              <w:left w:val="nil"/>
              <w:bottom w:val="single" w:sz="4" w:space="0" w:color="auto"/>
              <w:right w:val="single" w:sz="4" w:space="0" w:color="auto"/>
            </w:tcBorders>
            <w:shd w:val="clear" w:color="auto" w:fill="auto"/>
            <w:hideMark/>
          </w:tcPr>
          <w:p w14:paraId="33E558D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Schizophrenia patients showed impairments at emotion processing at baseline compared to healthy controls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Antipsychotic medication had no effect on patient performance compared to healthy controls</w:t>
            </w:r>
          </w:p>
        </w:tc>
        <w:tc>
          <w:tcPr>
            <w:tcW w:w="0" w:type="auto"/>
            <w:tcBorders>
              <w:top w:val="nil"/>
              <w:left w:val="nil"/>
              <w:bottom w:val="single" w:sz="4" w:space="0" w:color="auto"/>
              <w:right w:val="nil"/>
            </w:tcBorders>
            <w:shd w:val="clear" w:color="auto" w:fill="auto"/>
            <w:hideMark/>
          </w:tcPr>
          <w:p w14:paraId="008DE25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Non-randomised design</w:t>
            </w:r>
            <w:r w:rsidRPr="00825FF0">
              <w:rPr>
                <w:rFonts w:asciiTheme="majorHAnsi" w:eastAsia="Times New Roman" w:hAnsiTheme="majorHAnsi" w:cs="Calibri"/>
                <w:color w:val="000000"/>
                <w:sz w:val="16"/>
                <w:szCs w:val="16"/>
                <w:lang w:eastAsia="en-GB"/>
              </w:rPr>
              <w:br/>
              <w:t>• No follow-up evaluation</w:t>
            </w:r>
            <w:r w:rsidRPr="00825FF0">
              <w:rPr>
                <w:rFonts w:asciiTheme="majorHAnsi" w:eastAsia="Times New Roman" w:hAnsiTheme="majorHAnsi" w:cs="Calibri"/>
                <w:color w:val="000000"/>
                <w:sz w:val="16"/>
                <w:szCs w:val="16"/>
                <w:lang w:eastAsia="en-GB"/>
              </w:rPr>
              <w:br/>
              <w:t>• Antipsychotic medication not specified</w:t>
            </w:r>
          </w:p>
        </w:tc>
        <w:tc>
          <w:tcPr>
            <w:tcW w:w="0" w:type="auto"/>
            <w:tcBorders>
              <w:top w:val="nil"/>
              <w:left w:val="single" w:sz="4" w:space="0" w:color="auto"/>
              <w:bottom w:val="single" w:sz="4" w:space="0" w:color="auto"/>
              <w:right w:val="single" w:sz="4" w:space="0" w:color="auto"/>
            </w:tcBorders>
            <w:shd w:val="clear" w:color="auto" w:fill="auto"/>
            <w:hideMark/>
          </w:tcPr>
          <w:p w14:paraId="5E2FBEFF"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w:t>
            </w:r>
          </w:p>
        </w:tc>
      </w:tr>
      <w:tr w:rsidR="00825FF0" w:rsidRPr="00825FF0" w14:paraId="70E58D48" w14:textId="77777777" w:rsidTr="004F0A11">
        <w:trPr>
          <w:trHeight w:val="780"/>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0A7CCD88"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t>Patient Only Studies</w:t>
            </w:r>
          </w:p>
        </w:tc>
      </w:tr>
      <w:tr w:rsidR="00825FF0" w:rsidRPr="00825FF0" w14:paraId="473B7E58" w14:textId="77777777" w:rsidTr="004F0A11">
        <w:trPr>
          <w:trHeight w:val="780"/>
        </w:trPr>
        <w:tc>
          <w:tcPr>
            <w:tcW w:w="16436" w:type="dxa"/>
            <w:gridSpan w:val="13"/>
            <w:tcBorders>
              <w:top w:val="single" w:sz="4" w:space="0" w:color="auto"/>
              <w:left w:val="single" w:sz="4" w:space="0" w:color="auto"/>
              <w:bottom w:val="single" w:sz="4" w:space="0" w:color="auto"/>
              <w:right w:val="single" w:sz="4" w:space="0" w:color="000000"/>
            </w:tcBorders>
            <w:shd w:val="clear" w:color="000000" w:fill="auto"/>
            <w:hideMark/>
          </w:tcPr>
          <w:p w14:paraId="3169E9CF" w14:textId="77777777" w:rsidR="00825FF0" w:rsidRPr="00825FF0" w:rsidRDefault="00825FF0" w:rsidP="00825FF0">
            <w:pPr>
              <w:rPr>
                <w:rFonts w:eastAsia="Times New Roman" w:cstheme="minorHAnsi"/>
                <w:b/>
                <w:bCs/>
                <w:color w:val="FFFFFF"/>
                <w:sz w:val="16"/>
                <w:szCs w:val="16"/>
                <w:lang w:eastAsia="en-GB"/>
              </w:rPr>
            </w:pPr>
            <w:r w:rsidRPr="00825FF0">
              <w:rPr>
                <w:rFonts w:eastAsia="Times New Roman" w:cstheme="minorHAnsi"/>
                <w:b/>
                <w:bCs/>
                <w:color w:val="000000" w:themeColor="text1"/>
                <w:sz w:val="16"/>
                <w:szCs w:val="16"/>
                <w:lang w:eastAsia="en-GB"/>
              </w:rPr>
              <w:t>longitudinal studies</w:t>
            </w:r>
          </w:p>
        </w:tc>
      </w:tr>
      <w:tr w:rsidR="00EB5138" w:rsidRPr="00825FF0" w14:paraId="006EFD25" w14:textId="77777777" w:rsidTr="00825FF0">
        <w:trPr>
          <w:trHeight w:val="1720"/>
        </w:trPr>
        <w:tc>
          <w:tcPr>
            <w:tcW w:w="0" w:type="auto"/>
            <w:tcBorders>
              <w:top w:val="nil"/>
              <w:left w:val="single" w:sz="4" w:space="0" w:color="auto"/>
              <w:bottom w:val="single" w:sz="4" w:space="0" w:color="auto"/>
              <w:right w:val="single" w:sz="4" w:space="0" w:color="auto"/>
            </w:tcBorders>
            <w:shd w:val="clear" w:color="auto" w:fill="auto"/>
            <w:hideMark/>
          </w:tcPr>
          <w:p w14:paraId="04AD9CBD"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Kee et al (1998)</w:t>
            </w:r>
          </w:p>
          <w:p w14:paraId="4E724234" w14:textId="77777777" w:rsidR="00C4280B" w:rsidRDefault="00C4280B" w:rsidP="00825FF0">
            <w:pPr>
              <w:rPr>
                <w:rFonts w:asciiTheme="majorHAnsi" w:eastAsia="Times New Roman" w:hAnsiTheme="majorHAnsi" w:cs="Calibri"/>
                <w:color w:val="000000"/>
                <w:sz w:val="16"/>
                <w:szCs w:val="16"/>
                <w:lang w:eastAsia="en-GB"/>
              </w:rPr>
            </w:pPr>
          </w:p>
          <w:p w14:paraId="506ACF22" w14:textId="1EF9B7BA"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69</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2C992B0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phase, brief placebo washout, and two double-blind phases</w:t>
            </w:r>
            <w:r w:rsidRPr="00825FF0">
              <w:rPr>
                <w:rFonts w:asciiTheme="majorHAnsi" w:eastAsia="Times New Roman" w:hAnsiTheme="majorHAnsi" w:cs="Calibri"/>
                <w:color w:val="000000"/>
                <w:sz w:val="16"/>
                <w:szCs w:val="16"/>
                <w:lang w:eastAsia="en-GB"/>
              </w:rPr>
              <w:br/>
              <w:t>8 weeks double blind</w:t>
            </w:r>
          </w:p>
        </w:tc>
        <w:tc>
          <w:tcPr>
            <w:tcW w:w="0" w:type="auto"/>
            <w:tcBorders>
              <w:top w:val="nil"/>
              <w:left w:val="nil"/>
              <w:bottom w:val="single" w:sz="4" w:space="0" w:color="auto"/>
              <w:right w:val="single" w:sz="4" w:space="0" w:color="auto"/>
            </w:tcBorders>
            <w:shd w:val="clear" w:color="auto" w:fill="auto"/>
            <w:hideMark/>
          </w:tcPr>
          <w:p w14:paraId="0B14D06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 schizophrenia patients</w:t>
            </w:r>
          </w:p>
        </w:tc>
        <w:tc>
          <w:tcPr>
            <w:tcW w:w="1320" w:type="dxa"/>
            <w:tcBorders>
              <w:top w:val="nil"/>
              <w:left w:val="nil"/>
              <w:bottom w:val="single" w:sz="4" w:space="0" w:color="auto"/>
              <w:right w:val="single" w:sz="4" w:space="0" w:color="auto"/>
            </w:tcBorders>
            <w:shd w:val="clear" w:color="auto" w:fill="auto"/>
            <w:hideMark/>
          </w:tcPr>
          <w:p w14:paraId="388B30D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Haloperidol</w:t>
            </w:r>
            <w:r w:rsidRPr="00825FF0">
              <w:rPr>
                <w:rFonts w:asciiTheme="majorHAnsi" w:eastAsia="Times New Roman" w:hAnsiTheme="majorHAnsi" w:cs="Calibri"/>
                <w:color w:val="000000"/>
                <w:sz w:val="16"/>
                <w:szCs w:val="16"/>
                <w:lang w:eastAsia="en-GB"/>
              </w:rPr>
              <w:br/>
              <w:t>Risperidone</w:t>
            </w:r>
          </w:p>
        </w:tc>
        <w:tc>
          <w:tcPr>
            <w:tcW w:w="1363" w:type="dxa"/>
            <w:tcBorders>
              <w:top w:val="nil"/>
              <w:left w:val="nil"/>
              <w:bottom w:val="single" w:sz="4" w:space="0" w:color="auto"/>
              <w:right w:val="single" w:sz="4" w:space="0" w:color="auto"/>
            </w:tcBorders>
            <w:shd w:val="clear" w:color="auto" w:fill="auto"/>
            <w:hideMark/>
          </w:tcPr>
          <w:p w14:paraId="4EDCAD5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15mg</w:t>
            </w:r>
            <w:r w:rsidRPr="00825FF0">
              <w:rPr>
                <w:rFonts w:asciiTheme="majorHAnsi" w:eastAsia="Times New Roman" w:hAnsiTheme="majorHAnsi" w:cs="Calibri"/>
                <w:color w:val="000000"/>
                <w:sz w:val="16"/>
                <w:szCs w:val="16"/>
                <w:lang w:eastAsia="en-GB"/>
              </w:rPr>
              <w:br/>
              <w:t>6mg</w:t>
            </w:r>
          </w:p>
        </w:tc>
        <w:tc>
          <w:tcPr>
            <w:tcW w:w="0" w:type="auto"/>
            <w:tcBorders>
              <w:top w:val="nil"/>
              <w:left w:val="nil"/>
              <w:bottom w:val="single" w:sz="4" w:space="0" w:color="auto"/>
              <w:right w:val="single" w:sz="4" w:space="0" w:color="auto"/>
            </w:tcBorders>
            <w:shd w:val="clear" w:color="auto" w:fill="auto"/>
            <w:hideMark/>
          </w:tcPr>
          <w:p w14:paraId="02F4017D" w14:textId="19378653"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During baseline, patients received 15-30 mg/day of haloperidol for 3 weeks. This phase was followed by a period of 3-7 days of placebo wash-out. Upon entering the subsequent double-blind phases, patients first were randomly assigned to receive either 6 mg/day of risperidone or 15 mg/day of haloperidol for 4 weeks (fixed- dose phase). In the second double-blind phase, which also lasted for 4 weeks, medication doses from the previous phase could be </w:t>
            </w:r>
            <w:r w:rsidR="001C29C5">
              <w:rPr>
                <w:rFonts w:asciiTheme="majorHAnsi" w:eastAsia="Times New Roman" w:hAnsiTheme="majorHAnsi" w:cs="Calibri"/>
                <w:color w:val="000000"/>
                <w:sz w:val="16"/>
                <w:szCs w:val="16"/>
                <w:lang w:eastAsia="en-GB"/>
              </w:rPr>
              <w:t xml:space="preserve">changed </w:t>
            </w:r>
            <w:r w:rsidRPr="00825FF0">
              <w:rPr>
                <w:rFonts w:asciiTheme="majorHAnsi" w:eastAsia="Times New Roman" w:hAnsiTheme="majorHAnsi" w:cs="Calibri"/>
                <w:color w:val="000000"/>
                <w:sz w:val="16"/>
                <w:szCs w:val="16"/>
                <w:lang w:eastAsia="en-GB"/>
              </w:rPr>
              <w:t>according to symptom and side-effect considerations (flexible-dose phase).</w:t>
            </w:r>
          </w:p>
        </w:tc>
        <w:tc>
          <w:tcPr>
            <w:tcW w:w="935" w:type="dxa"/>
            <w:tcBorders>
              <w:top w:val="nil"/>
              <w:left w:val="nil"/>
              <w:bottom w:val="single" w:sz="4" w:space="0" w:color="auto"/>
              <w:right w:val="single" w:sz="4" w:space="0" w:color="auto"/>
            </w:tcBorders>
            <w:shd w:val="clear" w:color="auto" w:fill="auto"/>
            <w:hideMark/>
          </w:tcPr>
          <w:p w14:paraId="65E9C21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53C7061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1541206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FEIT</w:t>
            </w:r>
          </w:p>
        </w:tc>
        <w:tc>
          <w:tcPr>
            <w:tcW w:w="0" w:type="auto"/>
            <w:tcBorders>
              <w:top w:val="nil"/>
              <w:left w:val="nil"/>
              <w:bottom w:val="single" w:sz="4" w:space="0" w:color="auto"/>
              <w:right w:val="single" w:sz="4" w:space="0" w:color="auto"/>
            </w:tcBorders>
            <w:shd w:val="clear" w:color="auto" w:fill="auto"/>
            <w:hideMark/>
          </w:tcPr>
          <w:p w14:paraId="7E85FCC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8 weeks</w:t>
            </w:r>
          </w:p>
        </w:tc>
        <w:tc>
          <w:tcPr>
            <w:tcW w:w="0" w:type="auto"/>
            <w:tcBorders>
              <w:top w:val="nil"/>
              <w:left w:val="nil"/>
              <w:bottom w:val="single" w:sz="4" w:space="0" w:color="auto"/>
              <w:right w:val="single" w:sz="4" w:space="0" w:color="auto"/>
            </w:tcBorders>
            <w:shd w:val="clear" w:color="auto" w:fill="auto"/>
            <w:hideMark/>
          </w:tcPr>
          <w:p w14:paraId="753EDF1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Risperidone improved the ability to perceive emotions compared to Haloperidol at follow-up compared to baseline</w:t>
            </w:r>
          </w:p>
        </w:tc>
        <w:tc>
          <w:tcPr>
            <w:tcW w:w="0" w:type="auto"/>
            <w:tcBorders>
              <w:top w:val="nil"/>
              <w:left w:val="nil"/>
              <w:bottom w:val="single" w:sz="4" w:space="0" w:color="auto"/>
              <w:right w:val="nil"/>
            </w:tcBorders>
            <w:shd w:val="clear" w:color="auto" w:fill="auto"/>
            <w:hideMark/>
          </w:tcPr>
          <w:p w14:paraId="08025BB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Small sample size</w:t>
            </w:r>
            <w:r w:rsidRPr="00825FF0">
              <w:rPr>
                <w:rFonts w:asciiTheme="majorHAnsi" w:eastAsia="Times New Roman" w:hAnsiTheme="majorHAnsi" w:cs="Calibri"/>
                <w:color w:val="000000"/>
                <w:sz w:val="16"/>
                <w:szCs w:val="16"/>
                <w:lang w:eastAsia="en-GB"/>
              </w:rPr>
              <w:br/>
              <w:t>• Short follow-up time period - practice effects</w:t>
            </w:r>
            <w:r w:rsidRPr="00825FF0">
              <w:rPr>
                <w:rFonts w:asciiTheme="majorHAnsi" w:eastAsia="Times New Roman" w:hAnsiTheme="majorHAnsi" w:cs="Calibri"/>
                <w:color w:val="000000"/>
                <w:sz w:val="16"/>
                <w:szCs w:val="16"/>
                <w:lang w:eastAsia="en-GB"/>
              </w:rPr>
              <w:br/>
              <w:t>• Patients were not antipsychotic naïve</w:t>
            </w:r>
          </w:p>
        </w:tc>
        <w:tc>
          <w:tcPr>
            <w:tcW w:w="0" w:type="auto"/>
            <w:tcBorders>
              <w:top w:val="nil"/>
              <w:left w:val="single" w:sz="4" w:space="0" w:color="auto"/>
              <w:bottom w:val="single" w:sz="4" w:space="0" w:color="auto"/>
              <w:right w:val="single" w:sz="4" w:space="0" w:color="auto"/>
            </w:tcBorders>
            <w:shd w:val="clear" w:color="auto" w:fill="auto"/>
            <w:hideMark/>
          </w:tcPr>
          <w:p w14:paraId="5D863368"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19</w:t>
            </w:r>
          </w:p>
        </w:tc>
      </w:tr>
      <w:tr w:rsidR="00EB5138" w:rsidRPr="00825FF0" w14:paraId="5D6A13F2" w14:textId="77777777" w:rsidTr="00825FF0">
        <w:trPr>
          <w:trHeight w:val="182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7CC2504"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Harvey et al (2006)</w:t>
            </w:r>
          </w:p>
          <w:p w14:paraId="1D879B5D" w14:textId="77777777" w:rsidR="00C4280B" w:rsidRDefault="00C4280B" w:rsidP="00825FF0">
            <w:pPr>
              <w:rPr>
                <w:rFonts w:asciiTheme="majorHAnsi" w:eastAsia="Times New Roman" w:hAnsiTheme="majorHAnsi" w:cs="Calibri"/>
                <w:color w:val="000000"/>
                <w:sz w:val="16"/>
                <w:szCs w:val="16"/>
                <w:lang w:eastAsia="en-GB"/>
              </w:rPr>
            </w:pPr>
          </w:p>
          <w:p w14:paraId="3CF2182F" w14:textId="3AC03ADF"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w:t>
            </w:r>
            <w:r>
              <w:rPr>
                <w:rFonts w:asciiTheme="majorHAnsi" w:eastAsia="Times New Roman" w:hAnsiTheme="majorHAnsi" w:cs="Calibri"/>
                <w:color w:val="000000"/>
                <w:sz w:val="16"/>
                <w:szCs w:val="16"/>
                <w:lang w:eastAsia="en-GB"/>
              </w:rPr>
              <w:t>4]</w:t>
            </w:r>
          </w:p>
        </w:tc>
        <w:tc>
          <w:tcPr>
            <w:tcW w:w="0" w:type="auto"/>
            <w:tcBorders>
              <w:top w:val="single" w:sz="4" w:space="0" w:color="auto"/>
              <w:left w:val="nil"/>
              <w:bottom w:val="single" w:sz="4" w:space="0" w:color="auto"/>
              <w:right w:val="single" w:sz="4" w:space="0" w:color="auto"/>
            </w:tcBorders>
            <w:shd w:val="clear" w:color="auto" w:fill="auto"/>
            <w:hideMark/>
          </w:tcPr>
          <w:p w14:paraId="2E968F3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8 week, multicentre, double-blind, parallel-designed, randomised, flexible-dose study</w:t>
            </w:r>
          </w:p>
        </w:tc>
        <w:tc>
          <w:tcPr>
            <w:tcW w:w="0" w:type="auto"/>
            <w:tcBorders>
              <w:top w:val="single" w:sz="4" w:space="0" w:color="auto"/>
              <w:left w:val="nil"/>
              <w:bottom w:val="single" w:sz="4" w:space="0" w:color="auto"/>
              <w:right w:val="single" w:sz="4" w:space="0" w:color="auto"/>
            </w:tcBorders>
            <w:shd w:val="clear" w:color="auto" w:fill="auto"/>
            <w:hideMark/>
          </w:tcPr>
          <w:p w14:paraId="610091C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166 Schizophrenia patients</w:t>
            </w:r>
          </w:p>
        </w:tc>
        <w:tc>
          <w:tcPr>
            <w:tcW w:w="1320" w:type="dxa"/>
            <w:tcBorders>
              <w:top w:val="single" w:sz="4" w:space="0" w:color="auto"/>
              <w:left w:val="nil"/>
              <w:bottom w:val="single" w:sz="4" w:space="0" w:color="auto"/>
              <w:right w:val="single" w:sz="4" w:space="0" w:color="auto"/>
            </w:tcBorders>
            <w:shd w:val="clear" w:color="auto" w:fill="auto"/>
            <w:hideMark/>
          </w:tcPr>
          <w:p w14:paraId="6DE69CD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Risperidone</w:t>
            </w:r>
            <w:r w:rsidRPr="00825FF0">
              <w:rPr>
                <w:rFonts w:asciiTheme="majorHAnsi" w:eastAsia="Times New Roman" w:hAnsiTheme="majorHAnsi" w:cs="Calibri"/>
                <w:color w:val="000000"/>
                <w:sz w:val="16"/>
                <w:szCs w:val="16"/>
                <w:lang w:eastAsia="en-GB"/>
              </w:rPr>
              <w:br/>
              <w:t>Quetiapine</w:t>
            </w:r>
          </w:p>
        </w:tc>
        <w:tc>
          <w:tcPr>
            <w:tcW w:w="1363" w:type="dxa"/>
            <w:tcBorders>
              <w:top w:val="single" w:sz="4" w:space="0" w:color="auto"/>
              <w:left w:val="nil"/>
              <w:bottom w:val="single" w:sz="4" w:space="0" w:color="auto"/>
              <w:right w:val="single" w:sz="4" w:space="0" w:color="auto"/>
            </w:tcBorders>
            <w:shd w:val="clear" w:color="auto" w:fill="auto"/>
            <w:hideMark/>
          </w:tcPr>
          <w:p w14:paraId="431B105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2-8mg/daily</w:t>
            </w:r>
            <w:r w:rsidRPr="00825FF0">
              <w:rPr>
                <w:rFonts w:asciiTheme="majorHAnsi" w:eastAsia="Times New Roman" w:hAnsiTheme="majorHAnsi" w:cs="Calibri"/>
                <w:color w:val="000000"/>
                <w:sz w:val="16"/>
                <w:szCs w:val="16"/>
                <w:lang w:eastAsia="en-GB"/>
              </w:rPr>
              <w:br/>
              <w:t>200-800mg/daily</w:t>
            </w:r>
          </w:p>
        </w:tc>
        <w:tc>
          <w:tcPr>
            <w:tcW w:w="0" w:type="auto"/>
            <w:tcBorders>
              <w:top w:val="single" w:sz="4" w:space="0" w:color="auto"/>
              <w:left w:val="nil"/>
              <w:bottom w:val="single" w:sz="4" w:space="0" w:color="auto"/>
              <w:right w:val="single" w:sz="4" w:space="0" w:color="auto"/>
            </w:tcBorders>
            <w:shd w:val="clear" w:color="auto" w:fill="auto"/>
            <w:hideMark/>
          </w:tcPr>
          <w:p w14:paraId="004E8A6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Sleep medication and benzodiazepines were allowed as needed but were not allowed within 24 hours of clinical or neuropsychological assessments. Participants were taking antipsychotic medication at the start of the study and there was no titration period.</w:t>
            </w:r>
          </w:p>
        </w:tc>
        <w:tc>
          <w:tcPr>
            <w:tcW w:w="935" w:type="dxa"/>
            <w:tcBorders>
              <w:top w:val="single" w:sz="4" w:space="0" w:color="auto"/>
              <w:left w:val="nil"/>
              <w:bottom w:val="single" w:sz="4" w:space="0" w:color="auto"/>
              <w:right w:val="single" w:sz="4" w:space="0" w:color="auto"/>
            </w:tcBorders>
            <w:shd w:val="clear" w:color="auto" w:fill="auto"/>
            <w:hideMark/>
          </w:tcPr>
          <w:p w14:paraId="601FB4F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3B6DEF4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03822C1A" w14:textId="70BAB9BD" w:rsidR="00825FF0" w:rsidRPr="00825FF0" w:rsidRDefault="00A54340"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CNB</w:t>
            </w:r>
          </w:p>
        </w:tc>
        <w:tc>
          <w:tcPr>
            <w:tcW w:w="0" w:type="auto"/>
            <w:tcBorders>
              <w:top w:val="single" w:sz="4" w:space="0" w:color="auto"/>
              <w:left w:val="nil"/>
              <w:bottom w:val="single" w:sz="4" w:space="0" w:color="auto"/>
              <w:right w:val="single" w:sz="4" w:space="0" w:color="auto"/>
            </w:tcBorders>
            <w:shd w:val="clear" w:color="auto" w:fill="auto"/>
            <w:hideMark/>
          </w:tcPr>
          <w:p w14:paraId="33E28DB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8 weeks</w:t>
            </w:r>
          </w:p>
        </w:tc>
        <w:tc>
          <w:tcPr>
            <w:tcW w:w="0" w:type="auto"/>
            <w:tcBorders>
              <w:top w:val="single" w:sz="4" w:space="0" w:color="auto"/>
              <w:left w:val="nil"/>
              <w:bottom w:val="single" w:sz="4" w:space="0" w:color="auto"/>
              <w:right w:val="single" w:sz="4" w:space="0" w:color="auto"/>
            </w:tcBorders>
            <w:shd w:val="clear" w:color="auto" w:fill="auto"/>
            <w:hideMark/>
          </w:tcPr>
          <w:p w14:paraId="1563FFD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differences associated with antipsychotic treatment at follow-up compared to baseline</w:t>
            </w:r>
          </w:p>
        </w:tc>
        <w:tc>
          <w:tcPr>
            <w:tcW w:w="0" w:type="auto"/>
            <w:tcBorders>
              <w:top w:val="single" w:sz="4" w:space="0" w:color="auto"/>
              <w:left w:val="nil"/>
              <w:bottom w:val="single" w:sz="4" w:space="0" w:color="auto"/>
              <w:right w:val="nil"/>
            </w:tcBorders>
            <w:shd w:val="clear" w:color="auto" w:fill="auto"/>
            <w:hideMark/>
          </w:tcPr>
          <w:p w14:paraId="385A00AB" w14:textId="45208FBB"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Supported by pharma company</w:t>
            </w:r>
            <w:r w:rsidRPr="00825FF0">
              <w:rPr>
                <w:rFonts w:asciiTheme="majorHAnsi" w:eastAsia="Times New Roman" w:hAnsiTheme="majorHAnsi" w:cs="Calibri"/>
                <w:color w:val="000000"/>
                <w:sz w:val="16"/>
                <w:szCs w:val="16"/>
                <w:lang w:eastAsia="en-GB"/>
              </w:rPr>
              <w:br/>
              <w:t>• Patients were not antipsychotic naïve</w:t>
            </w:r>
            <w:r w:rsidRPr="00825FF0">
              <w:rPr>
                <w:rFonts w:asciiTheme="majorHAnsi" w:eastAsia="Times New Roman" w:hAnsiTheme="majorHAnsi" w:cs="Calibri"/>
                <w:color w:val="000000"/>
                <w:sz w:val="16"/>
                <w:szCs w:val="16"/>
                <w:lang w:eastAsia="en-GB"/>
              </w:rPr>
              <w:br/>
              <w:t>• Short follow-up time period - practice effects</w:t>
            </w:r>
            <w:r w:rsidRPr="00825FF0">
              <w:rPr>
                <w:rFonts w:asciiTheme="majorHAnsi" w:eastAsia="Times New Roman" w:hAnsiTheme="majorHAnsi" w:cs="Calibri"/>
                <w:color w:val="000000"/>
                <w:sz w:val="16"/>
                <w:szCs w:val="16"/>
                <w:lang w:eastAsia="en-GB"/>
              </w:rPr>
              <w:br/>
              <w:t>• High drop-out at follow-up (%) – low generalisability</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FD870BE"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w:t>
            </w:r>
          </w:p>
        </w:tc>
      </w:tr>
      <w:tr w:rsidR="00EB5138" w:rsidRPr="00825FF0" w14:paraId="6B34348A" w14:textId="77777777" w:rsidTr="004F0A11">
        <w:trPr>
          <w:trHeight w:val="2981"/>
        </w:trPr>
        <w:tc>
          <w:tcPr>
            <w:tcW w:w="0" w:type="auto"/>
            <w:tcBorders>
              <w:top w:val="nil"/>
              <w:left w:val="single" w:sz="4" w:space="0" w:color="auto"/>
              <w:bottom w:val="single" w:sz="4" w:space="0" w:color="auto"/>
              <w:right w:val="single" w:sz="4" w:space="0" w:color="auto"/>
            </w:tcBorders>
            <w:shd w:val="clear" w:color="auto" w:fill="auto"/>
            <w:hideMark/>
          </w:tcPr>
          <w:p w14:paraId="028DA501"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Mizrahi et al (2007)</w:t>
            </w:r>
          </w:p>
          <w:p w14:paraId="03410C60" w14:textId="77777777" w:rsidR="00C4280B" w:rsidRDefault="00C4280B" w:rsidP="00825FF0">
            <w:pPr>
              <w:rPr>
                <w:rFonts w:asciiTheme="majorHAnsi" w:eastAsia="Times New Roman" w:hAnsiTheme="majorHAnsi" w:cs="Calibri"/>
                <w:color w:val="000000"/>
                <w:sz w:val="16"/>
                <w:szCs w:val="16"/>
                <w:lang w:eastAsia="en-GB"/>
              </w:rPr>
            </w:pPr>
          </w:p>
          <w:p w14:paraId="498C0C8C" w14:textId="4AB90A80"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55</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1CCA245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Cross sectional study and a longitudinal study</w:t>
            </w:r>
          </w:p>
        </w:tc>
        <w:tc>
          <w:tcPr>
            <w:tcW w:w="0" w:type="auto"/>
            <w:tcBorders>
              <w:top w:val="nil"/>
              <w:left w:val="nil"/>
              <w:bottom w:val="single" w:sz="4" w:space="0" w:color="auto"/>
              <w:right w:val="single" w:sz="4" w:space="0" w:color="auto"/>
            </w:tcBorders>
            <w:shd w:val="clear" w:color="auto" w:fill="auto"/>
            <w:hideMark/>
          </w:tcPr>
          <w:p w14:paraId="11E0CA0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17 FEP patients</w:t>
            </w:r>
          </w:p>
        </w:tc>
        <w:tc>
          <w:tcPr>
            <w:tcW w:w="1320" w:type="dxa"/>
            <w:tcBorders>
              <w:top w:val="nil"/>
              <w:left w:val="nil"/>
              <w:bottom w:val="single" w:sz="4" w:space="0" w:color="auto"/>
              <w:right w:val="single" w:sz="4" w:space="0" w:color="auto"/>
            </w:tcBorders>
            <w:shd w:val="clear" w:color="auto" w:fill="auto"/>
            <w:hideMark/>
          </w:tcPr>
          <w:p w14:paraId="77B3B07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Clozapine</w:t>
            </w:r>
            <w:r w:rsidRPr="00825FF0">
              <w:rPr>
                <w:rFonts w:asciiTheme="majorHAnsi" w:eastAsia="Times New Roman" w:hAnsiTheme="majorHAnsi" w:cs="Calibri"/>
                <w:color w:val="000000"/>
                <w:sz w:val="16"/>
                <w:szCs w:val="16"/>
                <w:lang w:eastAsia="en-GB"/>
              </w:rPr>
              <w:br/>
              <w:t>Risperidone</w:t>
            </w:r>
            <w:r w:rsidRPr="00825FF0">
              <w:rPr>
                <w:rFonts w:asciiTheme="majorHAnsi" w:eastAsia="Times New Roman" w:hAnsiTheme="majorHAnsi" w:cs="Calibri"/>
                <w:color w:val="000000"/>
                <w:sz w:val="16"/>
                <w:szCs w:val="16"/>
                <w:lang w:eastAsia="en-GB"/>
              </w:rPr>
              <w:br/>
              <w:t>Olanzapine</w:t>
            </w:r>
            <w:r w:rsidRPr="00825FF0">
              <w:rPr>
                <w:rFonts w:asciiTheme="majorHAnsi" w:eastAsia="Times New Roman" w:hAnsiTheme="majorHAnsi" w:cs="Calibri"/>
                <w:color w:val="000000"/>
                <w:sz w:val="16"/>
                <w:szCs w:val="16"/>
                <w:lang w:eastAsia="en-GB"/>
              </w:rPr>
              <w:br/>
              <w:t>Loxapine</w:t>
            </w:r>
          </w:p>
        </w:tc>
        <w:tc>
          <w:tcPr>
            <w:tcW w:w="1363" w:type="dxa"/>
            <w:tcBorders>
              <w:top w:val="nil"/>
              <w:left w:val="nil"/>
              <w:bottom w:val="single" w:sz="4" w:space="0" w:color="auto"/>
              <w:right w:val="single" w:sz="4" w:space="0" w:color="auto"/>
            </w:tcBorders>
            <w:shd w:val="clear" w:color="auto" w:fill="auto"/>
            <w:hideMark/>
          </w:tcPr>
          <w:p w14:paraId="438555A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Clozapine=300 (n=1) and 225mg (n=1)</w:t>
            </w:r>
            <w:r w:rsidRPr="00825FF0">
              <w:rPr>
                <w:rFonts w:asciiTheme="majorHAnsi" w:eastAsia="Times New Roman" w:hAnsiTheme="majorHAnsi" w:cs="Calibri"/>
                <w:color w:val="000000"/>
                <w:sz w:val="16"/>
                <w:szCs w:val="16"/>
                <w:lang w:eastAsia="en-GB"/>
              </w:rPr>
              <w:br/>
              <w:t>Risperidone= 4mg (n=4), 3mg (n=1), 3.5mg (n=1), or 1mg (n=1).</w:t>
            </w:r>
            <w:r w:rsidRPr="00825FF0">
              <w:rPr>
                <w:rFonts w:asciiTheme="majorHAnsi" w:eastAsia="Times New Roman" w:hAnsiTheme="majorHAnsi" w:cs="Calibri"/>
                <w:color w:val="000000"/>
                <w:sz w:val="16"/>
                <w:szCs w:val="16"/>
                <w:lang w:eastAsia="en-GB"/>
              </w:rPr>
              <w:br/>
              <w:t>Olanzapine= 10mg (n=4), 20mg (n=1), 15mg (n=1), or 2.5mg (n=1).</w:t>
            </w:r>
            <w:r w:rsidRPr="00825FF0">
              <w:rPr>
                <w:rFonts w:asciiTheme="majorHAnsi" w:eastAsia="Times New Roman" w:hAnsiTheme="majorHAnsi" w:cs="Calibri"/>
                <w:color w:val="000000"/>
                <w:sz w:val="16"/>
                <w:szCs w:val="16"/>
                <w:lang w:eastAsia="en-GB"/>
              </w:rPr>
              <w:br/>
              <w:t>Loxapine= 35mg (n=1)</w:t>
            </w:r>
          </w:p>
        </w:tc>
        <w:tc>
          <w:tcPr>
            <w:tcW w:w="0" w:type="auto"/>
            <w:tcBorders>
              <w:top w:val="nil"/>
              <w:left w:val="nil"/>
              <w:bottom w:val="single" w:sz="4" w:space="0" w:color="auto"/>
              <w:right w:val="single" w:sz="4" w:space="0" w:color="auto"/>
            </w:tcBorders>
            <w:shd w:val="clear" w:color="auto" w:fill="auto"/>
            <w:hideMark/>
          </w:tcPr>
          <w:p w14:paraId="6D33460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Most subjects were started on atypical antipsychotic medications, except for two patients who were restarted on their previous clozapine dose (300 and 225 mg). The rest were started on risperidone 4 mg (n=4), 3 mg (n=1), 3.5 mg (n=1), 1 mg (n=1) or olanzapine 10 mg (n=4), 20 mg (n=1), 15 mg (n=1), 2.5 mg (n=1), and one patient was restarted on her previous 35 mg of loxapine.</w:t>
            </w:r>
          </w:p>
        </w:tc>
        <w:tc>
          <w:tcPr>
            <w:tcW w:w="935" w:type="dxa"/>
            <w:tcBorders>
              <w:top w:val="nil"/>
              <w:left w:val="nil"/>
              <w:bottom w:val="single" w:sz="4" w:space="0" w:color="auto"/>
              <w:right w:val="single" w:sz="4" w:space="0" w:color="auto"/>
            </w:tcBorders>
            <w:shd w:val="clear" w:color="auto" w:fill="auto"/>
            <w:hideMark/>
          </w:tcPr>
          <w:p w14:paraId="63123F0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4E08CA4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ToM</w:t>
            </w:r>
          </w:p>
        </w:tc>
        <w:tc>
          <w:tcPr>
            <w:tcW w:w="0" w:type="auto"/>
            <w:tcBorders>
              <w:top w:val="nil"/>
              <w:left w:val="nil"/>
              <w:bottom w:val="single" w:sz="4" w:space="0" w:color="auto"/>
              <w:right w:val="single" w:sz="4" w:space="0" w:color="auto"/>
            </w:tcBorders>
            <w:shd w:val="clear" w:color="auto" w:fill="auto"/>
            <w:hideMark/>
          </w:tcPr>
          <w:p w14:paraId="424504B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Hinting Task</w:t>
            </w:r>
          </w:p>
        </w:tc>
        <w:tc>
          <w:tcPr>
            <w:tcW w:w="0" w:type="auto"/>
            <w:tcBorders>
              <w:top w:val="nil"/>
              <w:left w:val="nil"/>
              <w:bottom w:val="single" w:sz="4" w:space="0" w:color="auto"/>
              <w:right w:val="single" w:sz="4" w:space="0" w:color="auto"/>
            </w:tcBorders>
            <w:shd w:val="clear" w:color="auto" w:fill="auto"/>
            <w:hideMark/>
          </w:tcPr>
          <w:p w14:paraId="6CD2FB8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- 6 weeks</w:t>
            </w:r>
            <w:r w:rsidRPr="00825FF0">
              <w:rPr>
                <w:rFonts w:asciiTheme="majorHAnsi" w:eastAsia="Times New Roman" w:hAnsiTheme="majorHAnsi" w:cs="Calibri"/>
                <w:color w:val="000000"/>
                <w:sz w:val="16"/>
                <w:szCs w:val="16"/>
                <w:lang w:eastAsia="en-GB"/>
              </w:rPr>
              <w:br/>
              <w:t>(measured every 2 weeks)</w:t>
            </w:r>
          </w:p>
        </w:tc>
        <w:tc>
          <w:tcPr>
            <w:tcW w:w="0" w:type="auto"/>
            <w:tcBorders>
              <w:top w:val="nil"/>
              <w:left w:val="nil"/>
              <w:bottom w:val="single" w:sz="4" w:space="0" w:color="auto"/>
              <w:right w:val="single" w:sz="4" w:space="0" w:color="auto"/>
            </w:tcBorders>
            <w:shd w:val="clear" w:color="auto" w:fill="auto"/>
            <w:hideMark/>
          </w:tcPr>
          <w:p w14:paraId="75077CF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Greatest improvement in ToM occurred during first 2 weeks of antipsychotic treatment, compared to baseline</w:t>
            </w:r>
          </w:p>
        </w:tc>
        <w:tc>
          <w:tcPr>
            <w:tcW w:w="0" w:type="auto"/>
            <w:tcBorders>
              <w:top w:val="nil"/>
              <w:left w:val="nil"/>
              <w:bottom w:val="single" w:sz="4" w:space="0" w:color="auto"/>
              <w:right w:val="nil"/>
            </w:tcBorders>
            <w:shd w:val="clear" w:color="auto" w:fill="auto"/>
            <w:hideMark/>
          </w:tcPr>
          <w:p w14:paraId="3B513E2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FEP patients only</w:t>
            </w:r>
            <w:r w:rsidRPr="00825FF0">
              <w:rPr>
                <w:rFonts w:asciiTheme="majorHAnsi" w:eastAsia="Times New Roman" w:hAnsiTheme="majorHAnsi" w:cs="Calibri"/>
                <w:color w:val="000000"/>
                <w:sz w:val="16"/>
                <w:szCs w:val="16"/>
                <w:lang w:eastAsia="en-GB"/>
              </w:rPr>
              <w:br/>
              <w:t>• Mixture of antipsychotic-naïve and drug-free patients</w:t>
            </w:r>
            <w:r w:rsidRPr="00825FF0">
              <w:rPr>
                <w:rFonts w:asciiTheme="majorHAnsi" w:eastAsia="Times New Roman" w:hAnsiTheme="majorHAnsi" w:cs="Calibri"/>
                <w:color w:val="000000"/>
                <w:sz w:val="16"/>
                <w:szCs w:val="16"/>
                <w:lang w:eastAsia="en-GB"/>
              </w:rPr>
              <w:br/>
              <w:t>• Non-randomised design</w:t>
            </w:r>
            <w:r w:rsidRPr="00825FF0">
              <w:rPr>
                <w:rFonts w:asciiTheme="majorHAnsi" w:eastAsia="Times New Roman" w:hAnsiTheme="majorHAnsi" w:cs="Calibri"/>
                <w:color w:val="000000"/>
                <w:sz w:val="16"/>
                <w:szCs w:val="16"/>
                <w:lang w:eastAsia="en-GB"/>
              </w:rPr>
              <w:br/>
              <w:t>• Short follow-up time period - practice effects</w:t>
            </w:r>
          </w:p>
        </w:tc>
        <w:tc>
          <w:tcPr>
            <w:tcW w:w="0" w:type="auto"/>
            <w:tcBorders>
              <w:top w:val="nil"/>
              <w:left w:val="single" w:sz="4" w:space="0" w:color="auto"/>
              <w:bottom w:val="single" w:sz="4" w:space="0" w:color="auto"/>
              <w:right w:val="single" w:sz="4" w:space="0" w:color="auto"/>
            </w:tcBorders>
            <w:shd w:val="clear" w:color="auto" w:fill="auto"/>
            <w:hideMark/>
          </w:tcPr>
          <w:p w14:paraId="36C97FAF"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18</w:t>
            </w:r>
          </w:p>
        </w:tc>
      </w:tr>
      <w:tr w:rsidR="00EB5138" w:rsidRPr="00825FF0" w14:paraId="00E8B6F3" w14:textId="77777777" w:rsidTr="00825FF0">
        <w:trPr>
          <w:trHeight w:val="2080"/>
        </w:trPr>
        <w:tc>
          <w:tcPr>
            <w:tcW w:w="0" w:type="auto"/>
            <w:tcBorders>
              <w:top w:val="nil"/>
              <w:left w:val="single" w:sz="4" w:space="0" w:color="auto"/>
              <w:bottom w:val="single" w:sz="4" w:space="0" w:color="auto"/>
              <w:right w:val="single" w:sz="4" w:space="0" w:color="auto"/>
            </w:tcBorders>
            <w:shd w:val="clear" w:color="auto" w:fill="auto"/>
            <w:hideMark/>
          </w:tcPr>
          <w:p w14:paraId="75E8812B" w14:textId="77777777" w:rsidR="00825FF0" w:rsidRDefault="00825FF0" w:rsidP="00825FF0">
            <w:pPr>
              <w:rPr>
                <w:rFonts w:asciiTheme="majorHAnsi" w:eastAsia="Times New Roman" w:hAnsiTheme="majorHAnsi" w:cs="Calibri"/>
                <w:color w:val="000000"/>
                <w:sz w:val="16"/>
                <w:szCs w:val="16"/>
                <w:lang w:eastAsia="en-GB"/>
              </w:rPr>
            </w:pPr>
            <w:bookmarkStart w:id="0" w:name="RANGE!A40:L56"/>
            <w:proofErr w:type="spellStart"/>
            <w:r w:rsidRPr="00825FF0">
              <w:rPr>
                <w:rFonts w:asciiTheme="majorHAnsi" w:eastAsia="Times New Roman" w:hAnsiTheme="majorHAnsi" w:cs="Calibri"/>
                <w:color w:val="000000"/>
                <w:sz w:val="16"/>
                <w:szCs w:val="16"/>
                <w:lang w:eastAsia="en-GB"/>
              </w:rPr>
              <w:t>Sergi</w:t>
            </w:r>
            <w:proofErr w:type="spellEnd"/>
            <w:r w:rsidRPr="00825FF0">
              <w:rPr>
                <w:rFonts w:asciiTheme="majorHAnsi" w:eastAsia="Times New Roman" w:hAnsiTheme="majorHAnsi" w:cs="Calibri"/>
                <w:color w:val="000000"/>
                <w:sz w:val="16"/>
                <w:szCs w:val="16"/>
                <w:lang w:eastAsia="en-GB"/>
              </w:rPr>
              <w:t xml:space="preserve"> et al (2007)</w:t>
            </w:r>
            <w:bookmarkEnd w:id="0"/>
          </w:p>
          <w:p w14:paraId="4B5FF943" w14:textId="77777777" w:rsidR="00C4280B" w:rsidRDefault="00C4280B" w:rsidP="00825FF0">
            <w:pPr>
              <w:rPr>
                <w:rFonts w:asciiTheme="majorHAnsi" w:eastAsia="Times New Roman" w:hAnsiTheme="majorHAnsi" w:cs="Calibri"/>
                <w:color w:val="000000"/>
                <w:sz w:val="16"/>
                <w:szCs w:val="16"/>
                <w:lang w:eastAsia="en-GB"/>
              </w:rPr>
            </w:pPr>
          </w:p>
          <w:p w14:paraId="282CCE3B" w14:textId="77777777" w:rsidR="00C4280B" w:rsidRDefault="00C4280B" w:rsidP="00825FF0">
            <w:pPr>
              <w:rPr>
                <w:rFonts w:asciiTheme="majorHAnsi" w:eastAsia="Times New Roman" w:hAnsiTheme="majorHAnsi" w:cs="Calibri"/>
                <w:color w:val="000000"/>
                <w:sz w:val="16"/>
                <w:szCs w:val="16"/>
                <w:lang w:eastAsia="en-GB"/>
              </w:rPr>
            </w:pPr>
          </w:p>
          <w:p w14:paraId="4CD0756A" w14:textId="1AE815C4"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73</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743530E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8, week double blind, randomised study</w:t>
            </w:r>
          </w:p>
        </w:tc>
        <w:tc>
          <w:tcPr>
            <w:tcW w:w="0" w:type="auto"/>
            <w:tcBorders>
              <w:top w:val="nil"/>
              <w:left w:val="nil"/>
              <w:bottom w:val="single" w:sz="4" w:space="0" w:color="auto"/>
              <w:right w:val="single" w:sz="4" w:space="0" w:color="auto"/>
            </w:tcBorders>
            <w:shd w:val="clear" w:color="auto" w:fill="auto"/>
            <w:hideMark/>
          </w:tcPr>
          <w:p w14:paraId="37A2267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73 outpatients with schizophrenia-spectrum disorder</w:t>
            </w:r>
          </w:p>
        </w:tc>
        <w:tc>
          <w:tcPr>
            <w:tcW w:w="1320" w:type="dxa"/>
            <w:tcBorders>
              <w:top w:val="nil"/>
              <w:left w:val="nil"/>
              <w:bottom w:val="single" w:sz="4" w:space="0" w:color="auto"/>
              <w:right w:val="single" w:sz="4" w:space="0" w:color="auto"/>
            </w:tcBorders>
            <w:shd w:val="clear" w:color="auto" w:fill="auto"/>
            <w:hideMark/>
          </w:tcPr>
          <w:p w14:paraId="62AAC2E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Risperidone</w:t>
            </w:r>
            <w:r w:rsidRPr="00825FF0">
              <w:rPr>
                <w:rFonts w:asciiTheme="majorHAnsi" w:eastAsia="Times New Roman" w:hAnsiTheme="majorHAnsi" w:cs="Calibri"/>
                <w:color w:val="000000"/>
                <w:sz w:val="16"/>
                <w:szCs w:val="16"/>
                <w:lang w:eastAsia="en-GB"/>
              </w:rPr>
              <w:br/>
              <w:t>Olanzapine</w:t>
            </w:r>
            <w:r w:rsidRPr="00825FF0">
              <w:rPr>
                <w:rFonts w:asciiTheme="majorHAnsi" w:eastAsia="Times New Roman" w:hAnsiTheme="majorHAnsi" w:cs="Calibri"/>
                <w:color w:val="000000"/>
                <w:sz w:val="16"/>
                <w:szCs w:val="16"/>
                <w:lang w:eastAsia="en-GB"/>
              </w:rPr>
              <w:br/>
              <w:t>Haloperidol</w:t>
            </w:r>
          </w:p>
        </w:tc>
        <w:tc>
          <w:tcPr>
            <w:tcW w:w="1363" w:type="dxa"/>
            <w:tcBorders>
              <w:top w:val="nil"/>
              <w:left w:val="nil"/>
              <w:bottom w:val="single" w:sz="4" w:space="0" w:color="auto"/>
              <w:right w:val="single" w:sz="4" w:space="0" w:color="auto"/>
            </w:tcBorders>
            <w:shd w:val="clear" w:color="auto" w:fill="auto"/>
            <w:hideMark/>
          </w:tcPr>
          <w:p w14:paraId="4C03F4A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4mg</w:t>
            </w:r>
            <w:r w:rsidRPr="00825FF0">
              <w:rPr>
                <w:rFonts w:asciiTheme="majorHAnsi" w:eastAsia="Times New Roman" w:hAnsiTheme="majorHAnsi" w:cs="Calibri"/>
                <w:color w:val="000000"/>
                <w:sz w:val="16"/>
                <w:szCs w:val="16"/>
                <w:lang w:eastAsia="en-GB"/>
              </w:rPr>
              <w:br/>
              <w:t>15mg</w:t>
            </w:r>
            <w:r w:rsidRPr="00825FF0">
              <w:rPr>
                <w:rFonts w:asciiTheme="majorHAnsi" w:eastAsia="Times New Roman" w:hAnsiTheme="majorHAnsi" w:cs="Calibri"/>
                <w:color w:val="000000"/>
                <w:sz w:val="16"/>
                <w:szCs w:val="16"/>
                <w:lang w:eastAsia="en-GB"/>
              </w:rPr>
              <w:br/>
              <w:t>8mg</w:t>
            </w:r>
          </w:p>
        </w:tc>
        <w:tc>
          <w:tcPr>
            <w:tcW w:w="0" w:type="auto"/>
            <w:tcBorders>
              <w:top w:val="nil"/>
              <w:left w:val="nil"/>
              <w:bottom w:val="single" w:sz="4" w:space="0" w:color="auto"/>
              <w:right w:val="single" w:sz="4" w:space="0" w:color="auto"/>
            </w:tcBorders>
            <w:shd w:val="clear" w:color="auto" w:fill="auto"/>
            <w:hideMark/>
          </w:tcPr>
          <w:p w14:paraId="4ECE8C1B" w14:textId="1029AA5F"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Patients were initially enrolled and tested at baseline on their pre</w:t>
            </w:r>
            <w:r>
              <w:rPr>
                <w:rFonts w:asciiTheme="majorHAnsi" w:eastAsia="Times New Roman" w:hAnsiTheme="majorHAnsi" w:cs="Calibri"/>
                <w:color w:val="000000"/>
                <w:sz w:val="16"/>
                <w:szCs w:val="16"/>
                <w:lang w:eastAsia="en-GB"/>
              </w:rPr>
              <w:t>-</w:t>
            </w:r>
            <w:r w:rsidRPr="00825FF0">
              <w:rPr>
                <w:rFonts w:asciiTheme="majorHAnsi" w:eastAsia="Times New Roman" w:hAnsiTheme="majorHAnsi" w:cs="Calibri"/>
                <w:color w:val="000000"/>
                <w:sz w:val="16"/>
                <w:szCs w:val="16"/>
                <w:lang w:eastAsia="en-GB"/>
              </w:rPr>
              <w:t xml:space="preserve">study medication; there was no medication washout period. </w:t>
            </w:r>
          </w:p>
        </w:tc>
        <w:tc>
          <w:tcPr>
            <w:tcW w:w="935" w:type="dxa"/>
            <w:tcBorders>
              <w:top w:val="nil"/>
              <w:left w:val="nil"/>
              <w:bottom w:val="single" w:sz="4" w:space="0" w:color="auto"/>
              <w:right w:val="single" w:sz="4" w:space="0" w:color="auto"/>
            </w:tcBorders>
            <w:shd w:val="clear" w:color="auto" w:fill="auto"/>
            <w:hideMark/>
          </w:tcPr>
          <w:p w14:paraId="64E1B9E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42A6BC4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Processing/Social Perception</w:t>
            </w:r>
          </w:p>
        </w:tc>
        <w:tc>
          <w:tcPr>
            <w:tcW w:w="0" w:type="auto"/>
            <w:tcBorders>
              <w:top w:val="nil"/>
              <w:left w:val="nil"/>
              <w:bottom w:val="single" w:sz="4" w:space="0" w:color="auto"/>
              <w:right w:val="single" w:sz="4" w:space="0" w:color="auto"/>
            </w:tcBorders>
            <w:shd w:val="clear" w:color="auto" w:fill="auto"/>
            <w:hideMark/>
          </w:tcPr>
          <w:p w14:paraId="11928B7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Half-profile of non-verbal sensitivity/IPT-15</w:t>
            </w:r>
          </w:p>
        </w:tc>
        <w:tc>
          <w:tcPr>
            <w:tcW w:w="0" w:type="auto"/>
            <w:tcBorders>
              <w:top w:val="nil"/>
              <w:left w:val="nil"/>
              <w:bottom w:val="single" w:sz="4" w:space="0" w:color="auto"/>
              <w:right w:val="single" w:sz="4" w:space="0" w:color="auto"/>
            </w:tcBorders>
            <w:shd w:val="clear" w:color="auto" w:fill="auto"/>
            <w:hideMark/>
          </w:tcPr>
          <w:p w14:paraId="3DFD6EF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8 weeks</w:t>
            </w:r>
          </w:p>
        </w:tc>
        <w:tc>
          <w:tcPr>
            <w:tcW w:w="0" w:type="auto"/>
            <w:tcBorders>
              <w:top w:val="nil"/>
              <w:left w:val="nil"/>
              <w:bottom w:val="single" w:sz="4" w:space="0" w:color="auto"/>
              <w:right w:val="single" w:sz="4" w:space="0" w:color="auto"/>
            </w:tcBorders>
            <w:shd w:val="clear" w:color="auto" w:fill="auto"/>
            <w:hideMark/>
          </w:tcPr>
          <w:p w14:paraId="3E968A37" w14:textId="0B74854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changes in social cognition associated with treatment over an 8-week study period.</w:t>
            </w:r>
          </w:p>
        </w:tc>
        <w:tc>
          <w:tcPr>
            <w:tcW w:w="0" w:type="auto"/>
            <w:tcBorders>
              <w:top w:val="nil"/>
              <w:left w:val="nil"/>
              <w:bottom w:val="single" w:sz="4" w:space="0" w:color="auto"/>
              <w:right w:val="nil"/>
            </w:tcBorders>
            <w:shd w:val="clear" w:color="auto" w:fill="auto"/>
            <w:hideMark/>
          </w:tcPr>
          <w:p w14:paraId="30413852" w14:textId="3B99B6B8"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•Pharmaceutical funding- medications for the study were provided by pharmaceutical companies</w:t>
            </w:r>
            <w:r w:rsidRPr="00825FF0">
              <w:rPr>
                <w:rFonts w:asciiTheme="majorHAnsi" w:eastAsia="Times New Roman" w:hAnsiTheme="majorHAnsi" w:cs="Calibri"/>
                <w:color w:val="000000"/>
                <w:sz w:val="16"/>
                <w:szCs w:val="16"/>
                <w:lang w:eastAsia="en-GB"/>
              </w:rPr>
              <w:br/>
              <w:t>• Modest group size and two random assignment paths - limited statistical power</w:t>
            </w:r>
            <w:r w:rsidRPr="00825FF0">
              <w:rPr>
                <w:rFonts w:asciiTheme="majorHAnsi" w:eastAsia="Times New Roman" w:hAnsiTheme="majorHAnsi" w:cs="Calibri"/>
                <w:color w:val="000000"/>
                <w:sz w:val="16"/>
                <w:szCs w:val="16"/>
                <w:lang w:eastAsia="en-GB"/>
              </w:rPr>
              <w:br/>
              <w:t>• Short follow-up time period - practice effects</w:t>
            </w:r>
            <w:r w:rsidRPr="00825FF0">
              <w:rPr>
                <w:rFonts w:asciiTheme="majorHAnsi" w:eastAsia="Times New Roman" w:hAnsiTheme="majorHAnsi" w:cs="Calibri"/>
                <w:color w:val="000000"/>
                <w:sz w:val="16"/>
                <w:szCs w:val="16"/>
                <w:lang w:eastAsia="en-GB"/>
              </w:rPr>
              <w:br/>
              <w:t>• Patients were not antipsychotic-naïve (no washout period)</w:t>
            </w:r>
          </w:p>
        </w:tc>
        <w:tc>
          <w:tcPr>
            <w:tcW w:w="0" w:type="auto"/>
            <w:tcBorders>
              <w:top w:val="nil"/>
              <w:left w:val="single" w:sz="4" w:space="0" w:color="auto"/>
              <w:bottom w:val="single" w:sz="4" w:space="0" w:color="auto"/>
              <w:right w:val="single" w:sz="4" w:space="0" w:color="auto"/>
            </w:tcBorders>
            <w:shd w:val="clear" w:color="auto" w:fill="auto"/>
            <w:hideMark/>
          </w:tcPr>
          <w:p w14:paraId="511A818C"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21</w:t>
            </w:r>
          </w:p>
        </w:tc>
      </w:tr>
      <w:tr w:rsidR="00EB5138" w:rsidRPr="00825FF0" w14:paraId="5FE9DAB2" w14:textId="77777777" w:rsidTr="00825FF0">
        <w:trPr>
          <w:trHeight w:val="130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C8FFB12"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Mizrahi et al (2008)</w:t>
            </w:r>
          </w:p>
          <w:p w14:paraId="36B1914D" w14:textId="77777777" w:rsidR="00C4280B" w:rsidRDefault="00C4280B" w:rsidP="00825FF0">
            <w:pPr>
              <w:rPr>
                <w:rFonts w:asciiTheme="majorHAnsi" w:eastAsia="Times New Roman" w:hAnsiTheme="majorHAnsi" w:cs="Calibri"/>
                <w:color w:val="000000"/>
                <w:sz w:val="16"/>
                <w:szCs w:val="16"/>
                <w:lang w:eastAsia="en-GB"/>
              </w:rPr>
            </w:pPr>
          </w:p>
          <w:p w14:paraId="7ABF28A5" w14:textId="1049C24C"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62</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12872DC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Cross sectional study and a longitudinal study</w:t>
            </w:r>
          </w:p>
        </w:tc>
        <w:tc>
          <w:tcPr>
            <w:tcW w:w="0" w:type="auto"/>
            <w:tcBorders>
              <w:top w:val="single" w:sz="4" w:space="0" w:color="auto"/>
              <w:left w:val="nil"/>
              <w:bottom w:val="single" w:sz="4" w:space="0" w:color="auto"/>
              <w:right w:val="single" w:sz="4" w:space="0" w:color="auto"/>
            </w:tcBorders>
            <w:shd w:val="clear" w:color="auto" w:fill="auto"/>
            <w:hideMark/>
          </w:tcPr>
          <w:p w14:paraId="66F385E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17 FEP patients</w:t>
            </w:r>
          </w:p>
        </w:tc>
        <w:tc>
          <w:tcPr>
            <w:tcW w:w="1320" w:type="dxa"/>
            <w:tcBorders>
              <w:top w:val="single" w:sz="4" w:space="0" w:color="auto"/>
              <w:left w:val="nil"/>
              <w:bottom w:val="single" w:sz="4" w:space="0" w:color="auto"/>
              <w:right w:val="single" w:sz="4" w:space="0" w:color="auto"/>
            </w:tcBorders>
            <w:shd w:val="clear" w:color="auto" w:fill="auto"/>
            <w:hideMark/>
          </w:tcPr>
          <w:p w14:paraId="2764D69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Typical</w:t>
            </w:r>
            <w:r w:rsidRPr="00825FF0">
              <w:rPr>
                <w:rFonts w:asciiTheme="majorHAnsi" w:eastAsia="Times New Roman" w:hAnsiTheme="majorHAnsi" w:cs="Calibri"/>
                <w:color w:val="000000"/>
                <w:sz w:val="16"/>
                <w:szCs w:val="16"/>
                <w:lang w:eastAsia="en-GB"/>
              </w:rPr>
              <w:br/>
              <w:t>Atypical</w:t>
            </w:r>
          </w:p>
        </w:tc>
        <w:tc>
          <w:tcPr>
            <w:tcW w:w="1363" w:type="dxa"/>
            <w:tcBorders>
              <w:top w:val="single" w:sz="4" w:space="0" w:color="auto"/>
              <w:left w:val="nil"/>
              <w:bottom w:val="single" w:sz="4" w:space="0" w:color="auto"/>
              <w:right w:val="single" w:sz="4" w:space="0" w:color="auto"/>
            </w:tcBorders>
            <w:shd w:val="clear" w:color="auto" w:fill="auto"/>
            <w:hideMark/>
          </w:tcPr>
          <w:p w14:paraId="628A543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stated</w:t>
            </w:r>
          </w:p>
        </w:tc>
        <w:tc>
          <w:tcPr>
            <w:tcW w:w="0" w:type="auto"/>
            <w:tcBorders>
              <w:top w:val="single" w:sz="4" w:space="0" w:color="auto"/>
              <w:left w:val="nil"/>
              <w:bottom w:val="single" w:sz="4" w:space="0" w:color="auto"/>
              <w:right w:val="single" w:sz="4" w:space="0" w:color="auto"/>
            </w:tcBorders>
            <w:shd w:val="clear" w:color="auto" w:fill="auto"/>
            <w:hideMark/>
          </w:tcPr>
          <w:p w14:paraId="6FCDECF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The study was a cohort of consecutively admitted antipsychotic-free patients to the inpatient and outpatient Schizophrenia program who were willing to start antipsychotic medication. Patients had previously untreated psychosis and were antipsychotic-naïve at the beginning of the study, or had started or changed medication to improve symptoms in the previous 48 h.</w:t>
            </w:r>
          </w:p>
        </w:tc>
        <w:tc>
          <w:tcPr>
            <w:tcW w:w="935" w:type="dxa"/>
            <w:tcBorders>
              <w:top w:val="single" w:sz="4" w:space="0" w:color="auto"/>
              <w:left w:val="nil"/>
              <w:bottom w:val="single" w:sz="4" w:space="0" w:color="auto"/>
              <w:right w:val="single" w:sz="4" w:space="0" w:color="auto"/>
            </w:tcBorders>
            <w:shd w:val="clear" w:color="auto" w:fill="auto"/>
            <w:hideMark/>
          </w:tcPr>
          <w:p w14:paraId="4A08ACE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49DDE66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Attribution Style</w:t>
            </w:r>
          </w:p>
        </w:tc>
        <w:tc>
          <w:tcPr>
            <w:tcW w:w="0" w:type="auto"/>
            <w:tcBorders>
              <w:top w:val="single" w:sz="4" w:space="0" w:color="auto"/>
              <w:left w:val="nil"/>
              <w:bottom w:val="single" w:sz="4" w:space="0" w:color="auto"/>
              <w:right w:val="single" w:sz="4" w:space="0" w:color="auto"/>
            </w:tcBorders>
            <w:shd w:val="clear" w:color="auto" w:fill="auto"/>
            <w:hideMark/>
          </w:tcPr>
          <w:p w14:paraId="60DD822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IPSAQ</w:t>
            </w:r>
          </w:p>
        </w:tc>
        <w:tc>
          <w:tcPr>
            <w:tcW w:w="0" w:type="auto"/>
            <w:tcBorders>
              <w:top w:val="single" w:sz="4" w:space="0" w:color="auto"/>
              <w:left w:val="nil"/>
              <w:bottom w:val="single" w:sz="4" w:space="0" w:color="auto"/>
              <w:right w:val="single" w:sz="4" w:space="0" w:color="auto"/>
            </w:tcBorders>
            <w:shd w:val="clear" w:color="auto" w:fill="auto"/>
            <w:hideMark/>
          </w:tcPr>
          <w:p w14:paraId="2CD789A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6 weeks</w:t>
            </w:r>
          </w:p>
        </w:tc>
        <w:tc>
          <w:tcPr>
            <w:tcW w:w="0" w:type="auto"/>
            <w:tcBorders>
              <w:top w:val="single" w:sz="4" w:space="0" w:color="auto"/>
              <w:left w:val="nil"/>
              <w:bottom w:val="single" w:sz="4" w:space="0" w:color="auto"/>
              <w:right w:val="single" w:sz="4" w:space="0" w:color="auto"/>
            </w:tcBorders>
            <w:shd w:val="clear" w:color="auto" w:fill="auto"/>
            <w:hideMark/>
          </w:tcPr>
          <w:p w14:paraId="63C8CA4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Attributional style scores did not change during 6 weeks of antipsychotic treatment</w:t>
            </w:r>
          </w:p>
        </w:tc>
        <w:tc>
          <w:tcPr>
            <w:tcW w:w="0" w:type="auto"/>
            <w:tcBorders>
              <w:top w:val="single" w:sz="4" w:space="0" w:color="auto"/>
              <w:left w:val="nil"/>
              <w:bottom w:val="single" w:sz="4" w:space="0" w:color="auto"/>
              <w:right w:val="nil"/>
            </w:tcBorders>
            <w:shd w:val="clear" w:color="auto" w:fill="auto"/>
            <w:hideMark/>
          </w:tcPr>
          <w:p w14:paraId="29059E6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Small longitudinal cohort – may not have sufficient power</w:t>
            </w:r>
            <w:r w:rsidRPr="00825FF0">
              <w:rPr>
                <w:rFonts w:asciiTheme="majorHAnsi" w:eastAsia="Times New Roman" w:hAnsiTheme="majorHAnsi" w:cs="Calibri"/>
                <w:color w:val="000000"/>
                <w:sz w:val="16"/>
                <w:szCs w:val="16"/>
                <w:lang w:eastAsia="en-GB"/>
              </w:rPr>
              <w:br/>
              <w:t>• Short follow-up time period - practice effects</w:t>
            </w:r>
            <w:r w:rsidRPr="00825FF0">
              <w:rPr>
                <w:rFonts w:asciiTheme="majorHAnsi" w:eastAsia="Times New Roman" w:hAnsiTheme="majorHAnsi" w:cs="Calibri"/>
                <w:color w:val="000000"/>
                <w:sz w:val="16"/>
                <w:szCs w:val="16"/>
                <w:lang w:eastAsia="en-GB"/>
              </w:rPr>
              <w:br/>
              <w:t>• FEP patients only</w:t>
            </w:r>
            <w:r w:rsidRPr="00825FF0">
              <w:rPr>
                <w:rFonts w:asciiTheme="majorHAnsi" w:eastAsia="Times New Roman" w:hAnsiTheme="majorHAnsi" w:cs="Calibri"/>
                <w:color w:val="000000"/>
                <w:sz w:val="16"/>
                <w:szCs w:val="16"/>
                <w:lang w:eastAsia="en-GB"/>
              </w:rPr>
              <w:br/>
              <w:t>• Antipsychotic medication not specified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79A9242"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11</w:t>
            </w:r>
          </w:p>
        </w:tc>
      </w:tr>
      <w:tr w:rsidR="00EB5138" w:rsidRPr="00825FF0" w14:paraId="3D16192B" w14:textId="77777777" w:rsidTr="00825FF0">
        <w:trPr>
          <w:trHeight w:val="1300"/>
        </w:trPr>
        <w:tc>
          <w:tcPr>
            <w:tcW w:w="0" w:type="auto"/>
            <w:tcBorders>
              <w:top w:val="nil"/>
              <w:left w:val="single" w:sz="4" w:space="0" w:color="auto"/>
              <w:bottom w:val="single" w:sz="4" w:space="0" w:color="auto"/>
              <w:right w:val="single" w:sz="4" w:space="0" w:color="auto"/>
            </w:tcBorders>
            <w:shd w:val="clear" w:color="auto" w:fill="auto"/>
            <w:hideMark/>
          </w:tcPr>
          <w:p w14:paraId="3662EAA0"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Fakra et al (2009)</w:t>
            </w:r>
          </w:p>
          <w:p w14:paraId="3F89B3D1" w14:textId="77777777" w:rsidR="00C4280B" w:rsidRDefault="00C4280B" w:rsidP="00825FF0">
            <w:pPr>
              <w:rPr>
                <w:rFonts w:asciiTheme="majorHAnsi" w:eastAsia="Times New Roman" w:hAnsiTheme="majorHAnsi" w:cs="Calibri"/>
                <w:color w:val="000000"/>
                <w:sz w:val="16"/>
                <w:szCs w:val="16"/>
                <w:lang w:eastAsia="en-GB"/>
              </w:rPr>
            </w:pPr>
          </w:p>
          <w:p w14:paraId="2977CE02" w14:textId="0385DD59"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w:t>
            </w:r>
            <w:r>
              <w:rPr>
                <w:rFonts w:asciiTheme="majorHAnsi" w:eastAsia="Times New Roman" w:hAnsiTheme="majorHAnsi" w:cs="Calibri"/>
                <w:color w:val="000000"/>
                <w:sz w:val="16"/>
                <w:szCs w:val="16"/>
                <w:lang w:eastAsia="en-GB"/>
              </w:rPr>
              <w:t>1]</w:t>
            </w:r>
          </w:p>
        </w:tc>
        <w:tc>
          <w:tcPr>
            <w:tcW w:w="0" w:type="auto"/>
            <w:tcBorders>
              <w:top w:val="nil"/>
              <w:left w:val="nil"/>
              <w:bottom w:val="single" w:sz="4" w:space="0" w:color="auto"/>
              <w:right w:val="single" w:sz="4" w:space="0" w:color="auto"/>
            </w:tcBorders>
            <w:shd w:val="clear" w:color="auto" w:fill="auto"/>
            <w:hideMark/>
          </w:tcPr>
          <w:p w14:paraId="7426F96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Controlled, open, randomised and prospective design.</w:t>
            </w:r>
          </w:p>
        </w:tc>
        <w:tc>
          <w:tcPr>
            <w:tcW w:w="0" w:type="auto"/>
            <w:tcBorders>
              <w:top w:val="nil"/>
              <w:left w:val="nil"/>
              <w:bottom w:val="single" w:sz="4" w:space="0" w:color="auto"/>
              <w:right w:val="single" w:sz="4" w:space="0" w:color="auto"/>
            </w:tcBorders>
            <w:shd w:val="clear" w:color="auto" w:fill="auto"/>
            <w:hideMark/>
          </w:tcPr>
          <w:p w14:paraId="163B5DC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25 schizophrenia patients</w:t>
            </w:r>
          </w:p>
        </w:tc>
        <w:tc>
          <w:tcPr>
            <w:tcW w:w="1320" w:type="dxa"/>
            <w:tcBorders>
              <w:top w:val="nil"/>
              <w:left w:val="nil"/>
              <w:bottom w:val="single" w:sz="4" w:space="0" w:color="auto"/>
              <w:right w:val="single" w:sz="4" w:space="0" w:color="auto"/>
            </w:tcBorders>
            <w:shd w:val="clear" w:color="auto" w:fill="auto"/>
            <w:hideMark/>
          </w:tcPr>
          <w:p w14:paraId="7E89884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Haloperidol</w:t>
            </w:r>
            <w:r w:rsidRPr="00825FF0">
              <w:rPr>
                <w:rFonts w:asciiTheme="majorHAnsi" w:eastAsia="Times New Roman" w:hAnsiTheme="majorHAnsi" w:cs="Calibri"/>
                <w:color w:val="000000"/>
                <w:sz w:val="16"/>
                <w:szCs w:val="16"/>
                <w:lang w:eastAsia="en-GB"/>
              </w:rPr>
              <w:br/>
              <w:t>Risperidone</w:t>
            </w:r>
          </w:p>
        </w:tc>
        <w:tc>
          <w:tcPr>
            <w:tcW w:w="1363" w:type="dxa"/>
            <w:tcBorders>
              <w:top w:val="nil"/>
              <w:left w:val="nil"/>
              <w:bottom w:val="single" w:sz="4" w:space="0" w:color="auto"/>
              <w:right w:val="single" w:sz="4" w:space="0" w:color="auto"/>
            </w:tcBorders>
            <w:shd w:val="clear" w:color="auto" w:fill="auto"/>
            <w:hideMark/>
          </w:tcPr>
          <w:p w14:paraId="7D3F49E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stated</w:t>
            </w:r>
          </w:p>
        </w:tc>
        <w:tc>
          <w:tcPr>
            <w:tcW w:w="0" w:type="auto"/>
            <w:tcBorders>
              <w:top w:val="nil"/>
              <w:left w:val="nil"/>
              <w:bottom w:val="single" w:sz="4" w:space="0" w:color="auto"/>
              <w:right w:val="single" w:sz="4" w:space="0" w:color="auto"/>
            </w:tcBorders>
            <w:shd w:val="clear" w:color="auto" w:fill="auto"/>
            <w:hideMark/>
          </w:tcPr>
          <w:p w14:paraId="000382BC" w14:textId="3BF330FD"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Followed a wash-out period of at least 1 week for prior antipsychotic treatment. Random assignment to Haloperidol or Risperidone treatment groups.</w:t>
            </w:r>
            <w:r w:rsidRPr="00825FF0">
              <w:rPr>
                <w:rFonts w:asciiTheme="majorHAnsi" w:eastAsia="Times New Roman" w:hAnsiTheme="majorHAnsi" w:cs="Calibri"/>
                <w:color w:val="000000"/>
                <w:sz w:val="16"/>
                <w:szCs w:val="16"/>
                <w:lang w:eastAsia="en-GB"/>
              </w:rPr>
              <w:br/>
              <w:t>Use of other antipsychotics or long-life benzodiazepines was prohibited. Benzodiazepines were not administered for a minimum of eight hours before emotional testing.</w:t>
            </w:r>
          </w:p>
        </w:tc>
        <w:tc>
          <w:tcPr>
            <w:tcW w:w="935" w:type="dxa"/>
            <w:tcBorders>
              <w:top w:val="nil"/>
              <w:left w:val="nil"/>
              <w:bottom w:val="single" w:sz="4" w:space="0" w:color="auto"/>
              <w:right w:val="single" w:sz="4" w:space="0" w:color="auto"/>
            </w:tcBorders>
            <w:shd w:val="clear" w:color="auto" w:fill="auto"/>
            <w:hideMark/>
          </w:tcPr>
          <w:p w14:paraId="21BB08F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1F54AF9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0EE05DA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FEDT</w:t>
            </w:r>
          </w:p>
        </w:tc>
        <w:tc>
          <w:tcPr>
            <w:tcW w:w="0" w:type="auto"/>
            <w:tcBorders>
              <w:top w:val="nil"/>
              <w:left w:val="nil"/>
              <w:bottom w:val="single" w:sz="4" w:space="0" w:color="auto"/>
              <w:right w:val="single" w:sz="4" w:space="0" w:color="auto"/>
            </w:tcBorders>
            <w:shd w:val="clear" w:color="auto" w:fill="auto"/>
            <w:hideMark/>
          </w:tcPr>
          <w:p w14:paraId="5075973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2 weeks, 4 weeks</w:t>
            </w:r>
          </w:p>
        </w:tc>
        <w:tc>
          <w:tcPr>
            <w:tcW w:w="0" w:type="auto"/>
            <w:tcBorders>
              <w:top w:val="nil"/>
              <w:left w:val="nil"/>
              <w:bottom w:val="single" w:sz="4" w:space="0" w:color="auto"/>
              <w:right w:val="single" w:sz="4" w:space="0" w:color="auto"/>
            </w:tcBorders>
            <w:shd w:val="clear" w:color="auto" w:fill="auto"/>
            <w:hideMark/>
          </w:tcPr>
          <w:p w14:paraId="4A35E185" w14:textId="3A94BA5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Greater beneficial effect of Risperidone than Haloperidol in schizophrenic patients’ ability to discriminate facial emotions at follow-up compared to baseline</w:t>
            </w:r>
          </w:p>
        </w:tc>
        <w:tc>
          <w:tcPr>
            <w:tcW w:w="0" w:type="auto"/>
            <w:tcBorders>
              <w:top w:val="nil"/>
              <w:left w:val="nil"/>
              <w:bottom w:val="single" w:sz="4" w:space="0" w:color="auto"/>
              <w:right w:val="nil"/>
            </w:tcBorders>
            <w:shd w:val="clear" w:color="auto" w:fill="auto"/>
            <w:hideMark/>
          </w:tcPr>
          <w:p w14:paraId="10197BA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Small sample size</w:t>
            </w:r>
            <w:r w:rsidRPr="00825FF0">
              <w:rPr>
                <w:rFonts w:asciiTheme="majorHAnsi" w:eastAsia="Times New Roman" w:hAnsiTheme="majorHAnsi" w:cs="Calibri"/>
                <w:color w:val="000000"/>
                <w:sz w:val="16"/>
                <w:szCs w:val="16"/>
                <w:lang w:eastAsia="en-GB"/>
              </w:rPr>
              <w:br/>
              <w:t>• Patients were not antipsychotic-naïve</w:t>
            </w:r>
            <w:r w:rsidRPr="00825FF0">
              <w:rPr>
                <w:rFonts w:asciiTheme="majorHAnsi" w:eastAsia="Times New Roman" w:hAnsiTheme="majorHAnsi" w:cs="Calibri"/>
                <w:color w:val="000000"/>
                <w:sz w:val="16"/>
                <w:szCs w:val="16"/>
                <w:lang w:eastAsia="en-GB"/>
              </w:rPr>
              <w:br/>
              <w:t>• Short follow-up time period - practice effects</w:t>
            </w:r>
          </w:p>
        </w:tc>
        <w:tc>
          <w:tcPr>
            <w:tcW w:w="0" w:type="auto"/>
            <w:tcBorders>
              <w:top w:val="nil"/>
              <w:left w:val="single" w:sz="4" w:space="0" w:color="auto"/>
              <w:bottom w:val="single" w:sz="4" w:space="0" w:color="auto"/>
              <w:right w:val="single" w:sz="4" w:space="0" w:color="auto"/>
            </w:tcBorders>
            <w:shd w:val="clear" w:color="auto" w:fill="auto"/>
            <w:hideMark/>
          </w:tcPr>
          <w:p w14:paraId="3CA911A1"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17</w:t>
            </w:r>
          </w:p>
        </w:tc>
      </w:tr>
      <w:tr w:rsidR="00EB5138" w:rsidRPr="00825FF0" w14:paraId="4BFB8DBA" w14:textId="77777777" w:rsidTr="00825FF0">
        <w:trPr>
          <w:trHeight w:val="1560"/>
        </w:trPr>
        <w:tc>
          <w:tcPr>
            <w:tcW w:w="0" w:type="auto"/>
            <w:tcBorders>
              <w:top w:val="nil"/>
              <w:left w:val="single" w:sz="4" w:space="0" w:color="auto"/>
              <w:bottom w:val="single" w:sz="4" w:space="0" w:color="auto"/>
              <w:right w:val="single" w:sz="4" w:space="0" w:color="auto"/>
            </w:tcBorders>
            <w:shd w:val="clear" w:color="auto" w:fill="auto"/>
            <w:hideMark/>
          </w:tcPr>
          <w:p w14:paraId="5CBD7621"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Penn et al (2009)</w:t>
            </w:r>
          </w:p>
          <w:p w14:paraId="50AD6FCA" w14:textId="77777777" w:rsidR="00C4280B" w:rsidRDefault="00C4280B" w:rsidP="00825FF0">
            <w:pPr>
              <w:rPr>
                <w:rFonts w:asciiTheme="majorHAnsi" w:eastAsia="Times New Roman" w:hAnsiTheme="majorHAnsi" w:cs="Calibri"/>
                <w:color w:val="000000"/>
                <w:sz w:val="16"/>
                <w:szCs w:val="16"/>
                <w:lang w:eastAsia="en-GB"/>
              </w:rPr>
            </w:pPr>
          </w:p>
          <w:p w14:paraId="1519BF24" w14:textId="77777777" w:rsidR="00C4280B" w:rsidRDefault="00C4280B" w:rsidP="00825FF0">
            <w:pPr>
              <w:rPr>
                <w:rFonts w:asciiTheme="majorHAnsi" w:eastAsia="Times New Roman" w:hAnsiTheme="majorHAnsi" w:cs="Calibri"/>
                <w:color w:val="000000"/>
                <w:sz w:val="16"/>
                <w:szCs w:val="16"/>
                <w:lang w:eastAsia="en-GB"/>
              </w:rPr>
            </w:pPr>
          </w:p>
          <w:p w14:paraId="13D04BA2" w14:textId="4BCD65C9"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w:t>
            </w:r>
            <w:r>
              <w:rPr>
                <w:rFonts w:asciiTheme="majorHAnsi" w:eastAsia="Times New Roman" w:hAnsiTheme="majorHAnsi" w:cs="Calibri"/>
                <w:color w:val="000000"/>
                <w:sz w:val="16"/>
                <w:szCs w:val="16"/>
                <w:lang w:eastAsia="en-GB"/>
              </w:rPr>
              <w:t>2]</w:t>
            </w:r>
          </w:p>
        </w:tc>
        <w:tc>
          <w:tcPr>
            <w:tcW w:w="0" w:type="auto"/>
            <w:tcBorders>
              <w:top w:val="nil"/>
              <w:left w:val="nil"/>
              <w:bottom w:val="single" w:sz="4" w:space="0" w:color="auto"/>
              <w:right w:val="single" w:sz="4" w:space="0" w:color="auto"/>
            </w:tcBorders>
            <w:shd w:val="clear" w:color="auto" w:fill="auto"/>
            <w:hideMark/>
          </w:tcPr>
          <w:p w14:paraId="38F2447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Random assignment to double-blind intervention</w:t>
            </w:r>
          </w:p>
        </w:tc>
        <w:tc>
          <w:tcPr>
            <w:tcW w:w="0" w:type="auto"/>
            <w:tcBorders>
              <w:top w:val="nil"/>
              <w:left w:val="nil"/>
              <w:bottom w:val="single" w:sz="4" w:space="0" w:color="auto"/>
              <w:right w:val="single" w:sz="4" w:space="0" w:color="auto"/>
            </w:tcBorders>
            <w:shd w:val="clear" w:color="auto" w:fill="auto"/>
            <w:hideMark/>
          </w:tcPr>
          <w:p w14:paraId="413A69E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873 schizophrenia patients</w:t>
            </w:r>
          </w:p>
        </w:tc>
        <w:tc>
          <w:tcPr>
            <w:tcW w:w="1320" w:type="dxa"/>
            <w:tcBorders>
              <w:top w:val="nil"/>
              <w:left w:val="nil"/>
              <w:bottom w:val="single" w:sz="4" w:space="0" w:color="auto"/>
              <w:right w:val="single" w:sz="4" w:space="0" w:color="auto"/>
            </w:tcBorders>
            <w:shd w:val="clear" w:color="auto" w:fill="auto"/>
            <w:hideMark/>
          </w:tcPr>
          <w:p w14:paraId="78FE358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Olanzapine</w:t>
            </w:r>
            <w:r w:rsidRPr="00825FF0">
              <w:rPr>
                <w:rFonts w:asciiTheme="majorHAnsi" w:eastAsia="Times New Roman" w:hAnsiTheme="majorHAnsi" w:cs="Calibri"/>
                <w:color w:val="000000"/>
                <w:sz w:val="16"/>
                <w:szCs w:val="16"/>
                <w:lang w:eastAsia="en-GB"/>
              </w:rPr>
              <w:br/>
              <w:t>Quetiapine Fumarate</w:t>
            </w:r>
            <w:r w:rsidRPr="00825FF0">
              <w:rPr>
                <w:rFonts w:asciiTheme="majorHAnsi" w:eastAsia="Times New Roman" w:hAnsiTheme="majorHAnsi" w:cs="Calibri"/>
                <w:color w:val="000000"/>
                <w:sz w:val="16"/>
                <w:szCs w:val="16"/>
                <w:lang w:eastAsia="en-GB"/>
              </w:rPr>
              <w:br/>
              <w:t>Risperidone</w:t>
            </w:r>
            <w:r w:rsidRPr="00825FF0">
              <w:rPr>
                <w:rFonts w:asciiTheme="majorHAnsi" w:eastAsia="Times New Roman" w:hAnsiTheme="majorHAnsi" w:cs="Calibri"/>
                <w:color w:val="000000"/>
                <w:sz w:val="16"/>
                <w:szCs w:val="16"/>
                <w:lang w:eastAsia="en-GB"/>
              </w:rPr>
              <w:br/>
              <w:t>Ziprasidone</w:t>
            </w:r>
            <w:r w:rsidRPr="00825FF0">
              <w:rPr>
                <w:rFonts w:asciiTheme="majorHAnsi" w:eastAsia="Times New Roman" w:hAnsiTheme="majorHAnsi" w:cs="Calibri"/>
                <w:color w:val="000000"/>
                <w:sz w:val="16"/>
                <w:szCs w:val="16"/>
                <w:lang w:eastAsia="en-GB"/>
              </w:rPr>
              <w:br/>
              <w:t>Perphenazine</w:t>
            </w:r>
          </w:p>
        </w:tc>
        <w:tc>
          <w:tcPr>
            <w:tcW w:w="1363" w:type="dxa"/>
            <w:tcBorders>
              <w:top w:val="nil"/>
              <w:left w:val="nil"/>
              <w:bottom w:val="single" w:sz="4" w:space="0" w:color="auto"/>
              <w:right w:val="single" w:sz="4" w:space="0" w:color="auto"/>
            </w:tcBorders>
            <w:shd w:val="clear" w:color="auto" w:fill="auto"/>
            <w:hideMark/>
          </w:tcPr>
          <w:p w14:paraId="4B58A874" w14:textId="1012BAFF"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(Zyprexa, Eli Lilly) (7.5 mg), </w:t>
            </w:r>
            <w:r w:rsidRPr="00825FF0">
              <w:rPr>
                <w:rFonts w:asciiTheme="majorHAnsi" w:eastAsia="Times New Roman" w:hAnsiTheme="majorHAnsi" w:cs="Calibri"/>
                <w:color w:val="000000"/>
                <w:sz w:val="16"/>
                <w:szCs w:val="16"/>
                <w:lang w:eastAsia="en-GB"/>
              </w:rPr>
              <w:br/>
              <w:t xml:space="preserve">(Seroquel, AstraZeneca) (200 mg) </w:t>
            </w:r>
            <w:r w:rsidRPr="00825FF0">
              <w:rPr>
                <w:rFonts w:asciiTheme="majorHAnsi" w:eastAsia="Times New Roman" w:hAnsiTheme="majorHAnsi" w:cs="Calibri"/>
                <w:color w:val="000000"/>
                <w:sz w:val="16"/>
                <w:szCs w:val="16"/>
                <w:lang w:eastAsia="en-GB"/>
              </w:rPr>
              <w:br/>
              <w:t>(Risperdal, Janssen Pharmaceuticals) (1.5 mg)</w:t>
            </w:r>
            <w:r w:rsidRPr="00825FF0">
              <w:rPr>
                <w:rFonts w:asciiTheme="majorHAnsi" w:eastAsia="Times New Roman" w:hAnsiTheme="majorHAnsi" w:cs="Calibri"/>
                <w:color w:val="000000"/>
                <w:sz w:val="16"/>
                <w:szCs w:val="16"/>
                <w:lang w:eastAsia="en-GB"/>
              </w:rPr>
              <w:br/>
              <w:t>(Trilafon, Schering-Plough) (8 mg)</w:t>
            </w:r>
            <w:r w:rsidRPr="00825FF0">
              <w:rPr>
                <w:rFonts w:asciiTheme="majorHAnsi" w:eastAsia="Times New Roman" w:hAnsiTheme="majorHAnsi" w:cs="Calibri"/>
                <w:color w:val="000000"/>
                <w:sz w:val="16"/>
                <w:szCs w:val="16"/>
                <w:lang w:eastAsia="en-GB"/>
              </w:rPr>
              <w:br/>
              <w:t>(Geodon, Pfizer) (40 mg)</w:t>
            </w:r>
          </w:p>
        </w:tc>
        <w:tc>
          <w:tcPr>
            <w:tcW w:w="0" w:type="auto"/>
            <w:tcBorders>
              <w:top w:val="nil"/>
              <w:left w:val="nil"/>
              <w:bottom w:val="single" w:sz="4" w:space="0" w:color="auto"/>
              <w:right w:val="single" w:sz="4" w:space="0" w:color="auto"/>
            </w:tcBorders>
            <w:shd w:val="clear" w:color="auto" w:fill="auto"/>
            <w:hideMark/>
          </w:tcPr>
          <w:p w14:paraId="2343425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Overlap in the administration of the antipsychotic agents that patients received before study entry was permitted for the first four weeks after randomization to allow a gradual transition to study medication. Concomitant medications were permitted throughout the trial, except for additional antipsychotic agents.</w:t>
            </w:r>
          </w:p>
        </w:tc>
        <w:tc>
          <w:tcPr>
            <w:tcW w:w="935" w:type="dxa"/>
            <w:tcBorders>
              <w:top w:val="nil"/>
              <w:left w:val="nil"/>
              <w:bottom w:val="single" w:sz="4" w:space="0" w:color="auto"/>
              <w:right w:val="single" w:sz="4" w:space="0" w:color="auto"/>
            </w:tcBorders>
            <w:shd w:val="clear" w:color="auto" w:fill="auto"/>
            <w:hideMark/>
          </w:tcPr>
          <w:p w14:paraId="665488B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540D225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16EBC30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FEDT</w:t>
            </w:r>
          </w:p>
        </w:tc>
        <w:tc>
          <w:tcPr>
            <w:tcW w:w="0" w:type="auto"/>
            <w:tcBorders>
              <w:top w:val="nil"/>
              <w:left w:val="nil"/>
              <w:bottom w:val="single" w:sz="4" w:space="0" w:color="auto"/>
              <w:right w:val="single" w:sz="4" w:space="0" w:color="auto"/>
            </w:tcBorders>
            <w:shd w:val="clear" w:color="auto" w:fill="auto"/>
            <w:hideMark/>
          </w:tcPr>
          <w:p w14:paraId="6DA6497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2 months</w:t>
            </w:r>
          </w:p>
        </w:tc>
        <w:tc>
          <w:tcPr>
            <w:tcW w:w="0" w:type="auto"/>
            <w:tcBorders>
              <w:top w:val="nil"/>
              <w:left w:val="nil"/>
              <w:bottom w:val="single" w:sz="4" w:space="0" w:color="auto"/>
              <w:right w:val="single" w:sz="4" w:space="0" w:color="auto"/>
            </w:tcBorders>
            <w:shd w:val="clear" w:color="auto" w:fill="auto"/>
            <w:hideMark/>
          </w:tcPr>
          <w:p w14:paraId="1F5E7870" w14:textId="76BD6B40"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Patients in all treatment groups (with the exception of Ziprasidone) showed small, non-significant improvements in emotion perception from baseline to two months</w:t>
            </w:r>
            <w:r w:rsidRPr="00825FF0">
              <w:rPr>
                <w:rFonts w:asciiTheme="majorHAnsi" w:eastAsia="Times New Roman" w:hAnsiTheme="majorHAnsi" w:cs="Calibri"/>
                <w:color w:val="000000"/>
                <w:sz w:val="16"/>
                <w:szCs w:val="16"/>
                <w:lang w:eastAsia="en-GB"/>
              </w:rPr>
              <w:br/>
            </w:r>
          </w:p>
        </w:tc>
        <w:tc>
          <w:tcPr>
            <w:tcW w:w="0" w:type="auto"/>
            <w:tcBorders>
              <w:top w:val="nil"/>
              <w:left w:val="nil"/>
              <w:bottom w:val="single" w:sz="4" w:space="0" w:color="auto"/>
              <w:right w:val="nil"/>
            </w:tcBorders>
            <w:shd w:val="clear" w:color="auto" w:fill="auto"/>
            <w:hideMark/>
          </w:tcPr>
          <w:p w14:paraId="063F185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Authors consult for pharma companies</w:t>
            </w:r>
            <w:r w:rsidRPr="00825FF0">
              <w:rPr>
                <w:rFonts w:asciiTheme="majorHAnsi" w:eastAsia="Times New Roman" w:hAnsiTheme="majorHAnsi" w:cs="Calibri"/>
                <w:color w:val="000000"/>
                <w:sz w:val="16"/>
                <w:szCs w:val="16"/>
                <w:lang w:eastAsia="en-GB"/>
              </w:rPr>
              <w:br/>
              <w:t>• Medications provided by pharma companies</w:t>
            </w:r>
            <w:r w:rsidRPr="00825FF0">
              <w:rPr>
                <w:rFonts w:asciiTheme="majorHAnsi" w:eastAsia="Times New Roman" w:hAnsiTheme="majorHAnsi" w:cs="Calibri"/>
                <w:color w:val="000000"/>
                <w:sz w:val="16"/>
                <w:szCs w:val="16"/>
                <w:lang w:eastAsia="en-GB"/>
              </w:rPr>
              <w:br/>
              <w:t>• Patients were not antipsychotic-naïve (medication was gradually titrated over 4 weeks following randomisation)</w:t>
            </w:r>
          </w:p>
        </w:tc>
        <w:tc>
          <w:tcPr>
            <w:tcW w:w="0" w:type="auto"/>
            <w:tcBorders>
              <w:top w:val="nil"/>
              <w:left w:val="single" w:sz="4" w:space="0" w:color="auto"/>
              <w:bottom w:val="single" w:sz="4" w:space="0" w:color="auto"/>
              <w:right w:val="single" w:sz="4" w:space="0" w:color="auto"/>
            </w:tcBorders>
            <w:shd w:val="clear" w:color="auto" w:fill="auto"/>
            <w:hideMark/>
          </w:tcPr>
          <w:p w14:paraId="3D9659B0"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22</w:t>
            </w:r>
          </w:p>
        </w:tc>
      </w:tr>
      <w:tr w:rsidR="00EB5138" w:rsidRPr="00825FF0" w14:paraId="368FE784" w14:textId="77777777" w:rsidTr="00825FF0">
        <w:trPr>
          <w:trHeight w:val="174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0C3D991"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Roberts et al (2010)</w:t>
            </w:r>
          </w:p>
          <w:p w14:paraId="10E1FBC8" w14:textId="77777777" w:rsidR="00C4280B" w:rsidRDefault="00C4280B" w:rsidP="00825FF0">
            <w:pPr>
              <w:rPr>
                <w:rFonts w:asciiTheme="majorHAnsi" w:eastAsia="Times New Roman" w:hAnsiTheme="majorHAnsi" w:cs="Calibri"/>
                <w:color w:val="000000"/>
                <w:sz w:val="16"/>
                <w:szCs w:val="16"/>
                <w:lang w:eastAsia="en-GB"/>
              </w:rPr>
            </w:pPr>
          </w:p>
          <w:p w14:paraId="0C78FBC7" w14:textId="5DD6A9F0"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w:t>
            </w:r>
            <w:r>
              <w:rPr>
                <w:rFonts w:asciiTheme="majorHAnsi" w:eastAsia="Times New Roman" w:hAnsiTheme="majorHAnsi" w:cs="Calibri"/>
                <w:color w:val="000000"/>
                <w:sz w:val="16"/>
                <w:szCs w:val="16"/>
                <w:lang w:eastAsia="en-GB"/>
              </w:rPr>
              <w:t>8]</w:t>
            </w:r>
          </w:p>
        </w:tc>
        <w:tc>
          <w:tcPr>
            <w:tcW w:w="0" w:type="auto"/>
            <w:tcBorders>
              <w:top w:val="single" w:sz="4" w:space="0" w:color="auto"/>
              <w:left w:val="nil"/>
              <w:bottom w:val="single" w:sz="4" w:space="0" w:color="auto"/>
              <w:right w:val="single" w:sz="4" w:space="0" w:color="auto"/>
            </w:tcBorders>
            <w:shd w:val="clear" w:color="auto" w:fill="auto"/>
            <w:hideMark/>
          </w:tcPr>
          <w:p w14:paraId="185FC7A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Randomised, double-blind clinical trial.</w:t>
            </w:r>
          </w:p>
        </w:tc>
        <w:tc>
          <w:tcPr>
            <w:tcW w:w="0" w:type="auto"/>
            <w:tcBorders>
              <w:top w:val="single" w:sz="4" w:space="0" w:color="auto"/>
              <w:left w:val="nil"/>
              <w:bottom w:val="single" w:sz="4" w:space="0" w:color="auto"/>
              <w:right w:val="single" w:sz="4" w:space="0" w:color="auto"/>
            </w:tcBorders>
            <w:shd w:val="clear" w:color="auto" w:fill="auto"/>
            <w:hideMark/>
          </w:tcPr>
          <w:p w14:paraId="2D7B1AA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223 Schizophrenia-spectrum patients</w:t>
            </w:r>
          </w:p>
        </w:tc>
        <w:tc>
          <w:tcPr>
            <w:tcW w:w="1320" w:type="dxa"/>
            <w:tcBorders>
              <w:top w:val="single" w:sz="4" w:space="0" w:color="auto"/>
              <w:left w:val="nil"/>
              <w:bottom w:val="single" w:sz="4" w:space="0" w:color="auto"/>
              <w:right w:val="single" w:sz="4" w:space="0" w:color="auto"/>
            </w:tcBorders>
            <w:shd w:val="clear" w:color="auto" w:fill="auto"/>
            <w:hideMark/>
          </w:tcPr>
          <w:p w14:paraId="66BA28F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Olanzapine</w:t>
            </w:r>
            <w:r w:rsidRPr="00825FF0">
              <w:rPr>
                <w:rFonts w:asciiTheme="majorHAnsi" w:eastAsia="Times New Roman" w:hAnsiTheme="majorHAnsi" w:cs="Calibri"/>
                <w:color w:val="000000"/>
                <w:sz w:val="16"/>
                <w:szCs w:val="16"/>
                <w:lang w:eastAsia="en-GB"/>
              </w:rPr>
              <w:br/>
              <w:t>Quetiapine</w:t>
            </w:r>
          </w:p>
        </w:tc>
        <w:tc>
          <w:tcPr>
            <w:tcW w:w="1363" w:type="dxa"/>
            <w:tcBorders>
              <w:top w:val="single" w:sz="4" w:space="0" w:color="auto"/>
              <w:left w:val="nil"/>
              <w:bottom w:val="single" w:sz="4" w:space="0" w:color="auto"/>
              <w:right w:val="single" w:sz="4" w:space="0" w:color="auto"/>
            </w:tcBorders>
            <w:shd w:val="clear" w:color="auto" w:fill="auto"/>
            <w:hideMark/>
          </w:tcPr>
          <w:p w14:paraId="0EC39E8C" w14:textId="66149B8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olanzapine mean dose = 15.6mg</w:t>
            </w:r>
            <w:r w:rsidRPr="00825FF0">
              <w:rPr>
                <w:rFonts w:asciiTheme="majorHAnsi" w:eastAsia="Times New Roman" w:hAnsiTheme="majorHAnsi" w:cs="Calibri"/>
                <w:color w:val="000000"/>
                <w:sz w:val="16"/>
                <w:szCs w:val="16"/>
                <w:lang w:eastAsia="en-GB"/>
              </w:rPr>
              <w:br/>
              <w:t>quetiapine mean dose = 455.8mg</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i/>
                <w:iCs/>
                <w:color w:val="000000"/>
                <w:sz w:val="16"/>
                <w:szCs w:val="16"/>
                <w:lang w:eastAsia="en-GB"/>
              </w:rPr>
              <w:t>Chlorpromazine equivalents</w:t>
            </w:r>
            <w:r w:rsidRPr="00825FF0">
              <w:rPr>
                <w:rFonts w:asciiTheme="majorHAnsi" w:eastAsia="Times New Roman" w:hAnsiTheme="majorHAnsi" w:cs="Calibri"/>
                <w:color w:val="000000"/>
                <w:sz w:val="16"/>
                <w:szCs w:val="16"/>
                <w:lang w:eastAsia="en-GB"/>
              </w:rPr>
              <w:t xml:space="preserve"> of these doses are 312 mg/day and 607.7 mg/day, respectively.</w:t>
            </w:r>
          </w:p>
        </w:tc>
        <w:tc>
          <w:tcPr>
            <w:tcW w:w="0" w:type="auto"/>
            <w:tcBorders>
              <w:top w:val="single" w:sz="4" w:space="0" w:color="auto"/>
              <w:left w:val="nil"/>
              <w:bottom w:val="single" w:sz="4" w:space="0" w:color="auto"/>
              <w:right w:val="single" w:sz="4" w:space="0" w:color="auto"/>
            </w:tcBorders>
            <w:shd w:val="clear" w:color="auto" w:fill="auto"/>
            <w:hideMark/>
          </w:tcPr>
          <w:p w14:paraId="01A6278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Participants entered a 2-week titration period during which they were switched from their current medication to Olanzapine or Quetiapine.</w:t>
            </w:r>
          </w:p>
        </w:tc>
        <w:tc>
          <w:tcPr>
            <w:tcW w:w="935" w:type="dxa"/>
            <w:tcBorders>
              <w:top w:val="single" w:sz="4" w:space="0" w:color="auto"/>
              <w:left w:val="nil"/>
              <w:bottom w:val="single" w:sz="4" w:space="0" w:color="auto"/>
              <w:right w:val="single" w:sz="4" w:space="0" w:color="auto"/>
            </w:tcBorders>
            <w:shd w:val="clear" w:color="auto" w:fill="auto"/>
            <w:hideMark/>
          </w:tcPr>
          <w:p w14:paraId="5E46D7C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5ED1E66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Social Perception</w:t>
            </w:r>
          </w:p>
        </w:tc>
        <w:tc>
          <w:tcPr>
            <w:tcW w:w="0" w:type="auto"/>
            <w:tcBorders>
              <w:top w:val="single" w:sz="4" w:space="0" w:color="auto"/>
              <w:left w:val="nil"/>
              <w:bottom w:val="single" w:sz="4" w:space="0" w:color="auto"/>
              <w:right w:val="single" w:sz="4" w:space="0" w:color="auto"/>
            </w:tcBorders>
            <w:shd w:val="clear" w:color="auto" w:fill="auto"/>
            <w:hideMark/>
          </w:tcPr>
          <w:p w14:paraId="358110A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SCRT</w:t>
            </w:r>
          </w:p>
        </w:tc>
        <w:tc>
          <w:tcPr>
            <w:tcW w:w="0" w:type="auto"/>
            <w:tcBorders>
              <w:top w:val="single" w:sz="4" w:space="0" w:color="auto"/>
              <w:left w:val="nil"/>
              <w:bottom w:val="single" w:sz="4" w:space="0" w:color="auto"/>
              <w:right w:val="single" w:sz="4" w:space="0" w:color="auto"/>
            </w:tcBorders>
            <w:shd w:val="clear" w:color="auto" w:fill="auto"/>
            <w:hideMark/>
          </w:tcPr>
          <w:p w14:paraId="3368AD9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and 6 months</w:t>
            </w:r>
          </w:p>
        </w:tc>
        <w:tc>
          <w:tcPr>
            <w:tcW w:w="0" w:type="auto"/>
            <w:tcBorders>
              <w:top w:val="single" w:sz="4" w:space="0" w:color="auto"/>
              <w:left w:val="nil"/>
              <w:bottom w:val="single" w:sz="4" w:space="0" w:color="auto"/>
              <w:right w:val="single" w:sz="4" w:space="0" w:color="auto"/>
            </w:tcBorders>
            <w:shd w:val="clear" w:color="auto" w:fill="auto"/>
            <w:hideMark/>
          </w:tcPr>
          <w:p w14:paraId="51D821F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Olanzapine and Quetiapine significantly improve performance on 3/4 social cue recognition tasks at follow-up compared to baseline</w:t>
            </w:r>
          </w:p>
        </w:tc>
        <w:tc>
          <w:tcPr>
            <w:tcW w:w="0" w:type="auto"/>
            <w:tcBorders>
              <w:top w:val="single" w:sz="4" w:space="0" w:color="auto"/>
              <w:left w:val="nil"/>
              <w:bottom w:val="single" w:sz="4" w:space="0" w:color="auto"/>
              <w:right w:val="nil"/>
            </w:tcBorders>
            <w:shd w:val="clear" w:color="auto" w:fill="auto"/>
            <w:hideMark/>
          </w:tcPr>
          <w:p w14:paraId="6B9AFB3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Patients were not antipsychotic-naïve (medication was titrated over 2 weeks following randomisation)</w:t>
            </w:r>
            <w:r w:rsidRPr="00825FF0">
              <w:rPr>
                <w:rFonts w:asciiTheme="majorHAnsi" w:eastAsia="Times New Roman" w:hAnsiTheme="majorHAnsi" w:cs="Calibri"/>
                <w:color w:val="000000"/>
                <w:sz w:val="16"/>
                <w:szCs w:val="16"/>
                <w:lang w:eastAsia="en-GB"/>
              </w:rPr>
              <w:br/>
              <w:t>• Pharmaceutical funding</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3A4063B"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20</w:t>
            </w:r>
          </w:p>
        </w:tc>
      </w:tr>
      <w:tr w:rsidR="00EB5138" w:rsidRPr="00825FF0" w14:paraId="26004BAD" w14:textId="77777777" w:rsidTr="00825FF0">
        <w:trPr>
          <w:trHeight w:val="1560"/>
        </w:trPr>
        <w:tc>
          <w:tcPr>
            <w:tcW w:w="0" w:type="auto"/>
            <w:tcBorders>
              <w:top w:val="nil"/>
              <w:left w:val="single" w:sz="4" w:space="0" w:color="auto"/>
              <w:bottom w:val="single" w:sz="4" w:space="0" w:color="auto"/>
              <w:right w:val="single" w:sz="4" w:space="0" w:color="auto"/>
            </w:tcBorders>
            <w:shd w:val="clear" w:color="auto" w:fill="auto"/>
            <w:hideMark/>
          </w:tcPr>
          <w:p w14:paraId="5F52D9E9"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Maat et al (2013)</w:t>
            </w:r>
          </w:p>
          <w:p w14:paraId="7E2600F2" w14:textId="77777777" w:rsidR="00C4280B" w:rsidRDefault="00C4280B" w:rsidP="00825FF0">
            <w:pPr>
              <w:rPr>
                <w:rFonts w:asciiTheme="majorHAnsi" w:eastAsia="Times New Roman" w:hAnsiTheme="majorHAnsi" w:cs="Calibri"/>
                <w:color w:val="000000"/>
                <w:sz w:val="16"/>
                <w:szCs w:val="16"/>
                <w:lang w:eastAsia="en-GB"/>
              </w:rPr>
            </w:pPr>
          </w:p>
          <w:p w14:paraId="49B183E0" w14:textId="7AD1B431"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w:t>
            </w:r>
            <w:r>
              <w:rPr>
                <w:rFonts w:asciiTheme="majorHAnsi" w:eastAsia="Times New Roman" w:hAnsiTheme="majorHAnsi" w:cs="Calibri"/>
                <w:color w:val="000000"/>
                <w:sz w:val="16"/>
                <w:szCs w:val="16"/>
                <w:lang w:eastAsia="en-GB"/>
              </w:rPr>
              <w:t>5]</w:t>
            </w:r>
          </w:p>
        </w:tc>
        <w:tc>
          <w:tcPr>
            <w:tcW w:w="0" w:type="auto"/>
            <w:tcBorders>
              <w:top w:val="nil"/>
              <w:left w:val="nil"/>
              <w:bottom w:val="single" w:sz="4" w:space="0" w:color="auto"/>
              <w:right w:val="single" w:sz="4" w:space="0" w:color="auto"/>
            </w:tcBorders>
            <w:shd w:val="clear" w:color="auto" w:fill="auto"/>
            <w:hideMark/>
          </w:tcPr>
          <w:p w14:paraId="3A1D08C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8 </w:t>
            </w:r>
            <w:proofErr w:type="gramStart"/>
            <w:r w:rsidRPr="00825FF0">
              <w:rPr>
                <w:rFonts w:asciiTheme="majorHAnsi" w:eastAsia="Times New Roman" w:hAnsiTheme="majorHAnsi" w:cs="Calibri"/>
                <w:color w:val="000000"/>
                <w:sz w:val="16"/>
                <w:szCs w:val="16"/>
                <w:lang w:eastAsia="en-GB"/>
              </w:rPr>
              <w:t>week</w:t>
            </w:r>
            <w:proofErr w:type="gramEnd"/>
            <w:r w:rsidRPr="00825FF0">
              <w:rPr>
                <w:rFonts w:asciiTheme="majorHAnsi" w:eastAsia="Times New Roman" w:hAnsiTheme="majorHAnsi" w:cs="Calibri"/>
                <w:color w:val="000000"/>
                <w:sz w:val="16"/>
                <w:szCs w:val="16"/>
                <w:lang w:eastAsia="en-GB"/>
              </w:rPr>
              <w:t>, randomised, multicentre, open-label study</w:t>
            </w:r>
          </w:p>
        </w:tc>
        <w:tc>
          <w:tcPr>
            <w:tcW w:w="0" w:type="auto"/>
            <w:tcBorders>
              <w:top w:val="nil"/>
              <w:left w:val="nil"/>
              <w:bottom w:val="single" w:sz="4" w:space="0" w:color="auto"/>
              <w:right w:val="single" w:sz="4" w:space="0" w:color="auto"/>
            </w:tcBorders>
            <w:shd w:val="clear" w:color="auto" w:fill="auto"/>
            <w:hideMark/>
          </w:tcPr>
          <w:p w14:paraId="06E7BE4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48 schizophrenia patients</w:t>
            </w:r>
          </w:p>
        </w:tc>
        <w:tc>
          <w:tcPr>
            <w:tcW w:w="1320" w:type="dxa"/>
            <w:tcBorders>
              <w:top w:val="nil"/>
              <w:left w:val="nil"/>
              <w:bottom w:val="single" w:sz="4" w:space="0" w:color="auto"/>
              <w:right w:val="single" w:sz="4" w:space="0" w:color="auto"/>
            </w:tcBorders>
            <w:shd w:val="clear" w:color="auto" w:fill="auto"/>
            <w:hideMark/>
          </w:tcPr>
          <w:p w14:paraId="037B4B71" w14:textId="1DBB3CED"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Aripiprazole</w:t>
            </w:r>
            <w:r w:rsidRPr="00825FF0">
              <w:rPr>
                <w:rFonts w:asciiTheme="majorHAnsi" w:eastAsia="Times New Roman" w:hAnsiTheme="majorHAnsi" w:cs="Calibri"/>
                <w:color w:val="000000"/>
                <w:sz w:val="16"/>
                <w:szCs w:val="16"/>
                <w:lang w:eastAsia="en-GB"/>
              </w:rPr>
              <w:br/>
              <w:t>Risperidone</w:t>
            </w:r>
          </w:p>
        </w:tc>
        <w:tc>
          <w:tcPr>
            <w:tcW w:w="1363" w:type="dxa"/>
            <w:tcBorders>
              <w:top w:val="nil"/>
              <w:left w:val="nil"/>
              <w:bottom w:val="single" w:sz="4" w:space="0" w:color="auto"/>
              <w:right w:val="single" w:sz="4" w:space="0" w:color="auto"/>
            </w:tcBorders>
            <w:shd w:val="clear" w:color="auto" w:fill="auto"/>
            <w:hideMark/>
          </w:tcPr>
          <w:p w14:paraId="2C09D08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maximum 30mg</w:t>
            </w:r>
            <w:r w:rsidRPr="00825FF0">
              <w:rPr>
                <w:rFonts w:asciiTheme="majorHAnsi" w:eastAsia="Times New Roman" w:hAnsiTheme="majorHAnsi" w:cs="Calibri"/>
                <w:color w:val="000000"/>
                <w:sz w:val="16"/>
                <w:szCs w:val="16"/>
                <w:lang w:eastAsia="en-GB"/>
              </w:rPr>
              <w:br/>
              <w:t>maximum 6mg</w:t>
            </w:r>
          </w:p>
        </w:tc>
        <w:tc>
          <w:tcPr>
            <w:tcW w:w="0" w:type="auto"/>
            <w:tcBorders>
              <w:top w:val="nil"/>
              <w:left w:val="nil"/>
              <w:bottom w:val="single" w:sz="4" w:space="0" w:color="auto"/>
              <w:right w:val="single" w:sz="4" w:space="0" w:color="auto"/>
            </w:tcBorders>
            <w:shd w:val="clear" w:color="auto" w:fill="auto"/>
            <w:hideMark/>
          </w:tcPr>
          <w:p w14:paraId="0F914713" w14:textId="5DB82FBF"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Overlap in the administration of the antipsychotic agents that patients received before study entry was permitted for the first </w:t>
            </w:r>
            <w:r w:rsidR="004F0A11">
              <w:rPr>
                <w:rFonts w:asciiTheme="majorHAnsi" w:eastAsia="Times New Roman" w:hAnsiTheme="majorHAnsi" w:cs="Calibri"/>
                <w:color w:val="000000"/>
                <w:sz w:val="16"/>
                <w:szCs w:val="16"/>
                <w:lang w:eastAsia="en-GB"/>
              </w:rPr>
              <w:t>2</w:t>
            </w:r>
            <w:r w:rsidRPr="00825FF0">
              <w:rPr>
                <w:rFonts w:asciiTheme="majorHAnsi" w:eastAsia="Times New Roman" w:hAnsiTheme="majorHAnsi" w:cs="Calibri"/>
                <w:color w:val="000000"/>
                <w:sz w:val="16"/>
                <w:szCs w:val="16"/>
                <w:lang w:eastAsia="en-GB"/>
              </w:rPr>
              <w:t xml:space="preserve"> weeks after randomisation to allow </w:t>
            </w:r>
            <w:r w:rsidR="004F0A11">
              <w:rPr>
                <w:rFonts w:asciiTheme="majorHAnsi" w:eastAsia="Times New Roman" w:hAnsiTheme="majorHAnsi" w:cs="Calibri"/>
                <w:color w:val="000000"/>
                <w:sz w:val="16"/>
                <w:szCs w:val="16"/>
                <w:lang w:eastAsia="en-GB"/>
              </w:rPr>
              <w:t xml:space="preserve">for </w:t>
            </w:r>
            <w:r w:rsidRPr="00825FF0">
              <w:rPr>
                <w:rFonts w:asciiTheme="majorHAnsi" w:eastAsia="Times New Roman" w:hAnsiTheme="majorHAnsi" w:cs="Calibri"/>
                <w:color w:val="000000"/>
                <w:sz w:val="16"/>
                <w:szCs w:val="16"/>
                <w:lang w:eastAsia="en-GB"/>
              </w:rPr>
              <w:t>gradual transition. Concomitant medication other than antipsychotics was permitted throughout the trial; the dosage was restricted to a maximum of 30mg diazepam or equivalent, 120mg propranolol, and 12mg biperiden or equivalent.</w:t>
            </w:r>
          </w:p>
        </w:tc>
        <w:tc>
          <w:tcPr>
            <w:tcW w:w="935" w:type="dxa"/>
            <w:tcBorders>
              <w:top w:val="nil"/>
              <w:left w:val="nil"/>
              <w:bottom w:val="single" w:sz="4" w:space="0" w:color="auto"/>
              <w:right w:val="single" w:sz="4" w:space="0" w:color="auto"/>
            </w:tcBorders>
            <w:shd w:val="clear" w:color="auto" w:fill="auto"/>
            <w:hideMark/>
          </w:tcPr>
          <w:p w14:paraId="536065B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3429FD3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49E3C62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nil"/>
              <w:left w:val="nil"/>
              <w:bottom w:val="single" w:sz="4" w:space="0" w:color="auto"/>
              <w:right w:val="single" w:sz="4" w:space="0" w:color="auto"/>
            </w:tcBorders>
            <w:shd w:val="clear" w:color="auto" w:fill="auto"/>
            <w:hideMark/>
          </w:tcPr>
          <w:p w14:paraId="42358F3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8 weeks</w:t>
            </w:r>
          </w:p>
        </w:tc>
        <w:tc>
          <w:tcPr>
            <w:tcW w:w="0" w:type="auto"/>
            <w:tcBorders>
              <w:top w:val="nil"/>
              <w:left w:val="nil"/>
              <w:bottom w:val="single" w:sz="4" w:space="0" w:color="auto"/>
              <w:right w:val="single" w:sz="4" w:space="0" w:color="auto"/>
            </w:tcBorders>
            <w:shd w:val="clear" w:color="auto" w:fill="auto"/>
            <w:hideMark/>
          </w:tcPr>
          <w:p w14:paraId="1BC45B5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effect of medication-group on endpoint performance on social cognition at follow-up compared to baseline</w:t>
            </w:r>
          </w:p>
        </w:tc>
        <w:tc>
          <w:tcPr>
            <w:tcW w:w="0" w:type="auto"/>
            <w:tcBorders>
              <w:top w:val="nil"/>
              <w:left w:val="nil"/>
              <w:bottom w:val="single" w:sz="4" w:space="0" w:color="auto"/>
              <w:right w:val="nil"/>
            </w:tcBorders>
            <w:shd w:val="clear" w:color="auto" w:fill="auto"/>
            <w:hideMark/>
          </w:tcPr>
          <w:p w14:paraId="56F200EF" w14:textId="5C4F72A9"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High drop-out rate (few follow-ups)</w:t>
            </w:r>
            <w:r w:rsidRPr="00825FF0">
              <w:rPr>
                <w:rFonts w:asciiTheme="majorHAnsi" w:eastAsia="Times New Roman" w:hAnsiTheme="majorHAnsi" w:cs="Calibri"/>
                <w:color w:val="000000"/>
                <w:sz w:val="16"/>
                <w:szCs w:val="16"/>
                <w:lang w:eastAsia="en-GB"/>
              </w:rPr>
              <w:br/>
              <w:t>• Short follow-up time period - practice effects</w:t>
            </w:r>
            <w:r w:rsidRPr="00825FF0">
              <w:rPr>
                <w:rFonts w:asciiTheme="majorHAnsi" w:eastAsia="Times New Roman" w:hAnsiTheme="majorHAnsi" w:cs="Calibri"/>
                <w:color w:val="000000"/>
                <w:sz w:val="16"/>
                <w:szCs w:val="16"/>
                <w:lang w:eastAsia="en-GB"/>
              </w:rPr>
              <w:br/>
              <w:t>• Funded by pharma company</w:t>
            </w:r>
            <w:r w:rsidRPr="00825FF0">
              <w:rPr>
                <w:rFonts w:asciiTheme="majorHAnsi" w:eastAsia="Times New Roman" w:hAnsiTheme="majorHAnsi" w:cs="Calibri"/>
                <w:color w:val="000000"/>
                <w:sz w:val="16"/>
                <w:szCs w:val="16"/>
                <w:lang w:eastAsia="en-GB"/>
              </w:rPr>
              <w:br/>
              <w:t xml:space="preserve">• Patients were not antipsychotic-naïve </w:t>
            </w:r>
          </w:p>
        </w:tc>
        <w:tc>
          <w:tcPr>
            <w:tcW w:w="0" w:type="auto"/>
            <w:tcBorders>
              <w:top w:val="nil"/>
              <w:left w:val="single" w:sz="4" w:space="0" w:color="auto"/>
              <w:bottom w:val="single" w:sz="4" w:space="0" w:color="auto"/>
              <w:right w:val="single" w:sz="4" w:space="0" w:color="auto"/>
            </w:tcBorders>
            <w:shd w:val="clear" w:color="auto" w:fill="auto"/>
            <w:hideMark/>
          </w:tcPr>
          <w:p w14:paraId="1D1ABE39"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17</w:t>
            </w:r>
          </w:p>
        </w:tc>
      </w:tr>
      <w:tr w:rsidR="00EB5138" w:rsidRPr="00825FF0" w14:paraId="1BABFE1B" w14:textId="77777777" w:rsidTr="00825FF0">
        <w:trPr>
          <w:trHeight w:val="780"/>
        </w:trPr>
        <w:tc>
          <w:tcPr>
            <w:tcW w:w="0" w:type="auto"/>
            <w:tcBorders>
              <w:top w:val="nil"/>
              <w:left w:val="single" w:sz="4" w:space="0" w:color="auto"/>
              <w:bottom w:val="single" w:sz="4" w:space="0" w:color="auto"/>
              <w:right w:val="single" w:sz="4" w:space="0" w:color="auto"/>
            </w:tcBorders>
            <w:shd w:val="clear" w:color="auto" w:fill="auto"/>
            <w:hideMark/>
          </w:tcPr>
          <w:p w14:paraId="04D4AED8"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Shi et al (2016)</w:t>
            </w:r>
          </w:p>
          <w:p w14:paraId="4EA26867" w14:textId="77777777" w:rsidR="00C4280B" w:rsidRDefault="00C4280B" w:rsidP="00825FF0">
            <w:pPr>
              <w:rPr>
                <w:rFonts w:asciiTheme="majorHAnsi" w:eastAsia="Times New Roman" w:hAnsiTheme="majorHAnsi" w:cs="Calibri"/>
                <w:color w:val="000000"/>
                <w:sz w:val="16"/>
                <w:szCs w:val="16"/>
                <w:lang w:eastAsia="en-GB"/>
              </w:rPr>
            </w:pPr>
          </w:p>
          <w:p w14:paraId="746403D0" w14:textId="1421BB94"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63</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3BF325D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Single-arm, open-label study</w:t>
            </w:r>
          </w:p>
        </w:tc>
        <w:tc>
          <w:tcPr>
            <w:tcW w:w="0" w:type="auto"/>
            <w:tcBorders>
              <w:top w:val="nil"/>
              <w:left w:val="nil"/>
              <w:bottom w:val="single" w:sz="4" w:space="0" w:color="auto"/>
              <w:right w:val="single" w:sz="4" w:space="0" w:color="auto"/>
            </w:tcBorders>
            <w:shd w:val="clear" w:color="auto" w:fill="auto"/>
            <w:hideMark/>
          </w:tcPr>
          <w:p w14:paraId="79FF9CD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95 Schizophrenia patients</w:t>
            </w:r>
          </w:p>
        </w:tc>
        <w:tc>
          <w:tcPr>
            <w:tcW w:w="1320" w:type="dxa"/>
            <w:tcBorders>
              <w:top w:val="nil"/>
              <w:left w:val="nil"/>
              <w:bottom w:val="single" w:sz="4" w:space="0" w:color="auto"/>
              <w:right w:val="single" w:sz="4" w:space="0" w:color="auto"/>
            </w:tcBorders>
            <w:shd w:val="clear" w:color="auto" w:fill="auto"/>
            <w:hideMark/>
          </w:tcPr>
          <w:p w14:paraId="5E31E2D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Paliperidone</w:t>
            </w:r>
          </w:p>
        </w:tc>
        <w:tc>
          <w:tcPr>
            <w:tcW w:w="1363" w:type="dxa"/>
            <w:tcBorders>
              <w:top w:val="nil"/>
              <w:left w:val="nil"/>
              <w:bottom w:val="single" w:sz="4" w:space="0" w:color="auto"/>
              <w:right w:val="single" w:sz="4" w:space="0" w:color="auto"/>
            </w:tcBorders>
            <w:shd w:val="clear" w:color="auto" w:fill="auto"/>
            <w:hideMark/>
          </w:tcPr>
          <w:p w14:paraId="3AD8250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3-12mg/daily</w:t>
            </w:r>
          </w:p>
        </w:tc>
        <w:tc>
          <w:tcPr>
            <w:tcW w:w="0" w:type="auto"/>
            <w:tcBorders>
              <w:top w:val="nil"/>
              <w:left w:val="nil"/>
              <w:bottom w:val="single" w:sz="4" w:space="0" w:color="auto"/>
              <w:right w:val="single" w:sz="4" w:space="0" w:color="auto"/>
            </w:tcBorders>
            <w:shd w:val="clear" w:color="auto" w:fill="auto"/>
            <w:hideMark/>
          </w:tcPr>
          <w:p w14:paraId="1112407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Single antipsychotic usage for at least 4 weeks before study.</w:t>
            </w:r>
          </w:p>
        </w:tc>
        <w:tc>
          <w:tcPr>
            <w:tcW w:w="935" w:type="dxa"/>
            <w:tcBorders>
              <w:top w:val="nil"/>
              <w:left w:val="nil"/>
              <w:bottom w:val="single" w:sz="4" w:space="0" w:color="auto"/>
              <w:right w:val="single" w:sz="4" w:space="0" w:color="auto"/>
            </w:tcBorders>
            <w:shd w:val="clear" w:color="auto" w:fill="auto"/>
            <w:hideMark/>
          </w:tcPr>
          <w:p w14:paraId="0440A9F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3FC454A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Emotional Intelligence</w:t>
            </w:r>
          </w:p>
        </w:tc>
        <w:tc>
          <w:tcPr>
            <w:tcW w:w="0" w:type="auto"/>
            <w:tcBorders>
              <w:top w:val="nil"/>
              <w:left w:val="nil"/>
              <w:bottom w:val="single" w:sz="4" w:space="0" w:color="auto"/>
              <w:right w:val="single" w:sz="4" w:space="0" w:color="auto"/>
            </w:tcBorders>
            <w:shd w:val="clear" w:color="auto" w:fill="auto"/>
            <w:hideMark/>
          </w:tcPr>
          <w:p w14:paraId="69F1275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MCCB</w:t>
            </w:r>
          </w:p>
        </w:tc>
        <w:tc>
          <w:tcPr>
            <w:tcW w:w="0" w:type="auto"/>
            <w:tcBorders>
              <w:top w:val="nil"/>
              <w:left w:val="nil"/>
              <w:bottom w:val="single" w:sz="4" w:space="0" w:color="auto"/>
              <w:right w:val="single" w:sz="4" w:space="0" w:color="auto"/>
            </w:tcBorders>
            <w:shd w:val="clear" w:color="auto" w:fill="auto"/>
            <w:hideMark/>
          </w:tcPr>
          <w:p w14:paraId="637E50A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6 months</w:t>
            </w:r>
          </w:p>
        </w:tc>
        <w:tc>
          <w:tcPr>
            <w:tcW w:w="0" w:type="auto"/>
            <w:tcBorders>
              <w:top w:val="nil"/>
              <w:left w:val="nil"/>
              <w:bottom w:val="single" w:sz="4" w:space="0" w:color="auto"/>
              <w:right w:val="single" w:sz="4" w:space="0" w:color="auto"/>
            </w:tcBorders>
            <w:shd w:val="clear" w:color="auto" w:fill="auto"/>
            <w:hideMark/>
          </w:tcPr>
          <w:p w14:paraId="7FE8E4A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Treatment associated with improvements in 5/6 cognitive domains, but not social cognition</w:t>
            </w:r>
          </w:p>
        </w:tc>
        <w:tc>
          <w:tcPr>
            <w:tcW w:w="0" w:type="auto"/>
            <w:tcBorders>
              <w:top w:val="nil"/>
              <w:left w:val="nil"/>
              <w:bottom w:val="single" w:sz="4" w:space="0" w:color="auto"/>
              <w:right w:val="nil"/>
            </w:tcBorders>
            <w:shd w:val="clear" w:color="auto" w:fill="auto"/>
            <w:hideMark/>
          </w:tcPr>
          <w:p w14:paraId="24995155" w14:textId="3A6AC985"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Funding from pharma company</w:t>
            </w:r>
            <w:r w:rsidRPr="00825FF0">
              <w:rPr>
                <w:rFonts w:asciiTheme="majorHAnsi" w:eastAsia="Times New Roman" w:hAnsiTheme="majorHAnsi" w:cs="Calibri"/>
                <w:color w:val="000000"/>
                <w:sz w:val="16"/>
                <w:szCs w:val="16"/>
                <w:lang w:eastAsia="en-GB"/>
              </w:rPr>
              <w:br/>
              <w:t>• Open-label, single-arm design (</w:t>
            </w:r>
            <w:r w:rsidR="004F0A11" w:rsidRPr="00825FF0">
              <w:rPr>
                <w:rFonts w:asciiTheme="majorHAnsi" w:eastAsia="Times New Roman" w:hAnsiTheme="majorHAnsi" w:cs="Calibri"/>
                <w:color w:val="000000"/>
                <w:sz w:val="16"/>
                <w:szCs w:val="16"/>
                <w:lang w:eastAsia="en-GB"/>
              </w:rPr>
              <w:t xml:space="preserve">efficacy </w:t>
            </w:r>
            <w:r w:rsidRPr="00825FF0">
              <w:rPr>
                <w:rFonts w:asciiTheme="majorHAnsi" w:eastAsia="Times New Roman" w:hAnsiTheme="majorHAnsi" w:cs="Calibri"/>
                <w:color w:val="000000"/>
                <w:sz w:val="16"/>
                <w:szCs w:val="16"/>
                <w:lang w:eastAsia="en-GB"/>
              </w:rPr>
              <w:t>bias)</w:t>
            </w:r>
          </w:p>
        </w:tc>
        <w:tc>
          <w:tcPr>
            <w:tcW w:w="0" w:type="auto"/>
            <w:tcBorders>
              <w:top w:val="nil"/>
              <w:left w:val="single" w:sz="4" w:space="0" w:color="auto"/>
              <w:bottom w:val="single" w:sz="4" w:space="0" w:color="auto"/>
              <w:right w:val="single" w:sz="4" w:space="0" w:color="auto"/>
            </w:tcBorders>
            <w:shd w:val="clear" w:color="auto" w:fill="auto"/>
            <w:hideMark/>
          </w:tcPr>
          <w:p w14:paraId="28D20239"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19</w:t>
            </w:r>
          </w:p>
        </w:tc>
      </w:tr>
      <w:tr w:rsidR="00EB5138" w:rsidRPr="00825FF0" w14:paraId="35DAC72B" w14:textId="77777777" w:rsidTr="004F0A11">
        <w:trPr>
          <w:trHeight w:val="280"/>
        </w:trPr>
        <w:tc>
          <w:tcPr>
            <w:tcW w:w="0" w:type="auto"/>
            <w:tcBorders>
              <w:top w:val="nil"/>
              <w:left w:val="single" w:sz="4" w:space="0" w:color="auto"/>
              <w:bottom w:val="single" w:sz="4" w:space="0" w:color="auto"/>
              <w:right w:val="single" w:sz="4" w:space="0" w:color="auto"/>
            </w:tcBorders>
            <w:shd w:val="clear" w:color="auto" w:fill="auto"/>
            <w:hideMark/>
          </w:tcPr>
          <w:p w14:paraId="28577B3D"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Koshikawa et al (2016)</w:t>
            </w:r>
          </w:p>
          <w:p w14:paraId="3D53A9A3" w14:textId="77777777" w:rsidR="00C4280B" w:rsidRDefault="00C4280B" w:rsidP="00825FF0">
            <w:pPr>
              <w:rPr>
                <w:rFonts w:asciiTheme="majorHAnsi" w:eastAsia="Times New Roman" w:hAnsiTheme="majorHAnsi" w:cs="Calibri"/>
                <w:color w:val="000000"/>
                <w:sz w:val="16"/>
                <w:szCs w:val="16"/>
                <w:lang w:eastAsia="en-GB"/>
              </w:rPr>
            </w:pPr>
          </w:p>
          <w:p w14:paraId="30400A88" w14:textId="17E8177F"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76</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23E0CA24" w14:textId="77777777" w:rsidR="00825FF0" w:rsidRPr="00825FF0" w:rsidRDefault="00825FF0" w:rsidP="00825FF0">
            <w:pPr>
              <w:rPr>
                <w:rFonts w:asciiTheme="majorHAnsi" w:eastAsia="Times New Roman" w:hAnsiTheme="majorHAnsi" w:cs="Calibri"/>
                <w:color w:val="000000"/>
                <w:sz w:val="16"/>
                <w:szCs w:val="16"/>
                <w:lang w:eastAsia="en-GB"/>
              </w:rPr>
            </w:pPr>
            <w:proofErr w:type="gramStart"/>
            <w:r w:rsidRPr="00825FF0">
              <w:rPr>
                <w:rFonts w:asciiTheme="majorHAnsi" w:eastAsia="Times New Roman" w:hAnsiTheme="majorHAnsi" w:cs="Calibri"/>
                <w:color w:val="000000"/>
                <w:sz w:val="16"/>
                <w:szCs w:val="16"/>
                <w:lang w:eastAsia="en-GB"/>
              </w:rPr>
              <w:t>6 month</w:t>
            </w:r>
            <w:proofErr w:type="gramEnd"/>
            <w:r w:rsidRPr="00825FF0">
              <w:rPr>
                <w:rFonts w:asciiTheme="majorHAnsi" w:eastAsia="Times New Roman" w:hAnsiTheme="majorHAnsi" w:cs="Calibri"/>
                <w:color w:val="000000"/>
                <w:sz w:val="16"/>
                <w:szCs w:val="16"/>
                <w:lang w:eastAsia="en-GB"/>
              </w:rPr>
              <w:t xml:space="preserve"> pilot, open-label, randomised controlled study</w:t>
            </w:r>
          </w:p>
        </w:tc>
        <w:tc>
          <w:tcPr>
            <w:tcW w:w="0" w:type="auto"/>
            <w:tcBorders>
              <w:top w:val="nil"/>
              <w:left w:val="nil"/>
              <w:bottom w:val="single" w:sz="4" w:space="0" w:color="auto"/>
              <w:right w:val="single" w:sz="4" w:space="0" w:color="auto"/>
            </w:tcBorders>
            <w:shd w:val="clear" w:color="auto" w:fill="auto"/>
            <w:hideMark/>
          </w:tcPr>
          <w:p w14:paraId="01B78C8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21 Schizophrenia-spectrum patients</w:t>
            </w:r>
          </w:p>
        </w:tc>
        <w:tc>
          <w:tcPr>
            <w:tcW w:w="1320" w:type="dxa"/>
            <w:tcBorders>
              <w:top w:val="nil"/>
              <w:left w:val="nil"/>
              <w:bottom w:val="single" w:sz="4" w:space="0" w:color="auto"/>
              <w:right w:val="single" w:sz="4" w:space="0" w:color="auto"/>
            </w:tcBorders>
            <w:shd w:val="clear" w:color="auto" w:fill="auto"/>
            <w:hideMark/>
          </w:tcPr>
          <w:p w14:paraId="79974C3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Paliperidone Palmitate</w:t>
            </w:r>
            <w:r w:rsidRPr="00825FF0">
              <w:rPr>
                <w:rFonts w:asciiTheme="majorHAnsi" w:eastAsia="Times New Roman" w:hAnsiTheme="majorHAnsi" w:cs="Calibri"/>
                <w:color w:val="000000"/>
                <w:sz w:val="16"/>
                <w:szCs w:val="16"/>
                <w:lang w:eastAsia="en-GB"/>
              </w:rPr>
              <w:br/>
              <w:t>Risperidone (LAI)</w:t>
            </w:r>
          </w:p>
        </w:tc>
        <w:tc>
          <w:tcPr>
            <w:tcW w:w="1363" w:type="dxa"/>
            <w:tcBorders>
              <w:top w:val="nil"/>
              <w:left w:val="nil"/>
              <w:bottom w:val="single" w:sz="4" w:space="0" w:color="auto"/>
              <w:right w:val="single" w:sz="4" w:space="0" w:color="auto"/>
            </w:tcBorders>
            <w:shd w:val="clear" w:color="auto" w:fill="auto"/>
            <w:hideMark/>
          </w:tcPr>
          <w:p w14:paraId="3C53E221" w14:textId="14CCDB40"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PP- doses of the drug were adjusted according to clinical status, upper limit of 50 mg </w:t>
            </w:r>
            <w:r>
              <w:rPr>
                <w:rFonts w:asciiTheme="majorHAnsi" w:eastAsia="Times New Roman" w:hAnsiTheme="majorHAnsi" w:cs="Calibri"/>
                <w:color w:val="000000"/>
                <w:sz w:val="16"/>
                <w:szCs w:val="16"/>
                <w:lang w:eastAsia="en-GB"/>
              </w:rPr>
              <w:t>/</w:t>
            </w:r>
            <w:r w:rsidRPr="00825FF0">
              <w:rPr>
                <w:rFonts w:asciiTheme="majorHAnsi" w:eastAsia="Times New Roman" w:hAnsiTheme="majorHAnsi" w:cs="Calibri"/>
                <w:color w:val="000000"/>
                <w:sz w:val="16"/>
                <w:szCs w:val="16"/>
                <w:lang w:eastAsia="en-GB"/>
              </w:rPr>
              <w:t>2 week</w:t>
            </w:r>
            <w:r>
              <w:rPr>
                <w:rFonts w:asciiTheme="majorHAnsi" w:eastAsia="Times New Roman" w:hAnsiTheme="majorHAnsi" w:cs="Calibri"/>
                <w:color w:val="000000"/>
                <w:sz w:val="16"/>
                <w:szCs w:val="16"/>
                <w:lang w:eastAsia="en-GB"/>
              </w:rPr>
              <w:t>ly.</w:t>
            </w:r>
            <w:r w:rsidRPr="00825FF0">
              <w:rPr>
                <w:rFonts w:asciiTheme="majorHAnsi" w:eastAsia="Times New Roman" w:hAnsiTheme="majorHAnsi" w:cs="Calibri"/>
                <w:color w:val="000000"/>
                <w:sz w:val="16"/>
                <w:szCs w:val="16"/>
                <w:lang w:eastAsia="en-GB"/>
              </w:rPr>
              <w:br/>
              <w:t>R(LAI)-The dose was determined depending on patient’s clinical status, with an upper limit of 150</w:t>
            </w:r>
            <w:r>
              <w:rPr>
                <w:rFonts w:asciiTheme="majorHAnsi" w:eastAsia="Times New Roman" w:hAnsiTheme="majorHAnsi" w:cs="Calibri"/>
                <w:color w:val="000000"/>
                <w:sz w:val="16"/>
                <w:szCs w:val="16"/>
                <w:lang w:eastAsia="en-GB"/>
              </w:rPr>
              <w:t>mg/monthly</w:t>
            </w:r>
          </w:p>
        </w:tc>
        <w:tc>
          <w:tcPr>
            <w:tcW w:w="0" w:type="auto"/>
            <w:tcBorders>
              <w:top w:val="nil"/>
              <w:left w:val="nil"/>
              <w:bottom w:val="single" w:sz="4" w:space="0" w:color="auto"/>
              <w:right w:val="single" w:sz="4" w:space="0" w:color="auto"/>
            </w:tcBorders>
            <w:shd w:val="clear" w:color="auto" w:fill="auto"/>
            <w:hideMark/>
          </w:tcPr>
          <w:p w14:paraId="7916D80A" w14:textId="285F2B35"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Inclusion: </w:t>
            </w:r>
            <w:r w:rsidRPr="00825FF0">
              <w:rPr>
                <w:rFonts w:asciiTheme="majorHAnsi" w:eastAsia="Times New Roman" w:hAnsiTheme="majorHAnsi" w:cs="Calibri"/>
                <w:color w:val="000000"/>
                <w:sz w:val="16"/>
                <w:szCs w:val="16"/>
                <w:lang w:eastAsia="en-GB"/>
              </w:rPr>
              <w:br/>
              <w:t>Having received risperidone long-acting injection for 2 months or longer.</w:t>
            </w:r>
            <w:r w:rsidRPr="00825FF0">
              <w:rPr>
                <w:rFonts w:asciiTheme="majorHAnsi" w:eastAsia="Times New Roman" w:hAnsiTheme="majorHAnsi" w:cs="Calibri"/>
                <w:color w:val="000000"/>
                <w:sz w:val="16"/>
                <w:szCs w:val="16"/>
                <w:lang w:eastAsia="en-GB"/>
              </w:rPr>
              <w:br/>
              <w:t xml:space="preserve">Exclusion: </w:t>
            </w:r>
            <w:r w:rsidRPr="00825FF0">
              <w:rPr>
                <w:rFonts w:asciiTheme="majorHAnsi" w:eastAsia="Times New Roman" w:hAnsiTheme="majorHAnsi" w:cs="Calibri"/>
                <w:color w:val="000000"/>
                <w:sz w:val="16"/>
                <w:szCs w:val="16"/>
                <w:lang w:eastAsia="en-GB"/>
              </w:rPr>
              <w:br/>
              <w:t>Current treatment with oral risperidone or oral palmitate risperidone.</w:t>
            </w:r>
            <w:r w:rsidRPr="00825FF0">
              <w:rPr>
                <w:rFonts w:asciiTheme="majorHAnsi" w:eastAsia="Times New Roman" w:hAnsiTheme="majorHAnsi" w:cs="Calibri"/>
                <w:color w:val="000000"/>
                <w:sz w:val="16"/>
                <w:szCs w:val="16"/>
                <w:lang w:eastAsia="en-GB"/>
              </w:rPr>
              <w:br/>
              <w:t>Current treatment with multiple oral antipsychotics.</w:t>
            </w:r>
          </w:p>
        </w:tc>
        <w:tc>
          <w:tcPr>
            <w:tcW w:w="935" w:type="dxa"/>
            <w:tcBorders>
              <w:top w:val="nil"/>
              <w:left w:val="nil"/>
              <w:bottom w:val="single" w:sz="4" w:space="0" w:color="auto"/>
              <w:right w:val="single" w:sz="4" w:space="0" w:color="auto"/>
            </w:tcBorders>
            <w:shd w:val="clear" w:color="auto" w:fill="auto"/>
            <w:hideMark/>
          </w:tcPr>
          <w:p w14:paraId="7C6ADF7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2B0C689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1615734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SECT</w:t>
            </w:r>
          </w:p>
        </w:tc>
        <w:tc>
          <w:tcPr>
            <w:tcW w:w="0" w:type="auto"/>
            <w:tcBorders>
              <w:top w:val="nil"/>
              <w:left w:val="nil"/>
              <w:bottom w:val="single" w:sz="4" w:space="0" w:color="auto"/>
              <w:right w:val="single" w:sz="4" w:space="0" w:color="auto"/>
            </w:tcBorders>
            <w:shd w:val="clear" w:color="auto" w:fill="auto"/>
            <w:hideMark/>
          </w:tcPr>
          <w:p w14:paraId="4FF3248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6 months</w:t>
            </w:r>
          </w:p>
        </w:tc>
        <w:tc>
          <w:tcPr>
            <w:tcW w:w="0" w:type="auto"/>
            <w:tcBorders>
              <w:top w:val="nil"/>
              <w:left w:val="nil"/>
              <w:bottom w:val="single" w:sz="4" w:space="0" w:color="auto"/>
              <w:right w:val="single" w:sz="4" w:space="0" w:color="auto"/>
            </w:tcBorders>
            <w:shd w:val="clear" w:color="auto" w:fill="auto"/>
            <w:hideMark/>
          </w:tcPr>
          <w:p w14:paraId="3DCD5DC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differences between the two groups in terms of the SECT accuracy at follow-up</w:t>
            </w:r>
          </w:p>
        </w:tc>
        <w:tc>
          <w:tcPr>
            <w:tcW w:w="0" w:type="auto"/>
            <w:tcBorders>
              <w:top w:val="nil"/>
              <w:left w:val="nil"/>
              <w:bottom w:val="single" w:sz="4" w:space="0" w:color="auto"/>
              <w:right w:val="nil"/>
            </w:tcBorders>
            <w:shd w:val="clear" w:color="auto" w:fill="auto"/>
            <w:hideMark/>
          </w:tcPr>
          <w:p w14:paraId="0A939C7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Small sample size</w:t>
            </w:r>
            <w:r w:rsidRPr="00825FF0">
              <w:rPr>
                <w:rFonts w:asciiTheme="majorHAnsi" w:eastAsia="Times New Roman" w:hAnsiTheme="majorHAnsi" w:cs="Calibri"/>
                <w:color w:val="000000"/>
                <w:sz w:val="16"/>
                <w:szCs w:val="16"/>
                <w:lang w:eastAsia="en-GB"/>
              </w:rPr>
              <w:br/>
              <w:t>• Patients were not antipsychotic-naïve (excluded if they were not currently being treated with antipsychotic medication)</w:t>
            </w:r>
          </w:p>
        </w:tc>
        <w:tc>
          <w:tcPr>
            <w:tcW w:w="0" w:type="auto"/>
            <w:tcBorders>
              <w:top w:val="nil"/>
              <w:left w:val="single" w:sz="4" w:space="0" w:color="auto"/>
              <w:bottom w:val="single" w:sz="4" w:space="0" w:color="auto"/>
              <w:right w:val="single" w:sz="4" w:space="0" w:color="auto"/>
            </w:tcBorders>
            <w:shd w:val="clear" w:color="auto" w:fill="auto"/>
            <w:hideMark/>
          </w:tcPr>
          <w:p w14:paraId="5BE68720"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21</w:t>
            </w:r>
          </w:p>
        </w:tc>
      </w:tr>
      <w:tr w:rsidR="00EB5138" w:rsidRPr="00825FF0" w14:paraId="4A9CC6E4" w14:textId="77777777" w:rsidTr="004F0A11">
        <w:trPr>
          <w:trHeight w:val="286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2FCB6CF"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Gultekin et al (2017)</w:t>
            </w:r>
          </w:p>
          <w:p w14:paraId="26A6E358" w14:textId="77777777" w:rsidR="00C4280B" w:rsidRDefault="00C4280B" w:rsidP="00825FF0">
            <w:pPr>
              <w:rPr>
                <w:rFonts w:asciiTheme="majorHAnsi" w:eastAsia="Times New Roman" w:hAnsiTheme="majorHAnsi" w:cs="Calibri"/>
                <w:color w:val="000000"/>
                <w:sz w:val="16"/>
                <w:szCs w:val="16"/>
                <w:lang w:eastAsia="en-GB"/>
              </w:rPr>
            </w:pPr>
          </w:p>
          <w:p w14:paraId="25178FB8" w14:textId="330458BE"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70</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13F14A2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Longitudinal naturalistic study</w:t>
            </w:r>
          </w:p>
        </w:tc>
        <w:tc>
          <w:tcPr>
            <w:tcW w:w="0" w:type="auto"/>
            <w:tcBorders>
              <w:top w:val="single" w:sz="4" w:space="0" w:color="auto"/>
              <w:left w:val="nil"/>
              <w:bottom w:val="single" w:sz="4" w:space="0" w:color="auto"/>
              <w:right w:val="single" w:sz="4" w:space="0" w:color="auto"/>
            </w:tcBorders>
            <w:shd w:val="clear" w:color="auto" w:fill="auto"/>
            <w:hideMark/>
          </w:tcPr>
          <w:p w14:paraId="2AB7935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19 Schizophrenia-spectrum patients</w:t>
            </w:r>
          </w:p>
        </w:tc>
        <w:tc>
          <w:tcPr>
            <w:tcW w:w="1320" w:type="dxa"/>
            <w:tcBorders>
              <w:top w:val="single" w:sz="4" w:space="0" w:color="auto"/>
              <w:left w:val="nil"/>
              <w:bottom w:val="single" w:sz="4" w:space="0" w:color="auto"/>
              <w:right w:val="single" w:sz="4" w:space="0" w:color="auto"/>
            </w:tcBorders>
            <w:shd w:val="clear" w:color="auto" w:fill="auto"/>
            <w:hideMark/>
          </w:tcPr>
          <w:p w14:paraId="5F9D29A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Clozapine</w:t>
            </w:r>
            <w:r w:rsidRPr="00825FF0">
              <w:rPr>
                <w:rFonts w:asciiTheme="majorHAnsi" w:eastAsia="Times New Roman" w:hAnsiTheme="majorHAnsi" w:cs="Calibri"/>
                <w:color w:val="000000"/>
                <w:sz w:val="16"/>
                <w:szCs w:val="16"/>
                <w:lang w:eastAsia="en-GB"/>
              </w:rPr>
              <w:br/>
              <w:t>Risperidone</w:t>
            </w:r>
          </w:p>
        </w:tc>
        <w:tc>
          <w:tcPr>
            <w:tcW w:w="1363" w:type="dxa"/>
            <w:tcBorders>
              <w:top w:val="single" w:sz="4" w:space="0" w:color="auto"/>
              <w:left w:val="nil"/>
              <w:bottom w:val="single" w:sz="4" w:space="0" w:color="auto"/>
              <w:right w:val="single" w:sz="4" w:space="0" w:color="auto"/>
            </w:tcBorders>
            <w:shd w:val="clear" w:color="auto" w:fill="auto"/>
            <w:hideMark/>
          </w:tcPr>
          <w:p w14:paraId="2B53E7D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CPZE equivalent = 600mg/day</w:t>
            </w:r>
            <w:r w:rsidRPr="00825FF0">
              <w:rPr>
                <w:rFonts w:asciiTheme="majorHAnsi" w:eastAsia="Times New Roman" w:hAnsiTheme="majorHAnsi" w:cs="Calibri"/>
                <w:color w:val="000000"/>
                <w:sz w:val="16"/>
                <w:szCs w:val="16"/>
                <w:lang w:eastAsia="en-GB"/>
              </w:rPr>
              <w:br/>
              <w:t>CPZE equivalent = 800mg/day</w:t>
            </w:r>
          </w:p>
        </w:tc>
        <w:tc>
          <w:tcPr>
            <w:tcW w:w="0" w:type="auto"/>
            <w:tcBorders>
              <w:top w:val="single" w:sz="4" w:space="0" w:color="auto"/>
              <w:left w:val="nil"/>
              <w:bottom w:val="single" w:sz="4" w:space="0" w:color="auto"/>
              <w:right w:val="single" w:sz="4" w:space="0" w:color="auto"/>
            </w:tcBorders>
            <w:shd w:val="clear" w:color="auto" w:fill="auto"/>
            <w:hideMark/>
          </w:tcPr>
          <w:p w14:paraId="4CF162A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being under current antipsychotic treatment included in inclusion criteria</w:t>
            </w:r>
          </w:p>
        </w:tc>
        <w:tc>
          <w:tcPr>
            <w:tcW w:w="935" w:type="dxa"/>
            <w:tcBorders>
              <w:top w:val="single" w:sz="4" w:space="0" w:color="auto"/>
              <w:left w:val="nil"/>
              <w:bottom w:val="single" w:sz="4" w:space="0" w:color="auto"/>
              <w:right w:val="single" w:sz="4" w:space="0" w:color="auto"/>
            </w:tcBorders>
            <w:shd w:val="clear" w:color="auto" w:fill="auto"/>
            <w:hideMark/>
          </w:tcPr>
          <w:p w14:paraId="63630BD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69CB240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31312AD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single" w:sz="4" w:space="0" w:color="auto"/>
              <w:left w:val="nil"/>
              <w:bottom w:val="single" w:sz="4" w:space="0" w:color="auto"/>
              <w:right w:val="single" w:sz="4" w:space="0" w:color="auto"/>
            </w:tcBorders>
            <w:shd w:val="clear" w:color="auto" w:fill="auto"/>
            <w:hideMark/>
          </w:tcPr>
          <w:p w14:paraId="4644F98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16-20 weeks</w:t>
            </w:r>
          </w:p>
        </w:tc>
        <w:tc>
          <w:tcPr>
            <w:tcW w:w="0" w:type="auto"/>
            <w:tcBorders>
              <w:top w:val="single" w:sz="4" w:space="0" w:color="auto"/>
              <w:left w:val="nil"/>
              <w:bottom w:val="single" w:sz="4" w:space="0" w:color="auto"/>
              <w:right w:val="single" w:sz="4" w:space="0" w:color="auto"/>
            </w:tcBorders>
            <w:shd w:val="clear" w:color="auto" w:fill="auto"/>
            <w:hideMark/>
          </w:tcPr>
          <w:p w14:paraId="5F24B8A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Ability to recognise disgust faces poorer by a significant amount in the Risperidone group compared to the Clozapine group at baseline and significantly poorer after treatment with Risperidone then with Clozapine at follow-up.</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Mean responses to facial emotions significantly shorter after Clozapine and Risperidone than at baseline</w:t>
            </w:r>
          </w:p>
        </w:tc>
        <w:tc>
          <w:tcPr>
            <w:tcW w:w="0" w:type="auto"/>
            <w:tcBorders>
              <w:top w:val="single" w:sz="4" w:space="0" w:color="auto"/>
              <w:left w:val="nil"/>
              <w:bottom w:val="single" w:sz="4" w:space="0" w:color="auto"/>
              <w:right w:val="nil"/>
            </w:tcBorders>
            <w:shd w:val="clear" w:color="auto" w:fill="auto"/>
            <w:hideMark/>
          </w:tcPr>
          <w:p w14:paraId="1ECDDDD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Small sample size</w:t>
            </w:r>
            <w:r w:rsidRPr="00825FF0">
              <w:rPr>
                <w:rFonts w:asciiTheme="majorHAnsi" w:eastAsia="Times New Roman" w:hAnsiTheme="majorHAnsi" w:cs="Calibri"/>
                <w:color w:val="000000"/>
                <w:sz w:val="16"/>
                <w:szCs w:val="16"/>
                <w:lang w:eastAsia="en-GB"/>
              </w:rPr>
              <w:br/>
              <w:t>• Patients were not antipsychotic-naïve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AC4CA96"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16</w:t>
            </w:r>
          </w:p>
        </w:tc>
      </w:tr>
      <w:tr w:rsidR="004F0A11" w:rsidRPr="004F0A11" w14:paraId="02B0E074" w14:textId="77777777" w:rsidTr="004F0A11">
        <w:trPr>
          <w:trHeight w:val="320"/>
        </w:trPr>
        <w:tc>
          <w:tcPr>
            <w:tcW w:w="16436" w:type="dxa"/>
            <w:gridSpan w:val="13"/>
            <w:tcBorders>
              <w:top w:val="single" w:sz="4" w:space="0" w:color="auto"/>
              <w:left w:val="single" w:sz="4" w:space="0" w:color="auto"/>
              <w:bottom w:val="single" w:sz="4" w:space="0" w:color="auto"/>
              <w:right w:val="single" w:sz="4" w:space="0" w:color="000000"/>
            </w:tcBorders>
            <w:shd w:val="clear" w:color="000000" w:fill="auto"/>
            <w:hideMark/>
          </w:tcPr>
          <w:p w14:paraId="7B86EFF7" w14:textId="77777777" w:rsidR="00825FF0" w:rsidRPr="00825FF0" w:rsidRDefault="00825FF0" w:rsidP="00825FF0">
            <w:pPr>
              <w:rPr>
                <w:rFonts w:eastAsia="Times New Roman" w:cstheme="minorHAnsi"/>
                <w:b/>
                <w:bCs/>
                <w:color w:val="000000" w:themeColor="text1"/>
                <w:sz w:val="16"/>
                <w:szCs w:val="16"/>
                <w:lang w:eastAsia="en-GB"/>
              </w:rPr>
            </w:pPr>
            <w:r w:rsidRPr="00825FF0">
              <w:rPr>
                <w:rFonts w:eastAsia="Times New Roman" w:cstheme="minorHAnsi"/>
                <w:b/>
                <w:bCs/>
                <w:color w:val="000000" w:themeColor="text1"/>
                <w:sz w:val="16"/>
                <w:szCs w:val="16"/>
                <w:lang w:eastAsia="en-GB"/>
              </w:rPr>
              <w:t>cross-sectional studies</w:t>
            </w:r>
          </w:p>
        </w:tc>
      </w:tr>
      <w:tr w:rsidR="00EB5138" w:rsidRPr="00825FF0" w14:paraId="097B54C6" w14:textId="77777777" w:rsidTr="00825FF0">
        <w:trPr>
          <w:trHeight w:val="2600"/>
        </w:trPr>
        <w:tc>
          <w:tcPr>
            <w:tcW w:w="0" w:type="auto"/>
            <w:tcBorders>
              <w:top w:val="nil"/>
              <w:left w:val="single" w:sz="4" w:space="0" w:color="auto"/>
              <w:bottom w:val="single" w:sz="4" w:space="0" w:color="auto"/>
              <w:right w:val="single" w:sz="4" w:space="0" w:color="auto"/>
            </w:tcBorders>
            <w:shd w:val="clear" w:color="auto" w:fill="auto"/>
            <w:hideMark/>
          </w:tcPr>
          <w:p w14:paraId="6689F8B5" w14:textId="77777777" w:rsidR="00825FF0" w:rsidRDefault="00825FF0" w:rsidP="00825FF0">
            <w:pPr>
              <w:rPr>
                <w:rFonts w:asciiTheme="majorHAnsi" w:eastAsia="Times New Roman" w:hAnsiTheme="majorHAnsi" w:cs="Calibri"/>
                <w:color w:val="000000"/>
                <w:sz w:val="16"/>
                <w:szCs w:val="16"/>
                <w:lang w:eastAsia="en-GB"/>
              </w:rPr>
            </w:pPr>
            <w:proofErr w:type="spellStart"/>
            <w:r w:rsidRPr="00825FF0">
              <w:rPr>
                <w:rFonts w:asciiTheme="majorHAnsi" w:eastAsia="Times New Roman" w:hAnsiTheme="majorHAnsi" w:cs="Calibri"/>
                <w:color w:val="000000"/>
                <w:sz w:val="16"/>
                <w:szCs w:val="16"/>
                <w:lang w:eastAsia="en-GB"/>
              </w:rPr>
              <w:t>Savina</w:t>
            </w:r>
            <w:proofErr w:type="spellEnd"/>
            <w:r w:rsidRPr="00825FF0">
              <w:rPr>
                <w:rFonts w:asciiTheme="majorHAnsi" w:eastAsia="Times New Roman" w:hAnsiTheme="majorHAnsi" w:cs="Calibri"/>
                <w:color w:val="000000"/>
                <w:sz w:val="16"/>
                <w:szCs w:val="16"/>
                <w:lang w:eastAsia="en-GB"/>
              </w:rPr>
              <w:t xml:space="preserve"> et al (2007)</w:t>
            </w:r>
          </w:p>
          <w:p w14:paraId="51635F5A" w14:textId="77777777" w:rsidR="00C4280B" w:rsidRDefault="00C4280B" w:rsidP="00825FF0">
            <w:pPr>
              <w:rPr>
                <w:rFonts w:asciiTheme="majorHAnsi" w:eastAsia="Times New Roman" w:hAnsiTheme="majorHAnsi" w:cs="Calibri"/>
                <w:color w:val="000000"/>
                <w:sz w:val="16"/>
                <w:szCs w:val="16"/>
                <w:lang w:eastAsia="en-GB"/>
              </w:rPr>
            </w:pPr>
          </w:p>
          <w:p w14:paraId="569F7038" w14:textId="37AAAAE0"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77</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3DA1096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Experimental task</w:t>
            </w:r>
            <w:r w:rsidRPr="00825FF0">
              <w:rPr>
                <w:rFonts w:asciiTheme="majorHAnsi" w:eastAsia="Times New Roman" w:hAnsiTheme="majorHAnsi" w:cs="Calibri"/>
                <w:color w:val="000000"/>
                <w:sz w:val="16"/>
                <w:szCs w:val="16"/>
                <w:lang w:eastAsia="en-GB"/>
              </w:rPr>
              <w:br/>
              <w:t>Naturalistic design</w:t>
            </w:r>
          </w:p>
        </w:tc>
        <w:tc>
          <w:tcPr>
            <w:tcW w:w="0" w:type="auto"/>
            <w:tcBorders>
              <w:top w:val="nil"/>
              <w:left w:val="nil"/>
              <w:bottom w:val="single" w:sz="4" w:space="0" w:color="auto"/>
              <w:right w:val="single" w:sz="4" w:space="0" w:color="auto"/>
            </w:tcBorders>
            <w:shd w:val="clear" w:color="auto" w:fill="auto"/>
            <w:hideMark/>
          </w:tcPr>
          <w:p w14:paraId="65F1DAC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84 schizophrenia-spectrum patients</w:t>
            </w:r>
            <w:r w:rsidRPr="00825FF0">
              <w:rPr>
                <w:rFonts w:asciiTheme="majorHAnsi" w:eastAsia="Times New Roman" w:hAnsiTheme="majorHAnsi" w:cs="Calibri"/>
                <w:color w:val="000000"/>
                <w:sz w:val="16"/>
                <w:szCs w:val="16"/>
                <w:lang w:eastAsia="en-GB"/>
              </w:rPr>
              <w:br/>
              <w:t>24 healthy volunteers</w:t>
            </w:r>
          </w:p>
        </w:tc>
        <w:tc>
          <w:tcPr>
            <w:tcW w:w="1320" w:type="dxa"/>
            <w:tcBorders>
              <w:top w:val="nil"/>
              <w:left w:val="nil"/>
              <w:bottom w:val="single" w:sz="4" w:space="0" w:color="auto"/>
              <w:right w:val="single" w:sz="4" w:space="0" w:color="auto"/>
            </w:tcBorders>
            <w:shd w:val="clear" w:color="auto" w:fill="auto"/>
            <w:hideMark/>
          </w:tcPr>
          <w:p w14:paraId="0A63E163" w14:textId="41443D24"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clozapine (n= 18)</w:t>
            </w:r>
            <w:r w:rsidRPr="00825FF0">
              <w:rPr>
                <w:rFonts w:asciiTheme="majorHAnsi" w:eastAsia="Times New Roman" w:hAnsiTheme="majorHAnsi" w:cs="Calibri"/>
                <w:color w:val="000000"/>
                <w:sz w:val="16"/>
                <w:szCs w:val="16"/>
                <w:lang w:eastAsia="en-GB"/>
              </w:rPr>
              <w:br/>
              <w:t>olanzapine (n= 20)</w:t>
            </w:r>
            <w:r w:rsidRPr="00825FF0">
              <w:rPr>
                <w:rFonts w:asciiTheme="majorHAnsi" w:eastAsia="Times New Roman" w:hAnsiTheme="majorHAnsi" w:cs="Calibri"/>
                <w:color w:val="000000"/>
                <w:sz w:val="16"/>
                <w:szCs w:val="16"/>
                <w:lang w:eastAsia="en-GB"/>
              </w:rPr>
              <w:br/>
              <w:t xml:space="preserve">risperidone (n= 23) </w:t>
            </w:r>
            <w:r w:rsidRPr="00825FF0">
              <w:rPr>
                <w:rFonts w:asciiTheme="majorHAnsi" w:eastAsia="Times New Roman" w:hAnsiTheme="majorHAnsi" w:cs="Calibri"/>
                <w:color w:val="000000"/>
                <w:sz w:val="16"/>
                <w:szCs w:val="16"/>
                <w:lang w:eastAsia="en-GB"/>
              </w:rPr>
              <w:br/>
              <w:t>perphenazine (n= 2)</w:t>
            </w:r>
            <w:r w:rsidRPr="00825FF0">
              <w:rPr>
                <w:rFonts w:asciiTheme="majorHAnsi" w:eastAsia="Times New Roman" w:hAnsiTheme="majorHAnsi" w:cs="Calibri"/>
                <w:color w:val="000000"/>
                <w:sz w:val="16"/>
                <w:szCs w:val="16"/>
                <w:lang w:eastAsia="en-GB"/>
              </w:rPr>
              <w:br/>
              <w:t>fluphenazine (n= 8)</w:t>
            </w:r>
            <w:r w:rsidRPr="00825FF0">
              <w:rPr>
                <w:rFonts w:asciiTheme="majorHAnsi" w:eastAsia="Times New Roman" w:hAnsiTheme="majorHAnsi" w:cs="Calibri"/>
                <w:color w:val="000000"/>
                <w:sz w:val="16"/>
                <w:szCs w:val="16"/>
                <w:lang w:eastAsia="en-GB"/>
              </w:rPr>
              <w:br/>
              <w:t>flupentixol (n= 6)</w:t>
            </w:r>
            <w:r w:rsidRPr="00825FF0">
              <w:rPr>
                <w:rFonts w:asciiTheme="majorHAnsi" w:eastAsia="Times New Roman" w:hAnsiTheme="majorHAnsi" w:cs="Calibri"/>
                <w:color w:val="000000"/>
                <w:sz w:val="16"/>
                <w:szCs w:val="16"/>
                <w:lang w:eastAsia="en-GB"/>
              </w:rPr>
              <w:br/>
              <w:t>zuclopenthixol (n= 4)</w:t>
            </w:r>
            <w:r w:rsidRPr="00825FF0">
              <w:rPr>
                <w:rFonts w:asciiTheme="majorHAnsi" w:eastAsia="Times New Roman" w:hAnsiTheme="majorHAnsi" w:cs="Calibri"/>
                <w:color w:val="000000"/>
                <w:sz w:val="16"/>
                <w:szCs w:val="16"/>
                <w:lang w:eastAsia="en-GB"/>
              </w:rPr>
              <w:br/>
              <w:t>stelazine (n= 1)</w:t>
            </w:r>
            <w:r w:rsidRPr="00825FF0">
              <w:rPr>
                <w:rFonts w:asciiTheme="majorHAnsi" w:eastAsia="Times New Roman" w:hAnsiTheme="majorHAnsi" w:cs="Calibri"/>
                <w:color w:val="000000"/>
                <w:sz w:val="16"/>
                <w:szCs w:val="16"/>
                <w:lang w:eastAsia="en-GB"/>
              </w:rPr>
              <w:br/>
              <w:t>haloperidol (n= 2)</w:t>
            </w:r>
          </w:p>
        </w:tc>
        <w:tc>
          <w:tcPr>
            <w:tcW w:w="1363" w:type="dxa"/>
            <w:tcBorders>
              <w:top w:val="nil"/>
              <w:left w:val="nil"/>
              <w:bottom w:val="single" w:sz="4" w:space="0" w:color="auto"/>
              <w:right w:val="single" w:sz="4" w:space="0" w:color="auto"/>
            </w:tcBorders>
            <w:shd w:val="clear" w:color="auto" w:fill="auto"/>
            <w:hideMark/>
          </w:tcPr>
          <w:p w14:paraId="34CA508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stated</w:t>
            </w:r>
          </w:p>
        </w:tc>
        <w:tc>
          <w:tcPr>
            <w:tcW w:w="0" w:type="auto"/>
            <w:tcBorders>
              <w:top w:val="nil"/>
              <w:left w:val="nil"/>
              <w:bottom w:val="single" w:sz="4" w:space="0" w:color="auto"/>
              <w:right w:val="single" w:sz="4" w:space="0" w:color="auto"/>
            </w:tcBorders>
            <w:shd w:val="clear" w:color="auto" w:fill="auto"/>
            <w:hideMark/>
          </w:tcPr>
          <w:p w14:paraId="50813D43" w14:textId="5C865E99"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received clozapine (n= 18), olanzapine (n= 20), risperidone (n= 23) or typical</w:t>
            </w:r>
            <w:r>
              <w:rPr>
                <w:rFonts w:asciiTheme="majorHAnsi" w:eastAsia="Times New Roman" w:hAnsiTheme="majorHAnsi" w:cs="Calibri"/>
                <w:color w:val="000000"/>
                <w:sz w:val="16"/>
                <w:szCs w:val="16"/>
                <w:lang w:eastAsia="en-GB"/>
              </w:rPr>
              <w:t>s</w:t>
            </w:r>
            <w:r w:rsidRPr="00825FF0">
              <w:rPr>
                <w:rFonts w:asciiTheme="majorHAnsi" w:eastAsia="Times New Roman" w:hAnsiTheme="majorHAnsi" w:cs="Calibri"/>
                <w:color w:val="000000"/>
                <w:sz w:val="16"/>
                <w:szCs w:val="16"/>
                <w:lang w:eastAsia="en-GB"/>
              </w:rPr>
              <w:t xml:space="preserve"> (n= 23), including perphenazine (n= 2), fluphenazine (n= 8), flupent</w:t>
            </w:r>
            <w:r>
              <w:rPr>
                <w:rFonts w:asciiTheme="majorHAnsi" w:eastAsia="Times New Roman" w:hAnsiTheme="majorHAnsi" w:cs="Calibri"/>
                <w:color w:val="000000"/>
                <w:sz w:val="16"/>
                <w:szCs w:val="16"/>
                <w:lang w:eastAsia="en-GB"/>
              </w:rPr>
              <w:t>i</w:t>
            </w:r>
            <w:r w:rsidRPr="00825FF0">
              <w:rPr>
                <w:rFonts w:asciiTheme="majorHAnsi" w:eastAsia="Times New Roman" w:hAnsiTheme="majorHAnsi" w:cs="Calibri"/>
                <w:color w:val="000000"/>
                <w:sz w:val="16"/>
                <w:szCs w:val="16"/>
                <w:lang w:eastAsia="en-GB"/>
              </w:rPr>
              <w:t>xol (n= 6), zuclopenthixol (n= 4), stelazine (n= 1) and haloperidol (n= 2), for at least 4 months. Most were also receiving mood stabilizers or other medications, but these were not systematically recorded. However, treating physicians were asked not to refer patients who received anticholinergic medication.</w:t>
            </w:r>
          </w:p>
        </w:tc>
        <w:tc>
          <w:tcPr>
            <w:tcW w:w="935" w:type="dxa"/>
            <w:tcBorders>
              <w:top w:val="nil"/>
              <w:left w:val="nil"/>
              <w:bottom w:val="single" w:sz="4" w:space="0" w:color="auto"/>
              <w:right w:val="single" w:sz="4" w:space="0" w:color="auto"/>
            </w:tcBorders>
            <w:shd w:val="clear" w:color="auto" w:fill="auto"/>
            <w:hideMark/>
          </w:tcPr>
          <w:p w14:paraId="09181FD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7D8A2F2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ToM</w:t>
            </w:r>
          </w:p>
        </w:tc>
        <w:tc>
          <w:tcPr>
            <w:tcW w:w="0" w:type="auto"/>
            <w:tcBorders>
              <w:top w:val="nil"/>
              <w:left w:val="nil"/>
              <w:bottom w:val="single" w:sz="4" w:space="0" w:color="auto"/>
              <w:right w:val="single" w:sz="4" w:space="0" w:color="auto"/>
            </w:tcBorders>
            <w:shd w:val="clear" w:color="auto" w:fill="auto"/>
            <w:hideMark/>
          </w:tcPr>
          <w:p w14:paraId="3940DAC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First-order Belief Task</w:t>
            </w:r>
          </w:p>
        </w:tc>
        <w:tc>
          <w:tcPr>
            <w:tcW w:w="0" w:type="auto"/>
            <w:tcBorders>
              <w:top w:val="nil"/>
              <w:left w:val="nil"/>
              <w:bottom w:val="single" w:sz="4" w:space="0" w:color="auto"/>
              <w:right w:val="single" w:sz="4" w:space="0" w:color="auto"/>
            </w:tcBorders>
            <w:shd w:val="clear" w:color="auto" w:fill="auto"/>
            <w:hideMark/>
          </w:tcPr>
          <w:p w14:paraId="0815702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 - cross-sectional</w:t>
            </w:r>
          </w:p>
        </w:tc>
        <w:tc>
          <w:tcPr>
            <w:tcW w:w="0" w:type="auto"/>
            <w:tcBorders>
              <w:top w:val="nil"/>
              <w:left w:val="nil"/>
              <w:bottom w:val="single" w:sz="4" w:space="0" w:color="auto"/>
              <w:right w:val="single" w:sz="4" w:space="0" w:color="auto"/>
            </w:tcBorders>
            <w:shd w:val="clear" w:color="auto" w:fill="auto"/>
            <w:hideMark/>
          </w:tcPr>
          <w:p w14:paraId="397BCDE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Olanzapine and Clozapine groups performed similar to healthy controls on ToM task.</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Risperidone and typical antipsychotic groups performed worse on ToM task (compared to healthy controls)</w:t>
            </w:r>
          </w:p>
        </w:tc>
        <w:tc>
          <w:tcPr>
            <w:tcW w:w="0" w:type="auto"/>
            <w:tcBorders>
              <w:top w:val="nil"/>
              <w:left w:val="nil"/>
              <w:bottom w:val="single" w:sz="4" w:space="0" w:color="auto"/>
              <w:right w:val="nil"/>
            </w:tcBorders>
            <w:shd w:val="clear" w:color="auto" w:fill="auto"/>
            <w:hideMark/>
          </w:tcPr>
          <w:p w14:paraId="5D95D81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Non-randomised design</w:t>
            </w:r>
            <w:r w:rsidRPr="00825FF0">
              <w:rPr>
                <w:rFonts w:asciiTheme="majorHAnsi" w:eastAsia="Times New Roman" w:hAnsiTheme="majorHAnsi" w:cs="Calibri"/>
                <w:color w:val="000000"/>
                <w:sz w:val="16"/>
                <w:szCs w:val="16"/>
                <w:lang w:eastAsia="en-GB"/>
              </w:rPr>
              <w:br/>
              <w:t>• No follow-up evaluation</w:t>
            </w:r>
            <w:r w:rsidRPr="00825FF0">
              <w:rPr>
                <w:rFonts w:asciiTheme="majorHAnsi" w:eastAsia="Times New Roman" w:hAnsiTheme="majorHAnsi" w:cs="Calibri"/>
                <w:color w:val="000000"/>
                <w:sz w:val="16"/>
                <w:szCs w:val="16"/>
                <w:lang w:eastAsia="en-GB"/>
              </w:rPr>
              <w:br/>
              <w:t>• Patients were not antipsychotic-naïve</w:t>
            </w:r>
          </w:p>
        </w:tc>
        <w:tc>
          <w:tcPr>
            <w:tcW w:w="0" w:type="auto"/>
            <w:tcBorders>
              <w:top w:val="nil"/>
              <w:left w:val="single" w:sz="4" w:space="0" w:color="auto"/>
              <w:bottom w:val="single" w:sz="4" w:space="0" w:color="auto"/>
              <w:right w:val="single" w:sz="4" w:space="0" w:color="auto"/>
            </w:tcBorders>
            <w:shd w:val="clear" w:color="auto" w:fill="auto"/>
            <w:hideMark/>
          </w:tcPr>
          <w:p w14:paraId="588F389A"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13</w:t>
            </w:r>
          </w:p>
        </w:tc>
      </w:tr>
      <w:tr w:rsidR="00EB5138" w:rsidRPr="00825FF0" w14:paraId="5F20AA24" w14:textId="77777777" w:rsidTr="00825FF0">
        <w:trPr>
          <w:trHeight w:val="168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4D3AE8E" w14:textId="5FECDE15"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Kucharska-Pietura et al (2012)</w:t>
            </w:r>
          </w:p>
          <w:p w14:paraId="756A0372" w14:textId="77777777" w:rsidR="00C4280B" w:rsidRDefault="00C4280B" w:rsidP="00825FF0">
            <w:pPr>
              <w:rPr>
                <w:rFonts w:asciiTheme="majorHAnsi" w:eastAsia="Times New Roman" w:hAnsiTheme="majorHAnsi" w:cs="Calibri"/>
                <w:color w:val="000000"/>
                <w:sz w:val="16"/>
                <w:szCs w:val="16"/>
                <w:lang w:eastAsia="en-GB"/>
              </w:rPr>
            </w:pPr>
          </w:p>
          <w:p w14:paraId="5B6FE7D3" w14:textId="2B21E9D6"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[6</w:t>
            </w:r>
            <w:r w:rsidR="00417E32">
              <w:rPr>
                <w:rFonts w:asciiTheme="majorHAnsi" w:eastAsia="Times New Roman" w:hAnsiTheme="majorHAnsi" w:cs="Calibri"/>
                <w:color w:val="000000"/>
                <w:sz w:val="16"/>
                <w:szCs w:val="16"/>
                <w:lang w:eastAsia="en-GB"/>
              </w:rPr>
              <w:t>5</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6F1D76D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Naturalistic, pragmatic sample</w:t>
            </w:r>
          </w:p>
        </w:tc>
        <w:tc>
          <w:tcPr>
            <w:tcW w:w="0" w:type="auto"/>
            <w:tcBorders>
              <w:top w:val="single" w:sz="4" w:space="0" w:color="auto"/>
              <w:left w:val="nil"/>
              <w:bottom w:val="single" w:sz="4" w:space="0" w:color="auto"/>
              <w:right w:val="single" w:sz="4" w:space="0" w:color="auto"/>
            </w:tcBorders>
            <w:shd w:val="clear" w:color="auto" w:fill="auto"/>
            <w:hideMark/>
          </w:tcPr>
          <w:p w14:paraId="5864491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84 Schizophrenia-spectrum patients</w:t>
            </w:r>
          </w:p>
        </w:tc>
        <w:tc>
          <w:tcPr>
            <w:tcW w:w="1320" w:type="dxa"/>
            <w:tcBorders>
              <w:top w:val="single" w:sz="4" w:space="0" w:color="auto"/>
              <w:left w:val="nil"/>
              <w:bottom w:val="single" w:sz="4" w:space="0" w:color="auto"/>
              <w:right w:val="single" w:sz="4" w:space="0" w:color="auto"/>
            </w:tcBorders>
            <w:shd w:val="clear" w:color="auto" w:fill="auto"/>
            <w:hideMark/>
          </w:tcPr>
          <w:p w14:paraId="1A54689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FGAs and SGAs</w:t>
            </w:r>
          </w:p>
        </w:tc>
        <w:tc>
          <w:tcPr>
            <w:tcW w:w="1363" w:type="dxa"/>
            <w:tcBorders>
              <w:top w:val="single" w:sz="4" w:space="0" w:color="auto"/>
              <w:left w:val="nil"/>
              <w:bottom w:val="single" w:sz="4" w:space="0" w:color="auto"/>
              <w:right w:val="single" w:sz="4" w:space="0" w:color="auto"/>
            </w:tcBorders>
            <w:shd w:val="clear" w:color="auto" w:fill="auto"/>
            <w:hideMark/>
          </w:tcPr>
          <w:p w14:paraId="333D716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stated</w:t>
            </w:r>
          </w:p>
        </w:tc>
        <w:tc>
          <w:tcPr>
            <w:tcW w:w="0" w:type="auto"/>
            <w:tcBorders>
              <w:top w:val="single" w:sz="4" w:space="0" w:color="auto"/>
              <w:left w:val="nil"/>
              <w:bottom w:val="single" w:sz="4" w:space="0" w:color="auto"/>
              <w:right w:val="single" w:sz="4" w:space="0" w:color="auto"/>
            </w:tcBorders>
            <w:shd w:val="clear" w:color="auto" w:fill="auto"/>
            <w:hideMark/>
          </w:tcPr>
          <w:p w14:paraId="573347C4" w14:textId="32072A91" w:rsidR="00825FF0" w:rsidRPr="00825FF0" w:rsidRDefault="00825FF0"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39</w:t>
            </w:r>
            <w:r w:rsidRPr="00825FF0">
              <w:rPr>
                <w:rFonts w:asciiTheme="majorHAnsi" w:eastAsia="Times New Roman" w:hAnsiTheme="majorHAnsi" w:cs="Calibri"/>
                <w:color w:val="000000"/>
                <w:sz w:val="16"/>
                <w:szCs w:val="16"/>
                <w:lang w:eastAsia="en-GB"/>
              </w:rPr>
              <w:t xml:space="preserve"> patients were treated using conventional antipsychotic drugs (perphenazine, perazine, fluphenazine, haloperidol) and 61 were treated with atypical antipsychotic drugs (olanzapine, risperidone, amisulpride, clozapine and quetiapine). All patients were clinically stable after 4 weeks of antipsychotic </w:t>
            </w:r>
            <w:r>
              <w:rPr>
                <w:rFonts w:asciiTheme="majorHAnsi" w:eastAsia="Times New Roman" w:hAnsiTheme="majorHAnsi" w:cs="Calibri"/>
                <w:color w:val="000000"/>
                <w:sz w:val="16"/>
                <w:szCs w:val="16"/>
                <w:lang w:eastAsia="en-GB"/>
              </w:rPr>
              <w:t>use</w:t>
            </w:r>
          </w:p>
        </w:tc>
        <w:tc>
          <w:tcPr>
            <w:tcW w:w="935" w:type="dxa"/>
            <w:tcBorders>
              <w:top w:val="single" w:sz="4" w:space="0" w:color="auto"/>
              <w:left w:val="nil"/>
              <w:bottom w:val="single" w:sz="4" w:space="0" w:color="auto"/>
              <w:right w:val="single" w:sz="4" w:space="0" w:color="auto"/>
            </w:tcBorders>
            <w:shd w:val="clear" w:color="auto" w:fill="auto"/>
            <w:hideMark/>
          </w:tcPr>
          <w:p w14:paraId="6555068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09E7C76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1BD97EE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single" w:sz="4" w:space="0" w:color="auto"/>
              <w:left w:val="nil"/>
              <w:bottom w:val="single" w:sz="4" w:space="0" w:color="auto"/>
              <w:right w:val="single" w:sz="4" w:space="0" w:color="auto"/>
            </w:tcBorders>
            <w:shd w:val="clear" w:color="auto" w:fill="auto"/>
            <w:hideMark/>
          </w:tcPr>
          <w:p w14:paraId="01E63E8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 - cross-sectional</w:t>
            </w:r>
          </w:p>
        </w:tc>
        <w:tc>
          <w:tcPr>
            <w:tcW w:w="0" w:type="auto"/>
            <w:tcBorders>
              <w:top w:val="single" w:sz="4" w:space="0" w:color="auto"/>
              <w:left w:val="nil"/>
              <w:bottom w:val="single" w:sz="4" w:space="0" w:color="auto"/>
              <w:right w:val="single" w:sz="4" w:space="0" w:color="auto"/>
            </w:tcBorders>
            <w:shd w:val="clear" w:color="auto" w:fill="auto"/>
            <w:hideMark/>
          </w:tcPr>
          <w:p w14:paraId="78F8CBD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 significant differences in performance between typical and atypical treatment groups.</w:t>
            </w:r>
          </w:p>
        </w:tc>
        <w:tc>
          <w:tcPr>
            <w:tcW w:w="0" w:type="auto"/>
            <w:tcBorders>
              <w:top w:val="single" w:sz="4" w:space="0" w:color="auto"/>
              <w:left w:val="nil"/>
              <w:bottom w:val="single" w:sz="4" w:space="0" w:color="auto"/>
              <w:right w:val="nil"/>
            </w:tcBorders>
            <w:shd w:val="clear" w:color="auto" w:fill="auto"/>
            <w:hideMark/>
          </w:tcPr>
          <w:p w14:paraId="7BB1671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Non-randomised</w:t>
            </w:r>
            <w:r w:rsidRPr="00825FF0">
              <w:rPr>
                <w:rFonts w:asciiTheme="majorHAnsi" w:eastAsia="Times New Roman" w:hAnsiTheme="majorHAnsi" w:cs="Calibri"/>
                <w:color w:val="000000"/>
                <w:sz w:val="16"/>
                <w:szCs w:val="16"/>
                <w:lang w:eastAsia="en-GB"/>
              </w:rPr>
              <w:br/>
              <w:t>• No follow-up evaluation</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FCD396B"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w:t>
            </w:r>
          </w:p>
        </w:tc>
      </w:tr>
      <w:tr w:rsidR="00EB5138" w:rsidRPr="00825FF0" w14:paraId="51D2605E" w14:textId="77777777" w:rsidTr="00825FF0">
        <w:trPr>
          <w:trHeight w:val="228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086FBF5"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Labuschagne et al (2013)</w:t>
            </w:r>
          </w:p>
          <w:p w14:paraId="12AC9B89" w14:textId="77777777" w:rsidR="00C4280B" w:rsidRDefault="00C4280B" w:rsidP="00825FF0">
            <w:pPr>
              <w:rPr>
                <w:rFonts w:asciiTheme="majorHAnsi" w:eastAsia="Times New Roman" w:hAnsiTheme="majorHAnsi" w:cs="Calibri"/>
                <w:color w:val="000000"/>
                <w:sz w:val="16"/>
                <w:szCs w:val="16"/>
                <w:lang w:eastAsia="en-GB"/>
              </w:rPr>
            </w:pPr>
          </w:p>
          <w:p w14:paraId="20B47203" w14:textId="77777777" w:rsidR="00C4280B" w:rsidRDefault="00C4280B" w:rsidP="00825FF0">
            <w:pPr>
              <w:rPr>
                <w:rFonts w:asciiTheme="majorHAnsi" w:eastAsia="Times New Roman" w:hAnsiTheme="majorHAnsi" w:cs="Calibri"/>
                <w:color w:val="000000"/>
                <w:sz w:val="16"/>
                <w:szCs w:val="16"/>
                <w:lang w:eastAsia="en-GB"/>
              </w:rPr>
            </w:pPr>
          </w:p>
          <w:p w14:paraId="032C12FB" w14:textId="68EDED4E"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[7</w:t>
            </w:r>
            <w:r w:rsidR="007B24BD">
              <w:rPr>
                <w:rFonts w:asciiTheme="majorHAnsi" w:eastAsia="Times New Roman" w:hAnsiTheme="majorHAnsi" w:cs="Calibri"/>
                <w:color w:val="000000"/>
                <w:sz w:val="16"/>
                <w:szCs w:val="16"/>
                <w:lang w:eastAsia="en-GB"/>
              </w:rPr>
              <w:t>8</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4CE0C9E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Experimental task</w:t>
            </w:r>
          </w:p>
        </w:tc>
        <w:tc>
          <w:tcPr>
            <w:tcW w:w="0" w:type="auto"/>
            <w:tcBorders>
              <w:top w:val="single" w:sz="4" w:space="0" w:color="auto"/>
              <w:left w:val="nil"/>
              <w:bottom w:val="single" w:sz="4" w:space="0" w:color="auto"/>
              <w:right w:val="single" w:sz="4" w:space="0" w:color="auto"/>
            </w:tcBorders>
            <w:shd w:val="clear" w:color="auto" w:fill="auto"/>
            <w:hideMark/>
          </w:tcPr>
          <w:p w14:paraId="66AD740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113 Early HD patients</w:t>
            </w:r>
          </w:p>
        </w:tc>
        <w:tc>
          <w:tcPr>
            <w:tcW w:w="1320" w:type="dxa"/>
            <w:tcBorders>
              <w:top w:val="single" w:sz="4" w:space="0" w:color="auto"/>
              <w:left w:val="nil"/>
              <w:bottom w:val="single" w:sz="4" w:space="0" w:color="auto"/>
              <w:right w:val="single" w:sz="4" w:space="0" w:color="auto"/>
            </w:tcBorders>
            <w:shd w:val="clear" w:color="auto" w:fill="auto"/>
            <w:hideMark/>
          </w:tcPr>
          <w:p w14:paraId="2749701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Neuroleptics</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Not specified</w:t>
            </w:r>
          </w:p>
        </w:tc>
        <w:tc>
          <w:tcPr>
            <w:tcW w:w="1363" w:type="dxa"/>
            <w:tcBorders>
              <w:top w:val="single" w:sz="4" w:space="0" w:color="auto"/>
              <w:left w:val="nil"/>
              <w:bottom w:val="single" w:sz="4" w:space="0" w:color="auto"/>
              <w:right w:val="single" w:sz="4" w:space="0" w:color="auto"/>
            </w:tcBorders>
            <w:shd w:val="clear" w:color="auto" w:fill="auto"/>
            <w:hideMark/>
          </w:tcPr>
          <w:p w14:paraId="475CD3C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stated</w:t>
            </w:r>
          </w:p>
        </w:tc>
        <w:tc>
          <w:tcPr>
            <w:tcW w:w="0" w:type="auto"/>
            <w:tcBorders>
              <w:top w:val="single" w:sz="4" w:space="0" w:color="auto"/>
              <w:left w:val="nil"/>
              <w:bottom w:val="single" w:sz="4" w:space="0" w:color="auto"/>
              <w:right w:val="single" w:sz="4" w:space="0" w:color="auto"/>
            </w:tcBorders>
            <w:shd w:val="clear" w:color="auto" w:fill="auto"/>
            <w:hideMark/>
          </w:tcPr>
          <w:p w14:paraId="4F355B73"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Of those taking neuroleptics (n1⁄429) almost all of the patients were on atypical neuroleptics except for one patient; the most common neuroleptic taken was olanzapine (14 patients). The neuroleptic daily dose range (expressed as the equivalent dose of chlorpromazine) was 50–800 mg. These patients may have been taking additional medications such as SSRI's that were not fully listed.</w:t>
            </w:r>
            <w:r w:rsidRPr="00825FF0">
              <w:rPr>
                <w:rFonts w:asciiTheme="majorHAnsi" w:eastAsia="Times New Roman" w:hAnsiTheme="majorHAnsi" w:cs="Calibri"/>
                <w:color w:val="000000"/>
                <w:sz w:val="16"/>
                <w:szCs w:val="16"/>
                <w:lang w:eastAsia="en-GB"/>
              </w:rPr>
              <w:br/>
              <w:t>adjusted for stage of disease</w:t>
            </w:r>
          </w:p>
        </w:tc>
        <w:tc>
          <w:tcPr>
            <w:tcW w:w="935" w:type="dxa"/>
            <w:tcBorders>
              <w:top w:val="single" w:sz="4" w:space="0" w:color="auto"/>
              <w:left w:val="nil"/>
              <w:bottom w:val="single" w:sz="4" w:space="0" w:color="auto"/>
              <w:right w:val="single" w:sz="4" w:space="0" w:color="auto"/>
            </w:tcBorders>
            <w:shd w:val="clear" w:color="auto" w:fill="auto"/>
            <w:hideMark/>
          </w:tcPr>
          <w:p w14:paraId="4D0222A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single" w:sz="4" w:space="0" w:color="auto"/>
              <w:left w:val="nil"/>
              <w:bottom w:val="single" w:sz="4" w:space="0" w:color="auto"/>
              <w:right w:val="single" w:sz="4" w:space="0" w:color="auto"/>
            </w:tcBorders>
            <w:shd w:val="clear" w:color="auto" w:fill="auto"/>
            <w:hideMark/>
          </w:tcPr>
          <w:p w14:paraId="65F8D66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164731C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FERT</w:t>
            </w:r>
          </w:p>
        </w:tc>
        <w:tc>
          <w:tcPr>
            <w:tcW w:w="0" w:type="auto"/>
            <w:tcBorders>
              <w:top w:val="single" w:sz="4" w:space="0" w:color="auto"/>
              <w:left w:val="nil"/>
              <w:bottom w:val="single" w:sz="4" w:space="0" w:color="auto"/>
              <w:right w:val="single" w:sz="4" w:space="0" w:color="auto"/>
            </w:tcBorders>
            <w:shd w:val="clear" w:color="auto" w:fill="auto"/>
            <w:hideMark/>
          </w:tcPr>
          <w:p w14:paraId="444D3D6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N/A</w:t>
            </w:r>
          </w:p>
        </w:tc>
        <w:tc>
          <w:tcPr>
            <w:tcW w:w="0" w:type="auto"/>
            <w:tcBorders>
              <w:top w:val="single" w:sz="4" w:space="0" w:color="auto"/>
              <w:left w:val="nil"/>
              <w:bottom w:val="single" w:sz="4" w:space="0" w:color="auto"/>
              <w:right w:val="single" w:sz="4" w:space="0" w:color="auto"/>
            </w:tcBorders>
            <w:shd w:val="clear" w:color="auto" w:fill="auto"/>
            <w:hideMark/>
          </w:tcPr>
          <w:p w14:paraId="6239E61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In early HD neuroleptic use was associated with worse facial emotion recognition compared to those not using neuroleptics</w:t>
            </w:r>
          </w:p>
        </w:tc>
        <w:tc>
          <w:tcPr>
            <w:tcW w:w="0" w:type="auto"/>
            <w:tcBorders>
              <w:top w:val="single" w:sz="4" w:space="0" w:color="auto"/>
              <w:left w:val="nil"/>
              <w:bottom w:val="single" w:sz="4" w:space="0" w:color="auto"/>
              <w:right w:val="nil"/>
            </w:tcBorders>
            <w:shd w:val="clear" w:color="auto" w:fill="auto"/>
            <w:hideMark/>
          </w:tcPr>
          <w:p w14:paraId="623D17B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Emotion recognition deficits in HD may be due to facial perception impairments</w:t>
            </w:r>
            <w:r w:rsidRPr="00825FF0">
              <w:rPr>
                <w:rFonts w:asciiTheme="majorHAnsi" w:eastAsia="Times New Roman" w:hAnsiTheme="majorHAnsi" w:cs="Calibri"/>
                <w:color w:val="000000"/>
                <w:sz w:val="16"/>
                <w:szCs w:val="16"/>
                <w:lang w:eastAsia="en-GB"/>
              </w:rPr>
              <w:br/>
              <w:t>• Time constraints in testing – presenting only 10 stimuli per emotion</w:t>
            </w:r>
            <w:r w:rsidRPr="00825FF0">
              <w:rPr>
                <w:rFonts w:asciiTheme="majorHAnsi" w:eastAsia="Times New Roman" w:hAnsiTheme="majorHAnsi" w:cs="Calibri"/>
                <w:color w:val="000000"/>
                <w:sz w:val="16"/>
                <w:szCs w:val="16"/>
                <w:lang w:eastAsia="en-GB"/>
              </w:rPr>
              <w:br/>
              <w:t>• Single channel of emotion processing – faces only</w:t>
            </w:r>
          </w:p>
        </w:tc>
        <w:tc>
          <w:tcPr>
            <w:tcW w:w="0" w:type="auto"/>
            <w:tcBorders>
              <w:top w:val="single" w:sz="4" w:space="0" w:color="auto"/>
              <w:left w:val="single" w:sz="4" w:space="0" w:color="auto"/>
              <w:bottom w:val="nil"/>
              <w:right w:val="single" w:sz="4" w:space="0" w:color="auto"/>
            </w:tcBorders>
            <w:shd w:val="clear" w:color="auto" w:fill="auto"/>
            <w:hideMark/>
          </w:tcPr>
          <w:p w14:paraId="5CC377A8"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13</w:t>
            </w:r>
          </w:p>
        </w:tc>
      </w:tr>
      <w:tr w:rsidR="00825FF0" w:rsidRPr="00825FF0" w14:paraId="20DF4177" w14:textId="77777777" w:rsidTr="004F0A11">
        <w:trPr>
          <w:trHeight w:val="315"/>
        </w:trPr>
        <w:tc>
          <w:tcPr>
            <w:tcW w:w="16436" w:type="dxa"/>
            <w:gridSpan w:val="13"/>
            <w:tcBorders>
              <w:top w:val="single" w:sz="4" w:space="0" w:color="auto"/>
              <w:left w:val="single" w:sz="4" w:space="0" w:color="auto"/>
              <w:bottom w:val="single" w:sz="4" w:space="0" w:color="auto"/>
              <w:right w:val="single" w:sz="4" w:space="0" w:color="auto"/>
            </w:tcBorders>
            <w:shd w:val="clear" w:color="000000" w:fill="AEAAAA"/>
            <w:hideMark/>
          </w:tcPr>
          <w:p w14:paraId="0EC7C50D" w14:textId="77777777" w:rsidR="00825FF0" w:rsidRPr="00825FF0" w:rsidRDefault="00825FF0" w:rsidP="00825FF0">
            <w:pPr>
              <w:rPr>
                <w:rFonts w:asciiTheme="majorHAnsi" w:eastAsia="Times New Roman" w:hAnsiTheme="majorHAnsi" w:cs="Calibri"/>
                <w:color w:val="FFFFFF"/>
                <w:sz w:val="16"/>
                <w:szCs w:val="16"/>
                <w:lang w:eastAsia="en-GB"/>
              </w:rPr>
            </w:pPr>
            <w:r w:rsidRPr="00825FF0">
              <w:rPr>
                <w:rFonts w:asciiTheme="majorHAnsi" w:eastAsia="Times New Roman" w:hAnsiTheme="majorHAnsi" w:cs="Calibri"/>
                <w:color w:val="FFFFFF"/>
                <w:sz w:val="16"/>
                <w:szCs w:val="16"/>
                <w:lang w:eastAsia="en-GB"/>
              </w:rPr>
              <w:t>Neuroimaging Studies (healthy volunteer and patient studies)</w:t>
            </w:r>
          </w:p>
        </w:tc>
      </w:tr>
      <w:tr w:rsidR="00EB5138" w:rsidRPr="00825FF0" w14:paraId="31732547" w14:textId="77777777" w:rsidTr="00825FF0">
        <w:trPr>
          <w:trHeight w:val="1820"/>
        </w:trPr>
        <w:tc>
          <w:tcPr>
            <w:tcW w:w="0" w:type="auto"/>
            <w:tcBorders>
              <w:top w:val="nil"/>
              <w:left w:val="single" w:sz="4" w:space="0" w:color="auto"/>
              <w:bottom w:val="single" w:sz="4" w:space="0" w:color="auto"/>
              <w:right w:val="single" w:sz="4" w:space="0" w:color="auto"/>
            </w:tcBorders>
            <w:shd w:val="clear" w:color="auto" w:fill="auto"/>
            <w:hideMark/>
          </w:tcPr>
          <w:p w14:paraId="341588BF"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Sumiyoshi et al (2009)</w:t>
            </w:r>
          </w:p>
          <w:p w14:paraId="61C5B2C0" w14:textId="77777777" w:rsidR="00C4280B" w:rsidRDefault="00C4280B" w:rsidP="00825FF0">
            <w:pPr>
              <w:rPr>
                <w:rFonts w:asciiTheme="majorHAnsi" w:eastAsia="Times New Roman" w:hAnsiTheme="majorHAnsi" w:cs="Calibri"/>
                <w:color w:val="000000"/>
                <w:sz w:val="16"/>
                <w:szCs w:val="16"/>
                <w:lang w:eastAsia="en-GB"/>
              </w:rPr>
            </w:pPr>
          </w:p>
          <w:p w14:paraId="31F9E3ED" w14:textId="77777777" w:rsidR="00C4280B" w:rsidRDefault="00C4280B" w:rsidP="00825FF0">
            <w:pPr>
              <w:rPr>
                <w:rFonts w:asciiTheme="majorHAnsi" w:eastAsia="Times New Roman" w:hAnsiTheme="majorHAnsi" w:cs="Calibri"/>
                <w:color w:val="000000"/>
                <w:sz w:val="16"/>
                <w:szCs w:val="16"/>
                <w:lang w:eastAsia="en-GB"/>
              </w:rPr>
            </w:pPr>
          </w:p>
          <w:p w14:paraId="2FDF3F7C" w14:textId="7A2CCE5F"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[7</w:t>
            </w:r>
            <w:r w:rsidR="007B24BD">
              <w:rPr>
                <w:rFonts w:asciiTheme="majorHAnsi" w:eastAsia="Times New Roman" w:hAnsiTheme="majorHAnsi" w:cs="Calibri"/>
                <w:color w:val="000000"/>
                <w:sz w:val="16"/>
                <w:szCs w:val="16"/>
                <w:lang w:eastAsia="en-GB"/>
              </w:rPr>
              <w:t>9</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229335F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Longitudinal treatment design</w:t>
            </w:r>
          </w:p>
        </w:tc>
        <w:tc>
          <w:tcPr>
            <w:tcW w:w="0" w:type="auto"/>
            <w:tcBorders>
              <w:top w:val="nil"/>
              <w:left w:val="nil"/>
              <w:bottom w:val="single" w:sz="4" w:space="0" w:color="auto"/>
              <w:right w:val="single" w:sz="4" w:space="0" w:color="auto"/>
            </w:tcBorders>
            <w:shd w:val="clear" w:color="auto" w:fill="auto"/>
            <w:hideMark/>
          </w:tcPr>
          <w:p w14:paraId="0489136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20 outpatients with schizophrenia</w:t>
            </w:r>
          </w:p>
        </w:tc>
        <w:tc>
          <w:tcPr>
            <w:tcW w:w="1320" w:type="dxa"/>
            <w:tcBorders>
              <w:top w:val="nil"/>
              <w:left w:val="nil"/>
              <w:bottom w:val="single" w:sz="4" w:space="0" w:color="auto"/>
              <w:right w:val="single" w:sz="4" w:space="0" w:color="auto"/>
            </w:tcBorders>
            <w:shd w:val="clear" w:color="auto" w:fill="auto"/>
            <w:hideMark/>
          </w:tcPr>
          <w:p w14:paraId="19B925E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Perospirone</w:t>
            </w:r>
          </w:p>
        </w:tc>
        <w:tc>
          <w:tcPr>
            <w:tcW w:w="1363" w:type="dxa"/>
            <w:tcBorders>
              <w:top w:val="nil"/>
              <w:left w:val="nil"/>
              <w:bottom w:val="single" w:sz="4" w:space="0" w:color="auto"/>
              <w:right w:val="single" w:sz="4" w:space="0" w:color="auto"/>
            </w:tcBorders>
            <w:shd w:val="clear" w:color="auto" w:fill="auto"/>
            <w:hideMark/>
          </w:tcPr>
          <w:p w14:paraId="6EEF5166" w14:textId="39B86761" w:rsidR="00825FF0" w:rsidRPr="00825FF0" w:rsidRDefault="00825FF0"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D</w:t>
            </w:r>
            <w:r w:rsidRPr="00825FF0">
              <w:rPr>
                <w:rFonts w:asciiTheme="majorHAnsi" w:eastAsia="Times New Roman" w:hAnsiTheme="majorHAnsi" w:cs="Calibri"/>
                <w:color w:val="000000"/>
                <w:sz w:val="16"/>
                <w:szCs w:val="16"/>
                <w:lang w:eastAsia="en-GB"/>
              </w:rPr>
              <w:t xml:space="preserve">ose </w:t>
            </w:r>
            <w:r>
              <w:rPr>
                <w:rFonts w:asciiTheme="majorHAnsi" w:eastAsia="Times New Roman" w:hAnsiTheme="majorHAnsi" w:cs="Calibri"/>
                <w:color w:val="000000"/>
                <w:sz w:val="16"/>
                <w:szCs w:val="16"/>
                <w:lang w:eastAsia="en-GB"/>
              </w:rPr>
              <w:t xml:space="preserve">adjusted </w:t>
            </w:r>
            <w:r w:rsidRPr="00825FF0">
              <w:rPr>
                <w:rFonts w:asciiTheme="majorHAnsi" w:eastAsia="Times New Roman" w:hAnsiTheme="majorHAnsi" w:cs="Calibri"/>
                <w:color w:val="000000"/>
                <w:sz w:val="16"/>
                <w:szCs w:val="16"/>
                <w:lang w:eastAsia="en-GB"/>
              </w:rPr>
              <w:t xml:space="preserve">to optimise improvement in </w:t>
            </w:r>
            <w:r>
              <w:rPr>
                <w:rFonts w:asciiTheme="majorHAnsi" w:eastAsia="Times New Roman" w:hAnsiTheme="majorHAnsi" w:cs="Calibri"/>
                <w:color w:val="000000"/>
                <w:sz w:val="16"/>
                <w:szCs w:val="16"/>
                <w:lang w:eastAsia="en-GB"/>
              </w:rPr>
              <w:t>symptoms</w:t>
            </w:r>
            <w:r w:rsidRPr="00825FF0">
              <w:rPr>
                <w:rFonts w:asciiTheme="majorHAnsi" w:eastAsia="Times New Roman" w:hAnsiTheme="majorHAnsi" w:cs="Calibri"/>
                <w:color w:val="000000"/>
                <w:sz w:val="16"/>
                <w:szCs w:val="16"/>
                <w:lang w:eastAsia="en-GB"/>
              </w:rPr>
              <w:t xml:space="preserve">. </w:t>
            </w:r>
            <w:r>
              <w:rPr>
                <w:rFonts w:asciiTheme="majorHAnsi" w:eastAsia="Times New Roman" w:hAnsiTheme="majorHAnsi" w:cs="Calibri"/>
                <w:color w:val="000000"/>
                <w:sz w:val="16"/>
                <w:szCs w:val="16"/>
                <w:lang w:eastAsia="en-GB"/>
              </w:rPr>
              <w:t>Subjects</w:t>
            </w:r>
            <w:r w:rsidRPr="00825FF0">
              <w:rPr>
                <w:rFonts w:asciiTheme="majorHAnsi" w:eastAsia="Times New Roman" w:hAnsiTheme="majorHAnsi" w:cs="Calibri"/>
                <w:color w:val="000000"/>
                <w:sz w:val="16"/>
                <w:szCs w:val="16"/>
                <w:lang w:eastAsia="en-GB"/>
              </w:rPr>
              <w:t xml:space="preserve"> who had already been treated with antipsychotic drugs, </w:t>
            </w:r>
            <w:r>
              <w:rPr>
                <w:rFonts w:asciiTheme="majorHAnsi" w:eastAsia="Times New Roman" w:hAnsiTheme="majorHAnsi" w:cs="Calibri"/>
                <w:color w:val="000000"/>
                <w:sz w:val="16"/>
                <w:szCs w:val="16"/>
                <w:lang w:eastAsia="en-GB"/>
              </w:rPr>
              <w:t>had</w:t>
            </w:r>
            <w:r w:rsidRPr="00825FF0">
              <w:rPr>
                <w:rFonts w:asciiTheme="majorHAnsi" w:eastAsia="Times New Roman" w:hAnsiTheme="majorHAnsi" w:cs="Calibri"/>
                <w:color w:val="000000"/>
                <w:sz w:val="16"/>
                <w:szCs w:val="16"/>
                <w:lang w:eastAsia="en-GB"/>
              </w:rPr>
              <w:t xml:space="preserve"> medication switched stepwise to Perospirone monotherapy during the initial 6 weeks.</w:t>
            </w:r>
          </w:p>
        </w:tc>
        <w:tc>
          <w:tcPr>
            <w:tcW w:w="0" w:type="auto"/>
            <w:tcBorders>
              <w:top w:val="nil"/>
              <w:left w:val="nil"/>
              <w:bottom w:val="single" w:sz="4" w:space="0" w:color="auto"/>
              <w:right w:val="single" w:sz="4" w:space="0" w:color="auto"/>
            </w:tcBorders>
            <w:shd w:val="clear" w:color="auto" w:fill="auto"/>
            <w:hideMark/>
          </w:tcPr>
          <w:p w14:paraId="6E12B162"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7/20 drug-free, 13/20 on antipsychotic medication</w:t>
            </w:r>
          </w:p>
        </w:tc>
        <w:tc>
          <w:tcPr>
            <w:tcW w:w="935" w:type="dxa"/>
            <w:tcBorders>
              <w:top w:val="nil"/>
              <w:left w:val="nil"/>
              <w:bottom w:val="single" w:sz="4" w:space="0" w:color="auto"/>
              <w:right w:val="single" w:sz="4" w:space="0" w:color="auto"/>
            </w:tcBorders>
            <w:shd w:val="clear" w:color="auto" w:fill="auto"/>
            <w:hideMark/>
          </w:tcPr>
          <w:p w14:paraId="5E2BFC3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0" w:type="auto"/>
            <w:tcBorders>
              <w:top w:val="nil"/>
              <w:left w:val="nil"/>
              <w:bottom w:val="single" w:sz="4" w:space="0" w:color="auto"/>
              <w:right w:val="single" w:sz="4" w:space="0" w:color="auto"/>
            </w:tcBorders>
            <w:shd w:val="clear" w:color="auto" w:fill="auto"/>
            <w:hideMark/>
          </w:tcPr>
          <w:p w14:paraId="58773D9E"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Social Perception</w:t>
            </w:r>
          </w:p>
        </w:tc>
        <w:tc>
          <w:tcPr>
            <w:tcW w:w="0" w:type="auto"/>
            <w:tcBorders>
              <w:top w:val="nil"/>
              <w:left w:val="nil"/>
              <w:bottom w:val="single" w:sz="4" w:space="0" w:color="auto"/>
              <w:right w:val="single" w:sz="4" w:space="0" w:color="auto"/>
            </w:tcBorders>
            <w:shd w:val="clear" w:color="auto" w:fill="auto"/>
            <w:hideMark/>
          </w:tcPr>
          <w:p w14:paraId="7183B15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Script Tasks</w:t>
            </w:r>
          </w:p>
        </w:tc>
        <w:tc>
          <w:tcPr>
            <w:tcW w:w="0" w:type="auto"/>
            <w:tcBorders>
              <w:top w:val="nil"/>
              <w:left w:val="nil"/>
              <w:bottom w:val="single" w:sz="4" w:space="0" w:color="auto"/>
              <w:right w:val="single" w:sz="4" w:space="0" w:color="auto"/>
            </w:tcBorders>
            <w:shd w:val="clear" w:color="auto" w:fill="auto"/>
            <w:hideMark/>
          </w:tcPr>
          <w:p w14:paraId="643803E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baseline, 6 months</w:t>
            </w:r>
          </w:p>
        </w:tc>
        <w:tc>
          <w:tcPr>
            <w:tcW w:w="0" w:type="auto"/>
            <w:tcBorders>
              <w:top w:val="nil"/>
              <w:left w:val="nil"/>
              <w:bottom w:val="single" w:sz="4" w:space="0" w:color="auto"/>
              <w:right w:val="single" w:sz="4" w:space="0" w:color="auto"/>
            </w:tcBorders>
            <w:shd w:val="clear" w:color="auto" w:fill="auto"/>
            <w:hideMark/>
          </w:tcPr>
          <w:p w14:paraId="53FA2A3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Perospirone was associated with an increase in P300 ERP in the left PFC.</w:t>
            </w:r>
            <w:r w:rsidRPr="00825FF0">
              <w:rPr>
                <w:rFonts w:asciiTheme="majorHAnsi" w:eastAsia="Times New Roman" w:hAnsiTheme="majorHAnsi" w:cs="Calibri"/>
                <w:color w:val="000000"/>
                <w:sz w:val="16"/>
                <w:szCs w:val="16"/>
                <w:lang w:eastAsia="en-GB"/>
              </w:rPr>
              <w:br/>
            </w:r>
            <w:r w:rsidRPr="00825FF0">
              <w:rPr>
                <w:rFonts w:asciiTheme="majorHAnsi" w:eastAsia="Times New Roman" w:hAnsiTheme="majorHAnsi" w:cs="Calibri"/>
                <w:color w:val="000000"/>
                <w:sz w:val="16"/>
                <w:szCs w:val="16"/>
                <w:lang w:eastAsia="en-GB"/>
              </w:rPr>
              <w:br/>
              <w:t>• Performance on script tasks (social cognitive task) was improved during treatment, positively correlated with P300 changes.</w:t>
            </w:r>
          </w:p>
        </w:tc>
        <w:tc>
          <w:tcPr>
            <w:tcW w:w="0" w:type="auto"/>
            <w:tcBorders>
              <w:top w:val="nil"/>
              <w:left w:val="nil"/>
              <w:bottom w:val="single" w:sz="4" w:space="0" w:color="auto"/>
              <w:right w:val="nil"/>
            </w:tcBorders>
            <w:shd w:val="clear" w:color="auto" w:fill="auto"/>
            <w:hideMark/>
          </w:tcPr>
          <w:p w14:paraId="3F31E7B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Subjects heterogeneous in terms of premedication</w:t>
            </w:r>
            <w:r w:rsidRPr="00825FF0">
              <w:rPr>
                <w:rFonts w:asciiTheme="majorHAnsi" w:eastAsia="Times New Roman" w:hAnsiTheme="majorHAnsi" w:cs="Calibri"/>
                <w:color w:val="000000"/>
                <w:sz w:val="16"/>
                <w:szCs w:val="16"/>
                <w:lang w:eastAsia="en-GB"/>
              </w:rPr>
              <w:br/>
              <w:t>• Small sample size due to large drop-out rate</w:t>
            </w:r>
            <w:r w:rsidRPr="00825FF0">
              <w:rPr>
                <w:rFonts w:asciiTheme="majorHAnsi" w:eastAsia="Times New Roman" w:hAnsiTheme="majorHAnsi" w:cs="Calibri"/>
                <w:color w:val="000000"/>
                <w:sz w:val="16"/>
                <w:szCs w:val="16"/>
                <w:lang w:eastAsia="en-GB"/>
              </w:rPr>
              <w:br/>
              <w:t>• Funding from pharmaceutical company</w:t>
            </w:r>
          </w:p>
        </w:tc>
        <w:tc>
          <w:tcPr>
            <w:tcW w:w="0" w:type="auto"/>
            <w:tcBorders>
              <w:top w:val="nil"/>
              <w:left w:val="single" w:sz="4" w:space="0" w:color="auto"/>
              <w:bottom w:val="single" w:sz="4" w:space="0" w:color="auto"/>
              <w:right w:val="single" w:sz="4" w:space="0" w:color="auto"/>
            </w:tcBorders>
            <w:shd w:val="clear" w:color="auto" w:fill="auto"/>
            <w:hideMark/>
          </w:tcPr>
          <w:p w14:paraId="7892C3EC"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15</w:t>
            </w:r>
          </w:p>
        </w:tc>
      </w:tr>
      <w:tr w:rsidR="00EB5138" w:rsidRPr="00825FF0" w14:paraId="6F70DB1D" w14:textId="77777777" w:rsidTr="00825FF0">
        <w:trPr>
          <w:trHeight w:val="156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5CB4ADF"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lastRenderedPageBreak/>
              <w:t>Takahashi et al (2005)</w:t>
            </w:r>
          </w:p>
          <w:p w14:paraId="4D9615EF" w14:textId="77777777" w:rsidR="00C4280B" w:rsidRDefault="00C4280B" w:rsidP="00825FF0">
            <w:pPr>
              <w:rPr>
                <w:rFonts w:asciiTheme="majorHAnsi" w:eastAsia="Times New Roman" w:hAnsiTheme="majorHAnsi" w:cs="Calibri"/>
                <w:color w:val="000000"/>
                <w:sz w:val="16"/>
                <w:szCs w:val="16"/>
                <w:lang w:eastAsia="en-GB"/>
              </w:rPr>
            </w:pPr>
          </w:p>
          <w:p w14:paraId="2969E80A" w14:textId="4E2BF493"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80</w:t>
            </w:r>
            <w:r>
              <w:rPr>
                <w:rFonts w:asciiTheme="majorHAnsi" w:eastAsia="Times New Roman" w:hAnsiTheme="majorHAnsi" w:cs="Calibri"/>
                <w:color w:val="000000"/>
                <w:sz w:val="16"/>
                <w:szCs w:val="16"/>
                <w:lang w:eastAsia="en-GB"/>
              </w:rPr>
              <w:t>]</w:t>
            </w:r>
          </w:p>
        </w:tc>
        <w:tc>
          <w:tcPr>
            <w:tcW w:w="0" w:type="auto"/>
            <w:tcBorders>
              <w:top w:val="single" w:sz="4" w:space="0" w:color="auto"/>
              <w:left w:val="nil"/>
              <w:bottom w:val="single" w:sz="4" w:space="0" w:color="auto"/>
              <w:right w:val="single" w:sz="4" w:space="0" w:color="auto"/>
            </w:tcBorders>
            <w:shd w:val="clear" w:color="auto" w:fill="auto"/>
            <w:hideMark/>
          </w:tcPr>
          <w:p w14:paraId="5EF799E7"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Single-blind, randomised, placebo-controlled design study.</w:t>
            </w:r>
          </w:p>
        </w:tc>
        <w:tc>
          <w:tcPr>
            <w:tcW w:w="0" w:type="auto"/>
            <w:tcBorders>
              <w:top w:val="single" w:sz="4" w:space="0" w:color="auto"/>
              <w:left w:val="nil"/>
              <w:bottom w:val="single" w:sz="4" w:space="0" w:color="auto"/>
              <w:right w:val="single" w:sz="4" w:space="0" w:color="auto"/>
            </w:tcBorders>
            <w:shd w:val="clear" w:color="auto" w:fill="auto"/>
            <w:hideMark/>
          </w:tcPr>
          <w:p w14:paraId="5BD81DB0"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13 healthy volunteers</w:t>
            </w:r>
          </w:p>
        </w:tc>
        <w:tc>
          <w:tcPr>
            <w:tcW w:w="1320" w:type="dxa"/>
            <w:tcBorders>
              <w:top w:val="single" w:sz="4" w:space="0" w:color="auto"/>
              <w:left w:val="nil"/>
              <w:bottom w:val="single" w:sz="4" w:space="0" w:color="auto"/>
              <w:right w:val="single" w:sz="4" w:space="0" w:color="auto"/>
            </w:tcBorders>
            <w:shd w:val="clear" w:color="auto" w:fill="auto"/>
            <w:hideMark/>
          </w:tcPr>
          <w:p w14:paraId="0CF7E2E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xml:space="preserve">Sultopride </w:t>
            </w:r>
            <w:r w:rsidRPr="00825FF0">
              <w:rPr>
                <w:rFonts w:asciiTheme="majorHAnsi" w:eastAsia="Times New Roman" w:hAnsiTheme="majorHAnsi" w:cs="Calibri"/>
                <w:color w:val="000000"/>
                <w:sz w:val="16"/>
                <w:szCs w:val="16"/>
                <w:lang w:eastAsia="en-GB"/>
              </w:rPr>
              <w:br/>
              <w:t>Fluoxetine (antidepressant)</w:t>
            </w:r>
          </w:p>
        </w:tc>
        <w:tc>
          <w:tcPr>
            <w:tcW w:w="1363" w:type="dxa"/>
            <w:tcBorders>
              <w:top w:val="single" w:sz="4" w:space="0" w:color="auto"/>
              <w:left w:val="nil"/>
              <w:bottom w:val="single" w:sz="4" w:space="0" w:color="auto"/>
              <w:right w:val="single" w:sz="4" w:space="0" w:color="auto"/>
            </w:tcBorders>
            <w:shd w:val="clear" w:color="auto" w:fill="auto"/>
            <w:hideMark/>
          </w:tcPr>
          <w:p w14:paraId="1CC9467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25mg</w:t>
            </w:r>
            <w:r w:rsidRPr="00825FF0">
              <w:rPr>
                <w:rFonts w:asciiTheme="majorHAnsi" w:eastAsia="Times New Roman" w:hAnsiTheme="majorHAnsi" w:cs="Calibri"/>
                <w:color w:val="000000"/>
                <w:sz w:val="16"/>
                <w:szCs w:val="16"/>
                <w:lang w:eastAsia="en-GB"/>
              </w:rPr>
              <w:br/>
              <w:t>50mg</w:t>
            </w:r>
          </w:p>
        </w:tc>
        <w:tc>
          <w:tcPr>
            <w:tcW w:w="0" w:type="auto"/>
            <w:tcBorders>
              <w:top w:val="single" w:sz="4" w:space="0" w:color="auto"/>
              <w:left w:val="nil"/>
              <w:bottom w:val="single" w:sz="4" w:space="0" w:color="auto"/>
              <w:right w:val="single" w:sz="4" w:space="0" w:color="auto"/>
            </w:tcBorders>
            <w:shd w:val="clear" w:color="auto" w:fill="auto"/>
            <w:hideMark/>
          </w:tcPr>
          <w:p w14:paraId="70A1D936"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w:t>
            </w:r>
          </w:p>
        </w:tc>
        <w:tc>
          <w:tcPr>
            <w:tcW w:w="935" w:type="dxa"/>
            <w:tcBorders>
              <w:top w:val="single" w:sz="4" w:space="0" w:color="auto"/>
              <w:left w:val="nil"/>
              <w:bottom w:val="single" w:sz="4" w:space="0" w:color="auto"/>
              <w:right w:val="single" w:sz="4" w:space="0" w:color="auto"/>
            </w:tcBorders>
            <w:shd w:val="clear" w:color="auto" w:fill="auto"/>
            <w:hideMark/>
          </w:tcPr>
          <w:p w14:paraId="0C16E87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 (lactose)</w:t>
            </w:r>
          </w:p>
        </w:tc>
        <w:tc>
          <w:tcPr>
            <w:tcW w:w="0" w:type="auto"/>
            <w:tcBorders>
              <w:top w:val="single" w:sz="4" w:space="0" w:color="auto"/>
              <w:left w:val="nil"/>
              <w:bottom w:val="single" w:sz="4" w:space="0" w:color="auto"/>
              <w:right w:val="single" w:sz="4" w:space="0" w:color="auto"/>
            </w:tcBorders>
            <w:shd w:val="clear" w:color="auto" w:fill="auto"/>
            <w:hideMark/>
          </w:tcPr>
          <w:p w14:paraId="65E14D8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single" w:sz="4" w:space="0" w:color="auto"/>
              <w:left w:val="nil"/>
              <w:bottom w:val="single" w:sz="4" w:space="0" w:color="auto"/>
              <w:right w:val="single" w:sz="4" w:space="0" w:color="auto"/>
            </w:tcBorders>
            <w:shd w:val="clear" w:color="auto" w:fill="auto"/>
            <w:hideMark/>
          </w:tcPr>
          <w:p w14:paraId="0F6869F9"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Affective Processing Task - fMRI</w:t>
            </w:r>
          </w:p>
        </w:tc>
        <w:tc>
          <w:tcPr>
            <w:tcW w:w="0" w:type="auto"/>
            <w:tcBorders>
              <w:top w:val="single" w:sz="4" w:space="0" w:color="auto"/>
              <w:left w:val="nil"/>
              <w:bottom w:val="single" w:sz="4" w:space="0" w:color="auto"/>
              <w:right w:val="single" w:sz="4" w:space="0" w:color="auto"/>
            </w:tcBorders>
            <w:shd w:val="clear" w:color="auto" w:fill="auto"/>
            <w:hideMark/>
          </w:tcPr>
          <w:p w14:paraId="33B629D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Not specified</w:t>
            </w:r>
            <w:r w:rsidRPr="00825FF0">
              <w:rPr>
                <w:rFonts w:asciiTheme="majorHAnsi" w:eastAsia="Times New Roman" w:hAnsiTheme="majorHAnsi" w:cs="Calibri"/>
                <w:color w:val="000000"/>
                <w:sz w:val="16"/>
                <w:szCs w:val="16"/>
                <w:lang w:eastAsia="en-GB"/>
              </w:rPr>
              <w:br/>
              <w:t>3 sessions</w:t>
            </w:r>
          </w:p>
        </w:tc>
        <w:tc>
          <w:tcPr>
            <w:tcW w:w="0" w:type="auto"/>
            <w:tcBorders>
              <w:top w:val="single" w:sz="4" w:space="0" w:color="auto"/>
              <w:left w:val="nil"/>
              <w:bottom w:val="single" w:sz="4" w:space="0" w:color="auto"/>
              <w:right w:val="single" w:sz="4" w:space="0" w:color="auto"/>
            </w:tcBorders>
            <w:shd w:val="clear" w:color="auto" w:fill="auto"/>
            <w:hideMark/>
          </w:tcPr>
          <w:p w14:paraId="6E6FA8F1"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After antipsychotic administration healthy volunteers showed decreased BOLD responses in limbic areas when viewing emotional stimuli</w:t>
            </w:r>
          </w:p>
        </w:tc>
        <w:tc>
          <w:tcPr>
            <w:tcW w:w="0" w:type="auto"/>
            <w:tcBorders>
              <w:top w:val="single" w:sz="4" w:space="0" w:color="auto"/>
              <w:left w:val="nil"/>
              <w:bottom w:val="single" w:sz="4" w:space="0" w:color="auto"/>
              <w:right w:val="nil"/>
            </w:tcBorders>
            <w:shd w:val="clear" w:color="auto" w:fill="auto"/>
            <w:hideMark/>
          </w:tcPr>
          <w:p w14:paraId="15D12E3C"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w:t>
            </w:r>
          </w:p>
          <w:p w14:paraId="4CB11A37" w14:textId="14E76BEC"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Pharmacological actions may be on vascular and respiratory systems which in turn effect BOLD</w:t>
            </w:r>
            <w:r w:rsidRPr="00825FF0">
              <w:rPr>
                <w:rFonts w:asciiTheme="majorHAnsi" w:eastAsia="Times New Roman" w:hAnsiTheme="majorHAnsi" w:cs="Calibri"/>
                <w:color w:val="000000"/>
                <w:sz w:val="16"/>
                <w:szCs w:val="16"/>
                <w:lang w:eastAsia="en-GB"/>
              </w:rPr>
              <w:br/>
              <w:t>• Only healthy volunteers used</w:t>
            </w:r>
            <w:r w:rsidRPr="00825FF0">
              <w:rPr>
                <w:rFonts w:asciiTheme="majorHAnsi" w:eastAsia="Times New Roman" w:hAnsiTheme="majorHAnsi" w:cs="Calibri"/>
                <w:color w:val="000000"/>
                <w:sz w:val="16"/>
                <w:szCs w:val="16"/>
                <w:lang w:eastAsia="en-GB"/>
              </w:rPr>
              <w:br/>
              <w:t>• Pharmacological changes did not represent the minimal behavioural changes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14782C7"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14</w:t>
            </w:r>
          </w:p>
        </w:tc>
      </w:tr>
      <w:tr w:rsidR="00EB5138" w:rsidRPr="00825FF0" w14:paraId="5D78F425" w14:textId="77777777" w:rsidTr="00825FF0">
        <w:trPr>
          <w:trHeight w:val="1680"/>
        </w:trPr>
        <w:tc>
          <w:tcPr>
            <w:tcW w:w="0" w:type="auto"/>
            <w:tcBorders>
              <w:top w:val="nil"/>
              <w:left w:val="single" w:sz="4" w:space="0" w:color="auto"/>
              <w:bottom w:val="single" w:sz="4" w:space="0" w:color="auto"/>
              <w:right w:val="single" w:sz="4" w:space="0" w:color="auto"/>
            </w:tcBorders>
            <w:shd w:val="clear" w:color="auto" w:fill="auto"/>
            <w:hideMark/>
          </w:tcPr>
          <w:p w14:paraId="07C2FA2E" w14:textId="77777777" w:rsid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Franken et al (2008)</w:t>
            </w:r>
          </w:p>
          <w:p w14:paraId="6C0E323A" w14:textId="77777777" w:rsidR="00C4280B" w:rsidRDefault="00C4280B" w:rsidP="00825FF0">
            <w:pPr>
              <w:rPr>
                <w:rFonts w:asciiTheme="majorHAnsi" w:eastAsia="Times New Roman" w:hAnsiTheme="majorHAnsi" w:cs="Calibri"/>
                <w:color w:val="000000"/>
                <w:sz w:val="16"/>
                <w:szCs w:val="16"/>
                <w:lang w:eastAsia="en-GB"/>
              </w:rPr>
            </w:pPr>
          </w:p>
          <w:p w14:paraId="5792EB08" w14:textId="03D1A23D" w:rsidR="00C4280B" w:rsidRPr="00825FF0" w:rsidRDefault="001C29C5" w:rsidP="00825FF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w:t>
            </w:r>
            <w:r w:rsidR="007B24BD">
              <w:rPr>
                <w:rFonts w:asciiTheme="majorHAnsi" w:eastAsia="Times New Roman" w:hAnsiTheme="majorHAnsi" w:cs="Calibri"/>
                <w:color w:val="000000"/>
                <w:sz w:val="16"/>
                <w:szCs w:val="16"/>
                <w:lang w:eastAsia="en-GB"/>
              </w:rPr>
              <w:t>81</w:t>
            </w:r>
            <w:r>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3A4F89B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Randomised, double-blind, placebo-controlled crossover design.</w:t>
            </w:r>
          </w:p>
        </w:tc>
        <w:tc>
          <w:tcPr>
            <w:tcW w:w="0" w:type="auto"/>
            <w:tcBorders>
              <w:top w:val="nil"/>
              <w:left w:val="nil"/>
              <w:bottom w:val="single" w:sz="4" w:space="0" w:color="auto"/>
              <w:right w:val="single" w:sz="4" w:space="0" w:color="auto"/>
            </w:tcBorders>
            <w:shd w:val="clear" w:color="auto" w:fill="auto"/>
            <w:hideMark/>
          </w:tcPr>
          <w:p w14:paraId="18631C55"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32 healthy volunteers</w:t>
            </w:r>
          </w:p>
        </w:tc>
        <w:tc>
          <w:tcPr>
            <w:tcW w:w="1320" w:type="dxa"/>
            <w:tcBorders>
              <w:top w:val="nil"/>
              <w:left w:val="nil"/>
              <w:bottom w:val="single" w:sz="4" w:space="0" w:color="auto"/>
              <w:right w:val="single" w:sz="4" w:space="0" w:color="auto"/>
            </w:tcBorders>
            <w:shd w:val="clear" w:color="auto" w:fill="auto"/>
            <w:hideMark/>
          </w:tcPr>
          <w:p w14:paraId="2D429D1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Bromocriptine (Beta-Blocker)</w:t>
            </w:r>
            <w:r w:rsidRPr="00825FF0">
              <w:rPr>
                <w:rFonts w:asciiTheme="majorHAnsi" w:eastAsia="Times New Roman" w:hAnsiTheme="majorHAnsi" w:cs="Calibri"/>
                <w:color w:val="000000"/>
                <w:sz w:val="16"/>
                <w:szCs w:val="16"/>
                <w:lang w:eastAsia="en-GB"/>
              </w:rPr>
              <w:br/>
              <w:t>Haloperidol</w:t>
            </w:r>
          </w:p>
        </w:tc>
        <w:tc>
          <w:tcPr>
            <w:tcW w:w="1363" w:type="dxa"/>
            <w:tcBorders>
              <w:top w:val="nil"/>
              <w:left w:val="nil"/>
              <w:bottom w:val="single" w:sz="4" w:space="0" w:color="auto"/>
              <w:right w:val="single" w:sz="4" w:space="0" w:color="auto"/>
            </w:tcBorders>
            <w:shd w:val="clear" w:color="auto" w:fill="auto"/>
            <w:hideMark/>
          </w:tcPr>
          <w:p w14:paraId="6F91DF6F"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2.5mg</w:t>
            </w:r>
            <w:r w:rsidRPr="00825FF0">
              <w:rPr>
                <w:rFonts w:asciiTheme="majorHAnsi" w:eastAsia="Times New Roman" w:hAnsiTheme="majorHAnsi" w:cs="Calibri"/>
                <w:color w:val="000000"/>
                <w:sz w:val="16"/>
                <w:szCs w:val="16"/>
                <w:lang w:eastAsia="en-GB"/>
              </w:rPr>
              <w:br/>
              <w:t>2mg</w:t>
            </w:r>
          </w:p>
        </w:tc>
        <w:tc>
          <w:tcPr>
            <w:tcW w:w="0" w:type="auto"/>
            <w:tcBorders>
              <w:top w:val="nil"/>
              <w:left w:val="nil"/>
              <w:bottom w:val="single" w:sz="4" w:space="0" w:color="auto"/>
              <w:right w:val="single" w:sz="4" w:space="0" w:color="auto"/>
            </w:tcBorders>
            <w:shd w:val="clear" w:color="auto" w:fill="auto"/>
            <w:hideMark/>
          </w:tcPr>
          <w:p w14:paraId="4A35A23B"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All subjects received a single oral dose of placebo (lactose), bromocriptine (2.5 mg), and haloperidol (2 mg) in a counterbalanced order. The medication was provided by the pharmacy of the Erasmus Medical Centre in indistinguishable capsules.</w:t>
            </w:r>
          </w:p>
        </w:tc>
        <w:tc>
          <w:tcPr>
            <w:tcW w:w="935" w:type="dxa"/>
            <w:tcBorders>
              <w:top w:val="nil"/>
              <w:left w:val="nil"/>
              <w:bottom w:val="single" w:sz="4" w:space="0" w:color="auto"/>
              <w:right w:val="single" w:sz="4" w:space="0" w:color="auto"/>
            </w:tcBorders>
            <w:shd w:val="clear" w:color="auto" w:fill="auto"/>
            <w:hideMark/>
          </w:tcPr>
          <w:p w14:paraId="069D837C"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Y (lactose)</w:t>
            </w:r>
          </w:p>
        </w:tc>
        <w:tc>
          <w:tcPr>
            <w:tcW w:w="0" w:type="auto"/>
            <w:tcBorders>
              <w:top w:val="nil"/>
              <w:left w:val="nil"/>
              <w:bottom w:val="single" w:sz="4" w:space="0" w:color="auto"/>
              <w:right w:val="single" w:sz="4" w:space="0" w:color="auto"/>
            </w:tcBorders>
            <w:shd w:val="clear" w:color="auto" w:fill="auto"/>
            <w:hideMark/>
          </w:tcPr>
          <w:p w14:paraId="63C9DB8D"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Emotion Processing</w:t>
            </w:r>
          </w:p>
        </w:tc>
        <w:tc>
          <w:tcPr>
            <w:tcW w:w="0" w:type="auto"/>
            <w:tcBorders>
              <w:top w:val="nil"/>
              <w:left w:val="nil"/>
              <w:bottom w:val="single" w:sz="4" w:space="0" w:color="auto"/>
              <w:right w:val="single" w:sz="4" w:space="0" w:color="auto"/>
            </w:tcBorders>
            <w:shd w:val="clear" w:color="auto" w:fill="auto"/>
            <w:hideMark/>
          </w:tcPr>
          <w:p w14:paraId="51F89034"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Affective Processing Task - EEG</w:t>
            </w:r>
          </w:p>
        </w:tc>
        <w:tc>
          <w:tcPr>
            <w:tcW w:w="0" w:type="auto"/>
            <w:tcBorders>
              <w:top w:val="nil"/>
              <w:left w:val="nil"/>
              <w:bottom w:val="single" w:sz="4" w:space="0" w:color="auto"/>
              <w:right w:val="single" w:sz="4" w:space="0" w:color="auto"/>
            </w:tcBorders>
            <w:shd w:val="clear" w:color="auto" w:fill="auto"/>
            <w:hideMark/>
          </w:tcPr>
          <w:p w14:paraId="47C10EE1" w14:textId="511431F0"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weekly (for each condition</w:t>
            </w:r>
            <w:r w:rsidR="00E50071">
              <w:rPr>
                <w:rFonts w:asciiTheme="majorHAnsi" w:eastAsia="Times New Roman" w:hAnsiTheme="majorHAnsi" w:cs="Calibri"/>
                <w:color w:val="000000"/>
                <w:sz w:val="16"/>
                <w:szCs w:val="16"/>
                <w:lang w:eastAsia="en-GB"/>
              </w:rPr>
              <w:t xml:space="preserve"> -3 weeks total</w:t>
            </w:r>
            <w:r w:rsidRPr="00825FF0">
              <w:rPr>
                <w:rFonts w:asciiTheme="majorHAnsi" w:eastAsia="Times New Roman" w:hAnsiTheme="majorHAnsi" w:cs="Calibri"/>
                <w:color w:val="000000"/>
                <w:sz w:val="16"/>
                <w:szCs w:val="16"/>
                <w:lang w:eastAsia="en-GB"/>
              </w:rPr>
              <w:t>)</w:t>
            </w:r>
          </w:p>
        </w:tc>
        <w:tc>
          <w:tcPr>
            <w:tcW w:w="0" w:type="auto"/>
            <w:tcBorders>
              <w:top w:val="nil"/>
              <w:left w:val="nil"/>
              <w:bottom w:val="single" w:sz="4" w:space="0" w:color="auto"/>
              <w:right w:val="single" w:sz="4" w:space="0" w:color="auto"/>
            </w:tcBorders>
            <w:shd w:val="clear" w:color="auto" w:fill="auto"/>
            <w:hideMark/>
          </w:tcPr>
          <w:p w14:paraId="5464AE78"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Low dose haloperidol and bromocriptine did not change ERPs towards affective stimuli.</w:t>
            </w:r>
          </w:p>
        </w:tc>
        <w:tc>
          <w:tcPr>
            <w:tcW w:w="0" w:type="auto"/>
            <w:tcBorders>
              <w:top w:val="nil"/>
              <w:left w:val="nil"/>
              <w:bottom w:val="single" w:sz="4" w:space="0" w:color="auto"/>
              <w:right w:val="nil"/>
            </w:tcBorders>
            <w:shd w:val="clear" w:color="auto" w:fill="auto"/>
            <w:hideMark/>
          </w:tcPr>
          <w:p w14:paraId="35861E8A" w14:textId="77777777" w:rsidR="00825FF0" w:rsidRPr="00825FF0" w:rsidRDefault="00825FF0" w:rsidP="00825FF0">
            <w:pPr>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 Substantial dropout in Bromocriptine group – lower generalisability</w:t>
            </w:r>
            <w:r w:rsidRPr="00825FF0">
              <w:rPr>
                <w:rFonts w:asciiTheme="majorHAnsi" w:eastAsia="Times New Roman" w:hAnsiTheme="majorHAnsi" w:cs="Calibri"/>
                <w:color w:val="000000"/>
                <w:sz w:val="16"/>
                <w:szCs w:val="16"/>
                <w:lang w:eastAsia="en-GB"/>
              </w:rPr>
              <w:br/>
              <w:t>• Low doses of medication - due to unwanted side effects</w:t>
            </w:r>
            <w:r w:rsidRPr="00825FF0">
              <w:rPr>
                <w:rFonts w:asciiTheme="majorHAnsi" w:eastAsia="Times New Roman" w:hAnsiTheme="majorHAnsi" w:cs="Calibri"/>
                <w:color w:val="000000"/>
                <w:sz w:val="16"/>
                <w:szCs w:val="16"/>
                <w:lang w:eastAsia="en-GB"/>
              </w:rPr>
              <w:br/>
              <w:t>• Some participants received Domperidone to treat nausea</w:t>
            </w:r>
          </w:p>
        </w:tc>
        <w:tc>
          <w:tcPr>
            <w:tcW w:w="0" w:type="auto"/>
            <w:tcBorders>
              <w:top w:val="nil"/>
              <w:left w:val="single" w:sz="4" w:space="0" w:color="auto"/>
              <w:bottom w:val="single" w:sz="4" w:space="0" w:color="auto"/>
              <w:right w:val="single" w:sz="4" w:space="0" w:color="auto"/>
            </w:tcBorders>
            <w:shd w:val="clear" w:color="auto" w:fill="auto"/>
            <w:hideMark/>
          </w:tcPr>
          <w:p w14:paraId="754E7204" w14:textId="77777777" w:rsidR="00825FF0" w:rsidRPr="00825FF0" w:rsidRDefault="00825FF0" w:rsidP="00825FF0">
            <w:pPr>
              <w:jc w:val="right"/>
              <w:rPr>
                <w:rFonts w:asciiTheme="majorHAnsi" w:eastAsia="Times New Roman" w:hAnsiTheme="majorHAnsi" w:cs="Calibri"/>
                <w:color w:val="000000"/>
                <w:sz w:val="16"/>
                <w:szCs w:val="16"/>
                <w:lang w:eastAsia="en-GB"/>
              </w:rPr>
            </w:pPr>
            <w:r w:rsidRPr="00825FF0">
              <w:rPr>
                <w:rFonts w:asciiTheme="majorHAnsi" w:eastAsia="Times New Roman" w:hAnsiTheme="majorHAnsi" w:cs="Calibri"/>
                <w:color w:val="000000"/>
                <w:sz w:val="16"/>
                <w:szCs w:val="16"/>
                <w:lang w:eastAsia="en-GB"/>
              </w:rPr>
              <w:t>21</w:t>
            </w:r>
          </w:p>
        </w:tc>
      </w:tr>
      <w:tr w:rsidR="00825FF0" w:rsidRPr="00825FF0" w14:paraId="68F3D469" w14:textId="77777777" w:rsidTr="00825FF0">
        <w:trPr>
          <w:trHeight w:val="320"/>
        </w:trPr>
        <w:tc>
          <w:tcPr>
            <w:tcW w:w="16436" w:type="dxa"/>
            <w:gridSpan w:val="13"/>
            <w:vMerge w:val="restart"/>
            <w:tcBorders>
              <w:top w:val="single" w:sz="4" w:space="0" w:color="auto"/>
              <w:left w:val="single" w:sz="4" w:space="0" w:color="auto"/>
              <w:bottom w:val="single" w:sz="4" w:space="0" w:color="000000"/>
              <w:right w:val="single" w:sz="4" w:space="0" w:color="000000"/>
            </w:tcBorders>
            <w:shd w:val="clear" w:color="auto" w:fill="auto"/>
            <w:hideMark/>
          </w:tcPr>
          <w:p w14:paraId="043B107A" w14:textId="019C0F6B" w:rsidR="004F0A11" w:rsidRPr="00825FF0" w:rsidRDefault="00A54340" w:rsidP="00A54340">
            <w:pPr>
              <w:rPr>
                <w:rFonts w:asciiTheme="majorHAnsi" w:eastAsia="Times New Roman" w:hAnsiTheme="majorHAnsi" w:cs="Calibri"/>
                <w:color w:val="000000"/>
                <w:sz w:val="16"/>
                <w:szCs w:val="16"/>
                <w:lang w:eastAsia="en-GB"/>
              </w:rPr>
            </w:pPr>
            <w:r>
              <w:rPr>
                <w:rFonts w:asciiTheme="majorHAnsi" w:eastAsia="Times New Roman" w:hAnsiTheme="majorHAnsi" w:cs="Calibri"/>
                <w:color w:val="000000"/>
                <w:sz w:val="16"/>
                <w:szCs w:val="16"/>
                <w:lang w:eastAsia="en-GB"/>
              </w:rPr>
              <w:t xml:space="preserve">Abbreviations: </w:t>
            </w:r>
            <w:r w:rsidR="00825FF0" w:rsidRPr="00825FF0">
              <w:rPr>
                <w:rFonts w:asciiTheme="majorHAnsi" w:eastAsia="Times New Roman" w:hAnsiTheme="majorHAnsi" w:cs="Calibri"/>
                <w:color w:val="000000"/>
                <w:sz w:val="16"/>
                <w:szCs w:val="16"/>
                <w:lang w:eastAsia="en-GB"/>
              </w:rPr>
              <w:t>SMI</w:t>
            </w:r>
            <w:r>
              <w:rPr>
                <w:rFonts w:asciiTheme="majorHAnsi" w:eastAsia="Times New Roman" w:hAnsiTheme="majorHAnsi" w:cs="Calibri"/>
                <w:color w:val="000000"/>
                <w:sz w:val="16"/>
                <w:szCs w:val="16"/>
                <w:lang w:eastAsia="en-GB"/>
              </w:rPr>
              <w:t xml:space="preserve"> (serious mental illness), </w:t>
            </w:r>
            <w:r w:rsidR="00825FF0" w:rsidRPr="00825FF0">
              <w:rPr>
                <w:rFonts w:asciiTheme="majorHAnsi" w:eastAsia="Times New Roman" w:hAnsiTheme="majorHAnsi" w:cs="Calibri"/>
                <w:color w:val="000000"/>
                <w:sz w:val="16"/>
                <w:szCs w:val="16"/>
                <w:lang w:eastAsia="en-GB"/>
              </w:rPr>
              <w:t>FERT</w:t>
            </w:r>
            <w:r>
              <w:rPr>
                <w:rFonts w:asciiTheme="majorHAnsi" w:eastAsia="Times New Roman" w:hAnsiTheme="majorHAnsi" w:cs="Calibri"/>
                <w:color w:val="000000"/>
                <w:sz w:val="16"/>
                <w:szCs w:val="16"/>
                <w:lang w:eastAsia="en-GB"/>
              </w:rPr>
              <w:t xml:space="preserve"> (facial emotion recognition task), </w:t>
            </w:r>
            <w:r w:rsidR="00825FF0" w:rsidRPr="00825FF0">
              <w:rPr>
                <w:rFonts w:asciiTheme="majorHAnsi" w:eastAsia="Times New Roman" w:hAnsiTheme="majorHAnsi" w:cs="Calibri"/>
                <w:color w:val="000000"/>
                <w:sz w:val="16"/>
                <w:szCs w:val="16"/>
                <w:lang w:eastAsia="en-GB"/>
              </w:rPr>
              <w:t>fMRI</w:t>
            </w:r>
            <w:r>
              <w:rPr>
                <w:rFonts w:asciiTheme="majorHAnsi" w:eastAsia="Times New Roman" w:hAnsiTheme="majorHAnsi" w:cs="Calibri"/>
                <w:color w:val="000000"/>
                <w:sz w:val="16"/>
                <w:szCs w:val="16"/>
                <w:lang w:eastAsia="en-GB"/>
              </w:rPr>
              <w:t xml:space="preserve"> (functional Magnetic Resonance Imaging), </w:t>
            </w:r>
            <w:r w:rsidR="00825FF0" w:rsidRPr="00825FF0">
              <w:rPr>
                <w:rFonts w:asciiTheme="majorHAnsi" w:eastAsia="Times New Roman" w:hAnsiTheme="majorHAnsi" w:cs="Calibri"/>
                <w:color w:val="000000"/>
                <w:sz w:val="16"/>
                <w:szCs w:val="16"/>
                <w:lang w:eastAsia="en-GB"/>
              </w:rPr>
              <w:t>EEG</w:t>
            </w:r>
            <w:r>
              <w:rPr>
                <w:rFonts w:asciiTheme="majorHAnsi" w:eastAsia="Times New Roman" w:hAnsiTheme="majorHAnsi" w:cs="Calibri"/>
                <w:color w:val="000000"/>
                <w:sz w:val="16"/>
                <w:szCs w:val="16"/>
                <w:lang w:eastAsia="en-GB"/>
              </w:rPr>
              <w:t xml:space="preserve"> (Electroencephalography), </w:t>
            </w:r>
            <w:r w:rsidR="00825FF0" w:rsidRPr="00825FF0">
              <w:rPr>
                <w:rFonts w:asciiTheme="majorHAnsi" w:eastAsia="Times New Roman" w:hAnsiTheme="majorHAnsi" w:cs="Calibri"/>
                <w:color w:val="000000"/>
                <w:sz w:val="16"/>
                <w:szCs w:val="16"/>
                <w:lang w:eastAsia="en-GB"/>
              </w:rPr>
              <w:t>IAPS</w:t>
            </w:r>
            <w:r>
              <w:rPr>
                <w:rFonts w:asciiTheme="majorHAnsi" w:eastAsia="Times New Roman" w:hAnsiTheme="majorHAnsi" w:cs="Calibri"/>
                <w:color w:val="000000"/>
                <w:sz w:val="16"/>
                <w:szCs w:val="16"/>
                <w:lang w:eastAsia="en-GB"/>
              </w:rPr>
              <w:t xml:space="preserve"> (International Affective Picture System), </w:t>
            </w:r>
            <w:r w:rsidR="00825FF0" w:rsidRPr="00825FF0">
              <w:rPr>
                <w:rFonts w:asciiTheme="majorHAnsi" w:eastAsia="Times New Roman" w:hAnsiTheme="majorHAnsi" w:cs="Calibri"/>
                <w:color w:val="000000"/>
                <w:sz w:val="16"/>
                <w:szCs w:val="16"/>
                <w:lang w:eastAsia="en-GB"/>
              </w:rPr>
              <w:t>MPFC</w:t>
            </w:r>
            <w:r>
              <w:rPr>
                <w:rFonts w:asciiTheme="majorHAnsi" w:eastAsia="Times New Roman" w:hAnsiTheme="majorHAnsi" w:cs="Calibri"/>
                <w:color w:val="000000"/>
                <w:sz w:val="16"/>
                <w:szCs w:val="16"/>
                <w:lang w:eastAsia="en-GB"/>
              </w:rPr>
              <w:t xml:space="preserve"> (Medial Pre-Frontal Cortex), </w:t>
            </w:r>
            <w:r w:rsidR="00825FF0" w:rsidRPr="00825FF0">
              <w:rPr>
                <w:rFonts w:asciiTheme="majorHAnsi" w:eastAsia="Times New Roman" w:hAnsiTheme="majorHAnsi" w:cs="Calibri"/>
                <w:color w:val="000000"/>
                <w:sz w:val="16"/>
                <w:szCs w:val="16"/>
                <w:lang w:eastAsia="en-GB"/>
              </w:rPr>
              <w:t>OFC</w:t>
            </w:r>
            <w:r>
              <w:rPr>
                <w:rFonts w:asciiTheme="majorHAnsi" w:eastAsia="Times New Roman" w:hAnsiTheme="majorHAnsi" w:cs="Calibri"/>
                <w:color w:val="000000"/>
                <w:sz w:val="16"/>
                <w:szCs w:val="16"/>
                <w:lang w:eastAsia="en-GB"/>
              </w:rPr>
              <w:t xml:space="preserve"> (Orbitofrontal </w:t>
            </w:r>
            <w:proofErr w:type="spellStart"/>
            <w:r>
              <w:rPr>
                <w:rFonts w:asciiTheme="majorHAnsi" w:eastAsia="Times New Roman" w:hAnsiTheme="majorHAnsi" w:cs="Calibri"/>
                <w:color w:val="000000"/>
                <w:sz w:val="16"/>
                <w:szCs w:val="16"/>
                <w:lang w:eastAsia="en-GB"/>
              </w:rPr>
              <w:t>Cortiex</w:t>
            </w:r>
            <w:proofErr w:type="spellEnd"/>
            <w:r>
              <w:rPr>
                <w:rFonts w:asciiTheme="majorHAnsi" w:eastAsia="Times New Roman" w:hAnsiTheme="majorHAnsi" w:cs="Calibri"/>
                <w:color w:val="000000"/>
                <w:sz w:val="16"/>
                <w:szCs w:val="16"/>
                <w:lang w:eastAsia="en-GB"/>
              </w:rPr>
              <w:t xml:space="preserve">), </w:t>
            </w:r>
            <w:r w:rsidR="00825FF0" w:rsidRPr="00825FF0">
              <w:rPr>
                <w:rFonts w:asciiTheme="majorHAnsi" w:eastAsia="Times New Roman" w:hAnsiTheme="majorHAnsi" w:cs="Calibri"/>
                <w:color w:val="000000"/>
                <w:sz w:val="16"/>
                <w:szCs w:val="16"/>
                <w:lang w:eastAsia="en-GB"/>
              </w:rPr>
              <w:t>ACC</w:t>
            </w:r>
            <w:r>
              <w:rPr>
                <w:rFonts w:asciiTheme="majorHAnsi" w:eastAsia="Times New Roman" w:hAnsiTheme="majorHAnsi" w:cs="Calibri"/>
                <w:color w:val="000000"/>
                <w:sz w:val="16"/>
                <w:szCs w:val="16"/>
                <w:lang w:eastAsia="en-GB"/>
              </w:rPr>
              <w:t xml:space="preserve"> (Anterior Cingulate Cortex), </w:t>
            </w:r>
            <w:r w:rsidR="00825FF0" w:rsidRPr="00825FF0">
              <w:rPr>
                <w:rFonts w:asciiTheme="majorHAnsi" w:eastAsia="Times New Roman" w:hAnsiTheme="majorHAnsi" w:cs="Calibri"/>
                <w:color w:val="000000"/>
                <w:sz w:val="16"/>
                <w:szCs w:val="16"/>
                <w:lang w:eastAsia="en-GB"/>
              </w:rPr>
              <w:t>FEIT</w:t>
            </w:r>
            <w:r>
              <w:rPr>
                <w:rFonts w:asciiTheme="majorHAnsi" w:eastAsia="Times New Roman" w:hAnsiTheme="majorHAnsi" w:cs="Calibri"/>
                <w:color w:val="000000"/>
                <w:sz w:val="16"/>
                <w:szCs w:val="16"/>
                <w:lang w:eastAsia="en-GB"/>
              </w:rPr>
              <w:t xml:space="preserve"> (facial emotion identification test), CNB (computerised neurocognitive battery), </w:t>
            </w:r>
            <w:r w:rsidR="00825FF0" w:rsidRPr="00825FF0">
              <w:rPr>
                <w:rFonts w:asciiTheme="majorHAnsi" w:eastAsia="Times New Roman" w:hAnsiTheme="majorHAnsi" w:cs="Calibri"/>
                <w:color w:val="000000"/>
                <w:sz w:val="16"/>
                <w:szCs w:val="16"/>
                <w:lang w:eastAsia="en-GB"/>
              </w:rPr>
              <w:t>ToM</w:t>
            </w:r>
            <w:r>
              <w:rPr>
                <w:rFonts w:asciiTheme="majorHAnsi" w:eastAsia="Times New Roman" w:hAnsiTheme="majorHAnsi" w:cs="Calibri"/>
                <w:color w:val="000000"/>
                <w:sz w:val="16"/>
                <w:szCs w:val="16"/>
                <w:lang w:eastAsia="en-GB"/>
              </w:rPr>
              <w:t xml:space="preserve"> (theory of mind), </w:t>
            </w:r>
            <w:r w:rsidR="00825FF0" w:rsidRPr="00825FF0">
              <w:rPr>
                <w:rFonts w:asciiTheme="majorHAnsi" w:eastAsia="Times New Roman" w:hAnsiTheme="majorHAnsi" w:cs="Calibri"/>
                <w:color w:val="000000"/>
                <w:sz w:val="16"/>
                <w:szCs w:val="16"/>
                <w:lang w:eastAsia="en-GB"/>
              </w:rPr>
              <w:t>IPSAQ</w:t>
            </w:r>
            <w:r>
              <w:rPr>
                <w:rFonts w:asciiTheme="majorHAnsi" w:eastAsia="Times New Roman" w:hAnsiTheme="majorHAnsi" w:cs="Calibri"/>
                <w:color w:val="000000"/>
                <w:sz w:val="16"/>
                <w:szCs w:val="16"/>
                <w:lang w:eastAsia="en-GB"/>
              </w:rPr>
              <w:t xml:space="preserve"> (internal, personal, and situational attributions questionnaire), </w:t>
            </w:r>
            <w:r w:rsidR="00825FF0" w:rsidRPr="00825FF0">
              <w:rPr>
                <w:rFonts w:asciiTheme="majorHAnsi" w:eastAsia="Times New Roman" w:hAnsiTheme="majorHAnsi" w:cs="Calibri"/>
                <w:color w:val="000000"/>
                <w:sz w:val="16"/>
                <w:szCs w:val="16"/>
                <w:lang w:eastAsia="en-GB"/>
              </w:rPr>
              <w:t>FEDT</w:t>
            </w:r>
            <w:r>
              <w:rPr>
                <w:rFonts w:asciiTheme="majorHAnsi" w:eastAsia="Times New Roman" w:hAnsiTheme="majorHAnsi" w:cs="Calibri"/>
                <w:color w:val="000000"/>
                <w:sz w:val="16"/>
                <w:szCs w:val="16"/>
                <w:lang w:eastAsia="en-GB"/>
              </w:rPr>
              <w:t xml:space="preserve"> (facial emotional discrimination task), </w:t>
            </w:r>
            <w:r w:rsidR="00825FF0" w:rsidRPr="00825FF0">
              <w:rPr>
                <w:rFonts w:asciiTheme="majorHAnsi" w:eastAsia="Times New Roman" w:hAnsiTheme="majorHAnsi" w:cs="Calibri"/>
                <w:color w:val="000000"/>
                <w:sz w:val="16"/>
                <w:szCs w:val="16"/>
                <w:lang w:eastAsia="en-GB"/>
              </w:rPr>
              <w:t>SCRT</w:t>
            </w:r>
            <w:r>
              <w:rPr>
                <w:rFonts w:asciiTheme="majorHAnsi" w:eastAsia="Times New Roman" w:hAnsiTheme="majorHAnsi" w:cs="Calibri"/>
                <w:color w:val="000000"/>
                <w:sz w:val="16"/>
                <w:szCs w:val="16"/>
                <w:lang w:eastAsia="en-GB"/>
              </w:rPr>
              <w:t xml:space="preserve"> (social cue recognition test), </w:t>
            </w:r>
            <w:r w:rsidR="00825FF0" w:rsidRPr="00825FF0">
              <w:rPr>
                <w:rFonts w:asciiTheme="majorHAnsi" w:eastAsia="Times New Roman" w:hAnsiTheme="majorHAnsi" w:cs="Calibri"/>
                <w:color w:val="000000"/>
                <w:sz w:val="16"/>
                <w:szCs w:val="16"/>
                <w:lang w:eastAsia="en-GB"/>
              </w:rPr>
              <w:t>FGA</w:t>
            </w:r>
            <w:r>
              <w:rPr>
                <w:rFonts w:asciiTheme="majorHAnsi" w:eastAsia="Times New Roman" w:hAnsiTheme="majorHAnsi" w:cs="Calibri"/>
                <w:color w:val="000000"/>
                <w:sz w:val="16"/>
                <w:szCs w:val="16"/>
                <w:lang w:eastAsia="en-GB"/>
              </w:rPr>
              <w:t xml:space="preserve"> (first-generation antipsychotic), </w:t>
            </w:r>
            <w:r w:rsidR="00825FF0" w:rsidRPr="00825FF0">
              <w:rPr>
                <w:rFonts w:asciiTheme="majorHAnsi" w:eastAsia="Times New Roman" w:hAnsiTheme="majorHAnsi" w:cs="Calibri"/>
                <w:color w:val="000000"/>
                <w:sz w:val="16"/>
                <w:szCs w:val="16"/>
                <w:lang w:eastAsia="en-GB"/>
              </w:rPr>
              <w:t>SGA</w:t>
            </w:r>
            <w:r>
              <w:rPr>
                <w:rFonts w:asciiTheme="majorHAnsi" w:eastAsia="Times New Roman" w:hAnsiTheme="majorHAnsi" w:cs="Calibri"/>
                <w:color w:val="000000"/>
                <w:sz w:val="16"/>
                <w:szCs w:val="16"/>
                <w:lang w:eastAsia="en-GB"/>
              </w:rPr>
              <w:t xml:space="preserve"> (second-generation antipsychotic), </w:t>
            </w:r>
            <w:r w:rsidR="00825FF0" w:rsidRPr="00825FF0">
              <w:rPr>
                <w:rFonts w:asciiTheme="majorHAnsi" w:eastAsia="Times New Roman" w:hAnsiTheme="majorHAnsi" w:cs="Calibri"/>
                <w:color w:val="000000"/>
                <w:sz w:val="16"/>
                <w:szCs w:val="16"/>
                <w:lang w:eastAsia="en-GB"/>
              </w:rPr>
              <w:t>MCCB</w:t>
            </w:r>
            <w:r>
              <w:rPr>
                <w:rFonts w:asciiTheme="majorHAnsi" w:eastAsia="Times New Roman" w:hAnsiTheme="majorHAnsi" w:cs="Calibri"/>
                <w:color w:val="000000"/>
                <w:sz w:val="16"/>
                <w:szCs w:val="16"/>
                <w:lang w:eastAsia="en-GB"/>
              </w:rPr>
              <w:t xml:space="preserve"> (</w:t>
            </w:r>
            <w:proofErr w:type="spellStart"/>
            <w:r>
              <w:rPr>
                <w:rFonts w:asciiTheme="majorHAnsi" w:eastAsia="Times New Roman" w:hAnsiTheme="majorHAnsi" w:cs="Calibri"/>
                <w:color w:val="000000"/>
                <w:sz w:val="16"/>
                <w:szCs w:val="16"/>
                <w:lang w:eastAsia="en-GB"/>
              </w:rPr>
              <w:t>Matrics</w:t>
            </w:r>
            <w:proofErr w:type="spellEnd"/>
            <w:r>
              <w:rPr>
                <w:rFonts w:asciiTheme="majorHAnsi" w:eastAsia="Times New Roman" w:hAnsiTheme="majorHAnsi" w:cs="Calibri"/>
                <w:color w:val="000000"/>
                <w:sz w:val="16"/>
                <w:szCs w:val="16"/>
                <w:lang w:eastAsia="en-GB"/>
              </w:rPr>
              <w:t xml:space="preserve"> Consensus Cognitive Battery), </w:t>
            </w:r>
            <w:r w:rsidR="00825FF0" w:rsidRPr="00825FF0">
              <w:rPr>
                <w:rFonts w:asciiTheme="majorHAnsi" w:eastAsia="Times New Roman" w:hAnsiTheme="majorHAnsi" w:cs="Calibri"/>
                <w:color w:val="000000"/>
                <w:sz w:val="16"/>
                <w:szCs w:val="16"/>
                <w:lang w:eastAsia="en-GB"/>
              </w:rPr>
              <w:t>SECT</w:t>
            </w:r>
            <w:r>
              <w:rPr>
                <w:rFonts w:asciiTheme="majorHAnsi" w:eastAsia="Times New Roman" w:hAnsiTheme="majorHAnsi" w:cs="Calibri"/>
                <w:color w:val="000000"/>
                <w:sz w:val="16"/>
                <w:szCs w:val="16"/>
                <w:lang w:eastAsia="en-GB"/>
              </w:rPr>
              <w:t xml:space="preserve"> (social emotional cognition task), </w:t>
            </w:r>
            <w:r w:rsidR="00825FF0" w:rsidRPr="00825FF0">
              <w:rPr>
                <w:rFonts w:asciiTheme="majorHAnsi" w:eastAsia="Times New Roman" w:hAnsiTheme="majorHAnsi" w:cs="Calibri"/>
                <w:color w:val="000000"/>
                <w:sz w:val="16"/>
                <w:szCs w:val="16"/>
                <w:lang w:eastAsia="en-GB"/>
              </w:rPr>
              <w:t>LAI</w:t>
            </w:r>
            <w:r>
              <w:rPr>
                <w:rFonts w:asciiTheme="majorHAnsi" w:eastAsia="Times New Roman" w:hAnsiTheme="majorHAnsi" w:cs="Calibri"/>
                <w:color w:val="000000"/>
                <w:sz w:val="16"/>
                <w:szCs w:val="16"/>
                <w:lang w:eastAsia="en-GB"/>
              </w:rPr>
              <w:t xml:space="preserve"> (long-acting injection), </w:t>
            </w:r>
            <w:r w:rsidR="00825FF0" w:rsidRPr="00825FF0">
              <w:rPr>
                <w:rFonts w:asciiTheme="majorHAnsi" w:eastAsia="Times New Roman" w:hAnsiTheme="majorHAnsi" w:cs="Calibri"/>
                <w:color w:val="000000"/>
                <w:sz w:val="16"/>
                <w:szCs w:val="16"/>
                <w:lang w:eastAsia="en-GB"/>
              </w:rPr>
              <w:t>CPZE</w:t>
            </w:r>
            <w:r>
              <w:rPr>
                <w:rFonts w:asciiTheme="majorHAnsi" w:eastAsia="Times New Roman" w:hAnsiTheme="majorHAnsi" w:cs="Calibri"/>
                <w:color w:val="000000"/>
                <w:sz w:val="16"/>
                <w:szCs w:val="16"/>
                <w:lang w:eastAsia="en-GB"/>
              </w:rPr>
              <w:t xml:space="preserve"> (chlorpromazine equivalent), </w:t>
            </w:r>
            <w:r w:rsidR="00825FF0" w:rsidRPr="00825FF0">
              <w:rPr>
                <w:rFonts w:asciiTheme="majorHAnsi" w:eastAsia="Times New Roman" w:hAnsiTheme="majorHAnsi" w:cs="Calibri"/>
                <w:color w:val="000000"/>
                <w:sz w:val="16"/>
                <w:szCs w:val="16"/>
                <w:lang w:eastAsia="en-GB"/>
              </w:rPr>
              <w:t>ERP</w:t>
            </w:r>
            <w:r>
              <w:rPr>
                <w:rFonts w:asciiTheme="majorHAnsi" w:eastAsia="Times New Roman" w:hAnsiTheme="majorHAnsi" w:cs="Calibri"/>
                <w:color w:val="000000"/>
                <w:sz w:val="16"/>
                <w:szCs w:val="16"/>
                <w:lang w:eastAsia="en-GB"/>
              </w:rPr>
              <w:t xml:space="preserve"> (event-related potential), </w:t>
            </w:r>
            <w:r w:rsidR="00825FF0" w:rsidRPr="00825FF0">
              <w:rPr>
                <w:rFonts w:asciiTheme="majorHAnsi" w:eastAsia="Times New Roman" w:hAnsiTheme="majorHAnsi" w:cs="Calibri"/>
                <w:color w:val="000000"/>
                <w:sz w:val="16"/>
                <w:szCs w:val="16"/>
                <w:lang w:eastAsia="en-GB"/>
              </w:rPr>
              <w:t>TRENDS</w:t>
            </w:r>
            <w:r>
              <w:rPr>
                <w:rFonts w:asciiTheme="majorHAnsi" w:eastAsia="Times New Roman" w:hAnsiTheme="majorHAnsi" w:cs="Calibri"/>
                <w:color w:val="000000"/>
                <w:sz w:val="16"/>
                <w:szCs w:val="16"/>
                <w:lang w:eastAsia="en-GB"/>
              </w:rPr>
              <w:t xml:space="preserve"> (tool for recognition of emotions in neuropsychiatric disorders), </w:t>
            </w:r>
            <w:r w:rsidR="00825FF0" w:rsidRPr="00825FF0">
              <w:rPr>
                <w:rFonts w:asciiTheme="majorHAnsi" w:eastAsia="Times New Roman" w:hAnsiTheme="majorHAnsi" w:cs="Calibri"/>
                <w:color w:val="000000"/>
                <w:sz w:val="16"/>
                <w:szCs w:val="16"/>
                <w:lang w:eastAsia="en-GB"/>
              </w:rPr>
              <w:t>DSM-IV</w:t>
            </w:r>
            <w:r>
              <w:rPr>
                <w:rFonts w:asciiTheme="majorHAnsi" w:eastAsia="Times New Roman" w:hAnsiTheme="majorHAnsi" w:cs="Calibri"/>
                <w:color w:val="000000"/>
                <w:sz w:val="16"/>
                <w:szCs w:val="16"/>
                <w:lang w:eastAsia="en-GB"/>
              </w:rPr>
              <w:t xml:space="preserve"> (diagnostic statistical manual 4</w:t>
            </w:r>
            <w:r w:rsidRPr="00A54340">
              <w:rPr>
                <w:rFonts w:asciiTheme="majorHAnsi" w:eastAsia="Times New Roman" w:hAnsiTheme="majorHAnsi" w:cs="Calibri"/>
                <w:color w:val="000000"/>
                <w:sz w:val="16"/>
                <w:szCs w:val="16"/>
                <w:vertAlign w:val="superscript"/>
                <w:lang w:eastAsia="en-GB"/>
              </w:rPr>
              <w:t>th</w:t>
            </w:r>
            <w:r>
              <w:rPr>
                <w:rFonts w:asciiTheme="majorHAnsi" w:eastAsia="Times New Roman" w:hAnsiTheme="majorHAnsi" w:cs="Calibri"/>
                <w:color w:val="000000"/>
                <w:sz w:val="16"/>
                <w:szCs w:val="16"/>
                <w:lang w:eastAsia="en-GB"/>
              </w:rPr>
              <w:t xml:space="preserve"> edition), </w:t>
            </w:r>
            <w:r w:rsidR="00825FF0" w:rsidRPr="00825FF0">
              <w:rPr>
                <w:rFonts w:asciiTheme="majorHAnsi" w:eastAsia="Times New Roman" w:hAnsiTheme="majorHAnsi" w:cs="Calibri"/>
                <w:color w:val="000000"/>
                <w:sz w:val="16"/>
                <w:szCs w:val="16"/>
                <w:lang w:eastAsia="en-GB"/>
              </w:rPr>
              <w:t>BOLD</w:t>
            </w:r>
            <w:r>
              <w:rPr>
                <w:rFonts w:asciiTheme="majorHAnsi" w:eastAsia="Times New Roman" w:hAnsiTheme="majorHAnsi" w:cs="Calibri"/>
                <w:color w:val="000000"/>
                <w:sz w:val="16"/>
                <w:szCs w:val="16"/>
                <w:lang w:eastAsia="en-GB"/>
              </w:rPr>
              <w:t xml:space="preserve"> (blood-oxygen level dependent), </w:t>
            </w:r>
            <w:r w:rsidR="004F0A11">
              <w:rPr>
                <w:rFonts w:asciiTheme="majorHAnsi" w:eastAsia="Times New Roman" w:hAnsiTheme="majorHAnsi" w:cs="Calibri"/>
                <w:color w:val="000000"/>
                <w:sz w:val="16"/>
                <w:szCs w:val="16"/>
                <w:lang w:eastAsia="en-GB"/>
              </w:rPr>
              <w:t>D&amp;B</w:t>
            </w:r>
            <w:r>
              <w:rPr>
                <w:rFonts w:asciiTheme="majorHAnsi" w:eastAsia="Times New Roman" w:hAnsiTheme="majorHAnsi" w:cs="Calibri"/>
                <w:color w:val="000000"/>
                <w:sz w:val="16"/>
                <w:szCs w:val="16"/>
                <w:lang w:eastAsia="en-GB"/>
              </w:rPr>
              <w:t xml:space="preserve"> (Downs and Black Checklist</w:t>
            </w:r>
          </w:p>
        </w:tc>
      </w:tr>
      <w:tr w:rsidR="00825FF0" w:rsidRPr="00825FF0" w14:paraId="4D8ABD79" w14:textId="77777777" w:rsidTr="00825FF0">
        <w:trPr>
          <w:trHeight w:val="320"/>
        </w:trPr>
        <w:tc>
          <w:tcPr>
            <w:tcW w:w="16436" w:type="dxa"/>
            <w:gridSpan w:val="13"/>
            <w:vMerge/>
            <w:tcBorders>
              <w:top w:val="single" w:sz="4" w:space="0" w:color="auto"/>
              <w:left w:val="single" w:sz="4" w:space="0" w:color="auto"/>
              <w:bottom w:val="single" w:sz="4" w:space="0" w:color="000000"/>
              <w:right w:val="single" w:sz="4" w:space="0" w:color="000000"/>
            </w:tcBorders>
            <w:hideMark/>
          </w:tcPr>
          <w:p w14:paraId="6D28B3E8" w14:textId="77777777" w:rsidR="00825FF0" w:rsidRPr="00825FF0" w:rsidRDefault="00825FF0" w:rsidP="00825FF0">
            <w:pPr>
              <w:rPr>
                <w:rFonts w:asciiTheme="majorHAnsi" w:eastAsia="Times New Roman" w:hAnsiTheme="majorHAnsi" w:cs="Calibri"/>
                <w:color w:val="000000"/>
                <w:sz w:val="16"/>
                <w:szCs w:val="16"/>
                <w:lang w:eastAsia="en-GB"/>
              </w:rPr>
            </w:pPr>
          </w:p>
        </w:tc>
      </w:tr>
      <w:tr w:rsidR="00825FF0" w:rsidRPr="00825FF0" w14:paraId="601D83AD" w14:textId="77777777" w:rsidTr="00825FF0">
        <w:trPr>
          <w:trHeight w:val="320"/>
        </w:trPr>
        <w:tc>
          <w:tcPr>
            <w:tcW w:w="16436" w:type="dxa"/>
            <w:gridSpan w:val="13"/>
            <w:vMerge/>
            <w:tcBorders>
              <w:top w:val="single" w:sz="4" w:space="0" w:color="auto"/>
              <w:left w:val="single" w:sz="4" w:space="0" w:color="auto"/>
              <w:bottom w:val="single" w:sz="4" w:space="0" w:color="000000"/>
              <w:right w:val="single" w:sz="4" w:space="0" w:color="000000"/>
            </w:tcBorders>
            <w:hideMark/>
          </w:tcPr>
          <w:p w14:paraId="5E939DE7" w14:textId="77777777" w:rsidR="00825FF0" w:rsidRPr="00825FF0" w:rsidRDefault="00825FF0" w:rsidP="00825FF0">
            <w:pPr>
              <w:rPr>
                <w:rFonts w:asciiTheme="majorHAnsi" w:eastAsia="Times New Roman" w:hAnsiTheme="majorHAnsi" w:cs="Calibri"/>
                <w:color w:val="000000"/>
                <w:sz w:val="16"/>
                <w:szCs w:val="16"/>
                <w:lang w:eastAsia="en-GB"/>
              </w:rPr>
            </w:pPr>
          </w:p>
        </w:tc>
      </w:tr>
    </w:tbl>
    <w:p w14:paraId="4CD86762" w14:textId="3243DCD1" w:rsidR="00825FF0" w:rsidRPr="00825FF0" w:rsidRDefault="00825FF0">
      <w:pPr>
        <w:rPr>
          <w:rFonts w:asciiTheme="majorHAnsi" w:hAnsiTheme="majorHAnsi"/>
          <w:sz w:val="16"/>
          <w:szCs w:val="16"/>
        </w:rPr>
      </w:pPr>
    </w:p>
    <w:sectPr w:rsidR="00825FF0" w:rsidRPr="00825FF0" w:rsidSect="004F0A11">
      <w:pgSz w:w="16840" w:h="11900" w:orient="landscape"/>
      <w:pgMar w:top="819" w:right="1440" w:bottom="130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8023EA" w14:textId="77777777" w:rsidR="009C0F2B" w:rsidRDefault="009C0F2B" w:rsidP="00825FF0">
      <w:r>
        <w:separator/>
      </w:r>
    </w:p>
  </w:endnote>
  <w:endnote w:type="continuationSeparator" w:id="0">
    <w:p w14:paraId="3A7868E7" w14:textId="77777777" w:rsidR="009C0F2B" w:rsidRDefault="009C0F2B" w:rsidP="00825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A07F3C" w14:textId="77777777" w:rsidR="009C0F2B" w:rsidRDefault="009C0F2B" w:rsidP="00825FF0">
      <w:r>
        <w:separator/>
      </w:r>
    </w:p>
  </w:footnote>
  <w:footnote w:type="continuationSeparator" w:id="0">
    <w:p w14:paraId="3EF69CBB" w14:textId="77777777" w:rsidR="009C0F2B" w:rsidRDefault="009C0F2B" w:rsidP="00825F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0A3A8D"/>
    <w:multiLevelType w:val="hybridMultilevel"/>
    <w:tmpl w:val="05004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240936"/>
    <w:multiLevelType w:val="hybridMultilevel"/>
    <w:tmpl w:val="31527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900r5vpfefz1evdr2vt2vuvz559wvvdxt0&quot;&gt;My EndNote Library&lt;record-ids&gt;&lt;item&gt;12001&lt;/item&gt;&lt;item&gt;12012&lt;/item&gt;&lt;item&gt;12043&lt;/item&gt;&lt;item&gt;12044&lt;/item&gt;&lt;item&gt;12045&lt;/item&gt;&lt;item&gt;12050&lt;/item&gt;&lt;item&gt;12083&lt;/item&gt;&lt;item&gt;12084&lt;/item&gt;&lt;item&gt;12762&lt;/item&gt;&lt;/record-ids&gt;&lt;/item&gt;&lt;/Libraries&gt;"/>
  </w:docVars>
  <w:rsids>
    <w:rsidRoot w:val="00825FF0"/>
    <w:rsid w:val="000F2AB6"/>
    <w:rsid w:val="00120902"/>
    <w:rsid w:val="001A35EC"/>
    <w:rsid w:val="001C29C5"/>
    <w:rsid w:val="002E1CFD"/>
    <w:rsid w:val="00356DCF"/>
    <w:rsid w:val="00417E32"/>
    <w:rsid w:val="00445941"/>
    <w:rsid w:val="004F0A11"/>
    <w:rsid w:val="00542AFB"/>
    <w:rsid w:val="005573C7"/>
    <w:rsid w:val="00594C3E"/>
    <w:rsid w:val="005F579A"/>
    <w:rsid w:val="006B5F3E"/>
    <w:rsid w:val="00720564"/>
    <w:rsid w:val="007B24BD"/>
    <w:rsid w:val="007C4878"/>
    <w:rsid w:val="00825FF0"/>
    <w:rsid w:val="008C268C"/>
    <w:rsid w:val="00966A4B"/>
    <w:rsid w:val="009C0F2B"/>
    <w:rsid w:val="00A54340"/>
    <w:rsid w:val="00BA07AB"/>
    <w:rsid w:val="00C4280B"/>
    <w:rsid w:val="00C81A7C"/>
    <w:rsid w:val="00E02518"/>
    <w:rsid w:val="00E50071"/>
    <w:rsid w:val="00E708A0"/>
    <w:rsid w:val="00EB51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C11D6"/>
  <w15:chartTrackingRefBased/>
  <w15:docId w15:val="{F88A68D6-8DF2-A048-89A5-AE9CCFEF9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5FF0"/>
    <w:pPr>
      <w:tabs>
        <w:tab w:val="center" w:pos="4513"/>
        <w:tab w:val="right" w:pos="9026"/>
      </w:tabs>
    </w:pPr>
  </w:style>
  <w:style w:type="character" w:customStyle="1" w:styleId="HeaderChar">
    <w:name w:val="Header Char"/>
    <w:basedOn w:val="DefaultParagraphFont"/>
    <w:link w:val="Header"/>
    <w:uiPriority w:val="99"/>
    <w:rsid w:val="00825FF0"/>
    <w:rPr>
      <w:rFonts w:eastAsiaTheme="minorEastAsia"/>
    </w:rPr>
  </w:style>
  <w:style w:type="paragraph" w:styleId="Footer">
    <w:name w:val="footer"/>
    <w:basedOn w:val="Normal"/>
    <w:link w:val="FooterChar"/>
    <w:uiPriority w:val="99"/>
    <w:unhideWhenUsed/>
    <w:rsid w:val="00825FF0"/>
    <w:pPr>
      <w:tabs>
        <w:tab w:val="center" w:pos="4513"/>
        <w:tab w:val="right" w:pos="9026"/>
      </w:tabs>
    </w:pPr>
  </w:style>
  <w:style w:type="character" w:customStyle="1" w:styleId="FooterChar">
    <w:name w:val="Footer Char"/>
    <w:basedOn w:val="DefaultParagraphFont"/>
    <w:link w:val="Footer"/>
    <w:uiPriority w:val="99"/>
    <w:rsid w:val="00825FF0"/>
    <w:rPr>
      <w:rFonts w:eastAsiaTheme="minorEastAsia"/>
    </w:rPr>
  </w:style>
  <w:style w:type="paragraph" w:styleId="ListParagraph">
    <w:name w:val="List Paragraph"/>
    <w:basedOn w:val="Normal"/>
    <w:uiPriority w:val="34"/>
    <w:qFormat/>
    <w:rsid w:val="00825FF0"/>
    <w:pPr>
      <w:ind w:left="720"/>
      <w:contextualSpacing/>
    </w:pPr>
  </w:style>
  <w:style w:type="paragraph" w:styleId="BalloonText">
    <w:name w:val="Balloon Text"/>
    <w:basedOn w:val="Normal"/>
    <w:link w:val="BalloonTextChar"/>
    <w:uiPriority w:val="99"/>
    <w:semiHidden/>
    <w:unhideWhenUsed/>
    <w:rsid w:val="004F0A1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F0A11"/>
    <w:rPr>
      <w:rFonts w:ascii="Times New Roman" w:eastAsiaTheme="minorEastAsia"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5640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4531</Words>
  <Characters>25830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Haime, Zoe</dc:creator>
  <cp:keywords/>
  <dc:description/>
  <cp:lastModifiedBy>Haime, Zoe</cp:lastModifiedBy>
  <cp:revision>2</cp:revision>
  <dcterms:created xsi:type="dcterms:W3CDTF">2021-03-14T12:35:00Z</dcterms:created>
  <dcterms:modified xsi:type="dcterms:W3CDTF">2021-03-14T12:35:00Z</dcterms:modified>
</cp:coreProperties>
</file>