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014B3D" w14:textId="77777777" w:rsidR="00363611" w:rsidRPr="001C7631" w:rsidRDefault="00363611" w:rsidP="00363611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1C7631">
        <w:rPr>
          <w:rFonts w:ascii="Arial" w:eastAsia="Times New Roman" w:hAnsi="Arial" w:cs="Arial"/>
          <w:b/>
          <w:bCs/>
          <w:sz w:val="24"/>
          <w:szCs w:val="24"/>
        </w:rPr>
        <w:t>Appendix</w:t>
      </w:r>
    </w:p>
    <w:p w14:paraId="27B02014" w14:textId="77777777" w:rsidR="00363611" w:rsidRPr="001C7631" w:rsidRDefault="00363611" w:rsidP="00363611">
      <w:pPr>
        <w:spacing w:line="240" w:lineRule="auto"/>
        <w:rPr>
          <w:rFonts w:ascii="Arial" w:eastAsia="Times New Roman" w:hAnsi="Arial" w:cs="Arial"/>
          <w:b/>
          <w:bCs/>
          <w:sz w:val="24"/>
          <w:szCs w:val="24"/>
          <w:lang w:val="en-GB"/>
        </w:rPr>
      </w:pPr>
      <w:r w:rsidRPr="001C7631">
        <w:rPr>
          <w:rFonts w:ascii="Arial" w:eastAsia="Times New Roman" w:hAnsi="Arial" w:cs="Arial"/>
          <w:b/>
          <w:bCs/>
          <w:sz w:val="24"/>
          <w:szCs w:val="24"/>
          <w:lang w:val="en-GB"/>
        </w:rPr>
        <w:t>Table A1: Variables, Descriptions, Categories, and Justifications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22"/>
        <w:gridCol w:w="2195"/>
        <w:gridCol w:w="1777"/>
        <w:gridCol w:w="3756"/>
      </w:tblGrid>
      <w:tr w:rsidR="00363611" w:rsidRPr="001C7631" w14:paraId="541F8C1E" w14:textId="77777777" w:rsidTr="00AF4379">
        <w:tc>
          <w:tcPr>
            <w:tcW w:w="0" w:type="auto"/>
            <w:hideMark/>
          </w:tcPr>
          <w:p w14:paraId="2ACB6C98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  <w:t>Variable</w:t>
            </w:r>
          </w:p>
        </w:tc>
        <w:tc>
          <w:tcPr>
            <w:tcW w:w="0" w:type="auto"/>
            <w:hideMark/>
          </w:tcPr>
          <w:p w14:paraId="5911C814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  <w:t>Description</w:t>
            </w:r>
          </w:p>
        </w:tc>
        <w:tc>
          <w:tcPr>
            <w:tcW w:w="0" w:type="auto"/>
            <w:hideMark/>
          </w:tcPr>
          <w:p w14:paraId="1A357E56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  <w:t>Categories</w:t>
            </w:r>
          </w:p>
        </w:tc>
        <w:tc>
          <w:tcPr>
            <w:tcW w:w="0" w:type="auto"/>
            <w:hideMark/>
          </w:tcPr>
          <w:p w14:paraId="113C5F45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  <w:t>Justification</w:t>
            </w:r>
          </w:p>
        </w:tc>
      </w:tr>
      <w:tr w:rsidR="00363611" w:rsidRPr="001C7631" w14:paraId="0A671B78" w14:textId="77777777" w:rsidTr="00AF4379">
        <w:tc>
          <w:tcPr>
            <w:tcW w:w="0" w:type="auto"/>
            <w:hideMark/>
          </w:tcPr>
          <w:p w14:paraId="594F41A0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  <w:t>Female</w:t>
            </w:r>
          </w:p>
        </w:tc>
        <w:tc>
          <w:tcPr>
            <w:tcW w:w="0" w:type="auto"/>
            <w:hideMark/>
          </w:tcPr>
          <w:p w14:paraId="50957216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Gender of the household head</w:t>
            </w:r>
          </w:p>
        </w:tc>
        <w:tc>
          <w:tcPr>
            <w:tcW w:w="0" w:type="auto"/>
            <w:hideMark/>
          </w:tcPr>
          <w:p w14:paraId="1046A377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Female, Male</w:t>
            </w:r>
          </w:p>
        </w:tc>
        <w:tc>
          <w:tcPr>
            <w:tcW w:w="0" w:type="auto"/>
            <w:hideMark/>
          </w:tcPr>
          <w:p w14:paraId="00F9CE2C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Gender disparities often influence access to financial services and decision-making, impacting energy poverty levels. Women may face systemic barriers to financial inclusion.</w:t>
            </w:r>
          </w:p>
        </w:tc>
      </w:tr>
      <w:tr w:rsidR="00363611" w:rsidRPr="001C7631" w14:paraId="09EB35CC" w14:textId="77777777" w:rsidTr="00AF4379">
        <w:tc>
          <w:tcPr>
            <w:tcW w:w="0" w:type="auto"/>
            <w:hideMark/>
          </w:tcPr>
          <w:p w14:paraId="309587E3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  <w:t>Rural</w:t>
            </w:r>
          </w:p>
        </w:tc>
        <w:tc>
          <w:tcPr>
            <w:tcW w:w="0" w:type="auto"/>
            <w:hideMark/>
          </w:tcPr>
          <w:p w14:paraId="738AE4C5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Residence of the household</w:t>
            </w:r>
          </w:p>
        </w:tc>
        <w:tc>
          <w:tcPr>
            <w:tcW w:w="0" w:type="auto"/>
            <w:hideMark/>
          </w:tcPr>
          <w:p w14:paraId="32773ED5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Rural, Urban</w:t>
            </w:r>
          </w:p>
        </w:tc>
        <w:tc>
          <w:tcPr>
            <w:tcW w:w="0" w:type="auto"/>
            <w:hideMark/>
          </w:tcPr>
          <w:p w14:paraId="23B24AC5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Rural households typically lack access to adequate energy infrastructure and financial services, making them more vulnerable to energy poverty and financial exclusion.</w:t>
            </w:r>
          </w:p>
        </w:tc>
      </w:tr>
      <w:tr w:rsidR="00363611" w:rsidRPr="001C7631" w14:paraId="56F55FC9" w14:textId="77777777" w:rsidTr="00AF4379">
        <w:tc>
          <w:tcPr>
            <w:tcW w:w="0" w:type="auto"/>
            <w:hideMark/>
          </w:tcPr>
          <w:p w14:paraId="1F7B7880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  <w:t>Age</w:t>
            </w:r>
          </w:p>
        </w:tc>
        <w:tc>
          <w:tcPr>
            <w:tcW w:w="0" w:type="auto"/>
            <w:hideMark/>
          </w:tcPr>
          <w:p w14:paraId="5ECA927A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Age of the household head in years</w:t>
            </w:r>
          </w:p>
        </w:tc>
        <w:tc>
          <w:tcPr>
            <w:tcW w:w="0" w:type="auto"/>
            <w:hideMark/>
          </w:tcPr>
          <w:p w14:paraId="1C623335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Continuous</w:t>
            </w:r>
          </w:p>
        </w:tc>
        <w:tc>
          <w:tcPr>
            <w:tcW w:w="0" w:type="auto"/>
            <w:hideMark/>
          </w:tcPr>
          <w:p w14:paraId="7E532668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Older household heads are expected to have more experience and resources, potentially enabling better financial management and adoption of energy-efficient practices.</w:t>
            </w:r>
          </w:p>
        </w:tc>
      </w:tr>
      <w:tr w:rsidR="00363611" w:rsidRPr="001C7631" w14:paraId="3580C9E9" w14:textId="77777777" w:rsidTr="00AF4379">
        <w:tc>
          <w:tcPr>
            <w:tcW w:w="0" w:type="auto"/>
            <w:hideMark/>
          </w:tcPr>
          <w:p w14:paraId="1E68938A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  <w:t>Age²</w:t>
            </w:r>
          </w:p>
        </w:tc>
        <w:tc>
          <w:tcPr>
            <w:tcW w:w="0" w:type="auto"/>
            <w:hideMark/>
          </w:tcPr>
          <w:p w14:paraId="2CF0CFBA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Squared value of the age of the household head</w:t>
            </w:r>
          </w:p>
        </w:tc>
        <w:tc>
          <w:tcPr>
            <w:tcW w:w="0" w:type="auto"/>
            <w:hideMark/>
          </w:tcPr>
          <w:p w14:paraId="2D5DEE0F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Continuous</w:t>
            </w:r>
          </w:p>
        </w:tc>
        <w:tc>
          <w:tcPr>
            <w:tcW w:w="0" w:type="auto"/>
            <w:hideMark/>
          </w:tcPr>
          <w:p w14:paraId="078286FA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The nonlinear relationship accounts for diminishing returns of age on the household’s ability to overcome energy poverty as other limitations, such as declining productivity, emerge.</w:t>
            </w:r>
          </w:p>
        </w:tc>
      </w:tr>
      <w:tr w:rsidR="00363611" w:rsidRPr="001C7631" w14:paraId="0771D555" w14:textId="77777777" w:rsidTr="00AF4379">
        <w:tc>
          <w:tcPr>
            <w:tcW w:w="0" w:type="auto"/>
            <w:hideMark/>
          </w:tcPr>
          <w:p w14:paraId="28CEC61D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  <w:t>Poor</w:t>
            </w:r>
          </w:p>
        </w:tc>
        <w:tc>
          <w:tcPr>
            <w:tcW w:w="0" w:type="auto"/>
            <w:hideMark/>
          </w:tcPr>
          <w:p w14:paraId="1F93118A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Poverty status of the household</w:t>
            </w:r>
          </w:p>
        </w:tc>
        <w:tc>
          <w:tcPr>
            <w:tcW w:w="0" w:type="auto"/>
            <w:hideMark/>
          </w:tcPr>
          <w:p w14:paraId="6814AE27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Poor, Non-Poor</w:t>
            </w:r>
          </w:p>
        </w:tc>
        <w:tc>
          <w:tcPr>
            <w:tcW w:w="0" w:type="auto"/>
            <w:hideMark/>
          </w:tcPr>
          <w:p w14:paraId="7C69F1E5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Lower-income households face restricted access to cost-effective energy solutions and financial services, increasing their vulnerability to energy poverty.</w:t>
            </w:r>
          </w:p>
        </w:tc>
      </w:tr>
      <w:tr w:rsidR="00363611" w:rsidRPr="001C7631" w14:paraId="03AB1392" w14:textId="77777777" w:rsidTr="00AF4379">
        <w:tc>
          <w:tcPr>
            <w:tcW w:w="0" w:type="auto"/>
            <w:hideMark/>
          </w:tcPr>
          <w:p w14:paraId="3511CA2A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  <w:t>Education</w:t>
            </w:r>
          </w:p>
        </w:tc>
        <w:tc>
          <w:tcPr>
            <w:tcW w:w="0" w:type="auto"/>
            <w:hideMark/>
          </w:tcPr>
          <w:p w14:paraId="06856E26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Educational attainment of the household head</w:t>
            </w:r>
          </w:p>
        </w:tc>
        <w:tc>
          <w:tcPr>
            <w:tcW w:w="0" w:type="auto"/>
            <w:hideMark/>
          </w:tcPr>
          <w:p w14:paraId="47DF66D2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Educated, Not Educated</w:t>
            </w:r>
          </w:p>
        </w:tc>
        <w:tc>
          <w:tcPr>
            <w:tcW w:w="0" w:type="auto"/>
            <w:hideMark/>
          </w:tcPr>
          <w:p w14:paraId="607856E9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 xml:space="preserve">Higher levels of education are associated with improved financial literacy, access to formal financial services, and adoption of energy-efficient </w:t>
            </w:r>
            <w:r w:rsidRPr="001C7631">
              <w:rPr>
                <w:rFonts w:ascii="Arial" w:eastAsia="Times New Roman" w:hAnsi="Arial" w:cs="Arial"/>
                <w:sz w:val="24"/>
                <w:szCs w:val="24"/>
                <w:lang w:val="en-GB"/>
              </w:rPr>
              <w:lastRenderedPageBreak/>
              <w:t>technologies, reducing energy poverty risks.</w:t>
            </w:r>
          </w:p>
        </w:tc>
      </w:tr>
      <w:tr w:rsidR="00363611" w:rsidRPr="001C7631" w14:paraId="7FDBE877" w14:textId="77777777" w:rsidTr="00AF4379">
        <w:tc>
          <w:tcPr>
            <w:tcW w:w="0" w:type="auto"/>
            <w:hideMark/>
          </w:tcPr>
          <w:p w14:paraId="551A833B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  <w:lastRenderedPageBreak/>
              <w:t>Married</w:t>
            </w:r>
          </w:p>
        </w:tc>
        <w:tc>
          <w:tcPr>
            <w:tcW w:w="0" w:type="auto"/>
            <w:hideMark/>
          </w:tcPr>
          <w:p w14:paraId="75295B4D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Marital status of the household head</w:t>
            </w:r>
          </w:p>
        </w:tc>
        <w:tc>
          <w:tcPr>
            <w:tcW w:w="0" w:type="auto"/>
            <w:hideMark/>
          </w:tcPr>
          <w:p w14:paraId="4EA09641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Married, Unmarried</w:t>
            </w:r>
          </w:p>
        </w:tc>
        <w:tc>
          <w:tcPr>
            <w:tcW w:w="0" w:type="auto"/>
            <w:hideMark/>
          </w:tcPr>
          <w:p w14:paraId="01B10A11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Marital status can influence household decision-making dynamics and resource allocation, potentially impacting financial inclusion and energy use.</w:t>
            </w:r>
          </w:p>
        </w:tc>
      </w:tr>
      <w:tr w:rsidR="00363611" w:rsidRPr="001C7631" w14:paraId="2D027759" w14:textId="77777777" w:rsidTr="00AF4379">
        <w:tc>
          <w:tcPr>
            <w:tcW w:w="0" w:type="auto"/>
            <w:hideMark/>
          </w:tcPr>
          <w:p w14:paraId="32722993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  <w:t>Household Size</w:t>
            </w:r>
          </w:p>
        </w:tc>
        <w:tc>
          <w:tcPr>
            <w:tcW w:w="0" w:type="auto"/>
            <w:hideMark/>
          </w:tcPr>
          <w:p w14:paraId="60B1BF0C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Number of individuals in the household</w:t>
            </w:r>
          </w:p>
        </w:tc>
        <w:tc>
          <w:tcPr>
            <w:tcW w:w="0" w:type="auto"/>
            <w:hideMark/>
          </w:tcPr>
          <w:p w14:paraId="1DFB169D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Continuous</w:t>
            </w:r>
          </w:p>
        </w:tc>
        <w:tc>
          <w:tcPr>
            <w:tcW w:w="0" w:type="auto"/>
            <w:hideMark/>
          </w:tcPr>
          <w:p w14:paraId="449F440D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Larger households often face greater energy consumption needs and resource constraints, which may increase their risk of energy poverty.</w:t>
            </w:r>
          </w:p>
        </w:tc>
      </w:tr>
      <w:tr w:rsidR="00363611" w:rsidRPr="001C7631" w14:paraId="07D494D4" w14:textId="77777777" w:rsidTr="00AF4379">
        <w:tc>
          <w:tcPr>
            <w:tcW w:w="0" w:type="auto"/>
            <w:hideMark/>
          </w:tcPr>
          <w:p w14:paraId="52A955E4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  <w:t>Employed</w:t>
            </w:r>
          </w:p>
        </w:tc>
        <w:tc>
          <w:tcPr>
            <w:tcW w:w="0" w:type="auto"/>
            <w:hideMark/>
          </w:tcPr>
          <w:p w14:paraId="4550ED62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Employment status of the household head</w:t>
            </w:r>
          </w:p>
        </w:tc>
        <w:tc>
          <w:tcPr>
            <w:tcW w:w="0" w:type="auto"/>
            <w:hideMark/>
          </w:tcPr>
          <w:p w14:paraId="4CAFB579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Employed, Unemployed</w:t>
            </w:r>
          </w:p>
        </w:tc>
        <w:tc>
          <w:tcPr>
            <w:tcW w:w="0" w:type="auto"/>
            <w:hideMark/>
          </w:tcPr>
          <w:p w14:paraId="0BD1B9E1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Employment provides financial stability, enhancing access to energy-efficient technologies and financial services, mitigating the likelihood of energy poverty.</w:t>
            </w:r>
          </w:p>
        </w:tc>
      </w:tr>
      <w:tr w:rsidR="00363611" w:rsidRPr="001C7631" w14:paraId="24402E55" w14:textId="77777777" w:rsidTr="00AF4379">
        <w:tc>
          <w:tcPr>
            <w:tcW w:w="0" w:type="auto"/>
            <w:hideMark/>
          </w:tcPr>
          <w:p w14:paraId="015E4350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  <w:t>Financial Inclusion</w:t>
            </w:r>
          </w:p>
        </w:tc>
        <w:tc>
          <w:tcPr>
            <w:tcW w:w="0" w:type="auto"/>
            <w:hideMark/>
          </w:tcPr>
          <w:p w14:paraId="184913AE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Financial inclusion status of the household</w:t>
            </w:r>
          </w:p>
        </w:tc>
        <w:tc>
          <w:tcPr>
            <w:tcW w:w="0" w:type="auto"/>
            <w:hideMark/>
          </w:tcPr>
          <w:p w14:paraId="4684B5DB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Financially Included, Excluded</w:t>
            </w:r>
          </w:p>
        </w:tc>
        <w:tc>
          <w:tcPr>
            <w:tcW w:w="0" w:type="auto"/>
            <w:hideMark/>
          </w:tcPr>
          <w:p w14:paraId="6C416803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Access to formal financial services enables households to manage energy expenditures better and adopt energy-efficient technologies, reducing energy poverty risks.</w:t>
            </w:r>
          </w:p>
        </w:tc>
      </w:tr>
      <w:tr w:rsidR="00363611" w:rsidRPr="001C7631" w14:paraId="107E655D" w14:textId="77777777" w:rsidTr="00AF4379">
        <w:tc>
          <w:tcPr>
            <w:tcW w:w="0" w:type="auto"/>
            <w:hideMark/>
          </w:tcPr>
          <w:p w14:paraId="4D3E3471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  <w:t>Energy Poverty Dummy</w:t>
            </w:r>
          </w:p>
        </w:tc>
        <w:tc>
          <w:tcPr>
            <w:tcW w:w="0" w:type="auto"/>
            <w:hideMark/>
          </w:tcPr>
          <w:p w14:paraId="666EAA6A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Classification of households based on energy poverty status</w:t>
            </w:r>
          </w:p>
        </w:tc>
        <w:tc>
          <w:tcPr>
            <w:tcW w:w="0" w:type="auto"/>
            <w:hideMark/>
          </w:tcPr>
          <w:p w14:paraId="3E8C9CC5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Energy Poor, Non-Poor</w:t>
            </w:r>
          </w:p>
        </w:tc>
        <w:tc>
          <w:tcPr>
            <w:tcW w:w="0" w:type="auto"/>
            <w:hideMark/>
          </w:tcPr>
          <w:p w14:paraId="3366F980" w14:textId="77777777" w:rsidR="00363611" w:rsidRPr="001C7631" w:rsidRDefault="00363611" w:rsidP="00AF4379">
            <w:pPr>
              <w:spacing w:after="160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1C7631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Energy poverty is directly linked to a household’s access to modern energy services and infrastructure, reflecting broader socio-economic disparities.</w:t>
            </w:r>
          </w:p>
        </w:tc>
      </w:tr>
    </w:tbl>
    <w:p w14:paraId="5C036DA9" w14:textId="77777777" w:rsidR="00363611" w:rsidRPr="001C7631" w:rsidRDefault="00363611" w:rsidP="00363611">
      <w:pPr>
        <w:spacing w:line="24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14:paraId="0A92D42C" w14:textId="77777777" w:rsidR="00363611" w:rsidRPr="001C7631" w:rsidRDefault="00363611" w:rsidP="00363611">
      <w:pPr>
        <w:spacing w:line="24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14:paraId="3DE2656A" w14:textId="77777777" w:rsidR="00363611" w:rsidRPr="001C7631" w:rsidRDefault="00363611" w:rsidP="00363611">
      <w:pPr>
        <w:pStyle w:val="Heading3"/>
        <w:spacing w:before="0" w:after="0"/>
        <w:rPr>
          <w:rFonts w:ascii="Arial" w:hAnsi="Arial" w:cs="Arial"/>
        </w:rPr>
      </w:pPr>
      <w:r w:rsidRPr="001C7631">
        <w:rPr>
          <w:rFonts w:ascii="Arial" w:hAnsi="Arial" w:cs="Arial"/>
        </w:rPr>
        <w:t>Table A2: Informal Sector Definition and Indicators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55"/>
        <w:gridCol w:w="6295"/>
      </w:tblGrid>
      <w:tr w:rsidR="00363611" w:rsidRPr="001C7631" w14:paraId="2646C451" w14:textId="77777777" w:rsidTr="00AF4379">
        <w:tc>
          <w:tcPr>
            <w:tcW w:w="0" w:type="auto"/>
            <w:hideMark/>
          </w:tcPr>
          <w:p w14:paraId="31596DA6" w14:textId="77777777" w:rsidR="00363611" w:rsidRPr="001C7631" w:rsidRDefault="00363611" w:rsidP="00AF437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C7631">
              <w:rPr>
                <w:rStyle w:val="Strong"/>
                <w:rFonts w:ascii="Arial" w:hAnsi="Arial" w:cs="Arial"/>
                <w:sz w:val="24"/>
                <w:szCs w:val="24"/>
              </w:rPr>
              <w:t>Indicator</w:t>
            </w:r>
          </w:p>
        </w:tc>
        <w:tc>
          <w:tcPr>
            <w:tcW w:w="0" w:type="auto"/>
            <w:hideMark/>
          </w:tcPr>
          <w:p w14:paraId="4ED0407C" w14:textId="77777777" w:rsidR="00363611" w:rsidRPr="001C7631" w:rsidRDefault="00363611" w:rsidP="00AF437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C7631">
              <w:rPr>
                <w:rStyle w:val="Strong"/>
                <w:rFonts w:ascii="Arial" w:hAnsi="Arial" w:cs="Arial"/>
                <w:sz w:val="24"/>
                <w:szCs w:val="24"/>
              </w:rPr>
              <w:t>Description</w:t>
            </w:r>
          </w:p>
        </w:tc>
      </w:tr>
      <w:tr w:rsidR="00363611" w:rsidRPr="001C7631" w14:paraId="468A9806" w14:textId="77777777" w:rsidTr="00AF4379">
        <w:tc>
          <w:tcPr>
            <w:tcW w:w="0" w:type="auto"/>
            <w:hideMark/>
          </w:tcPr>
          <w:p w14:paraId="03E62727" w14:textId="77777777" w:rsidR="00363611" w:rsidRPr="001C7631" w:rsidRDefault="00363611" w:rsidP="00AF4379">
            <w:pPr>
              <w:rPr>
                <w:rFonts w:ascii="Arial" w:hAnsi="Arial" w:cs="Arial"/>
                <w:sz w:val="24"/>
                <w:szCs w:val="24"/>
              </w:rPr>
            </w:pPr>
            <w:r w:rsidRPr="001C7631">
              <w:rPr>
                <w:rStyle w:val="Strong"/>
                <w:rFonts w:ascii="Arial" w:hAnsi="Arial" w:cs="Arial"/>
                <w:sz w:val="24"/>
                <w:szCs w:val="24"/>
              </w:rPr>
              <w:t>Written Contracts</w:t>
            </w:r>
          </w:p>
        </w:tc>
        <w:tc>
          <w:tcPr>
            <w:tcW w:w="0" w:type="auto"/>
            <w:hideMark/>
          </w:tcPr>
          <w:p w14:paraId="2F78C0D6" w14:textId="77777777" w:rsidR="00363611" w:rsidRPr="001C7631" w:rsidRDefault="00363611" w:rsidP="00AF4379">
            <w:pPr>
              <w:rPr>
                <w:rFonts w:ascii="Arial" w:hAnsi="Arial" w:cs="Arial"/>
                <w:sz w:val="24"/>
                <w:szCs w:val="24"/>
              </w:rPr>
            </w:pPr>
            <w:r w:rsidRPr="001C7631">
              <w:rPr>
                <w:rFonts w:ascii="Arial" w:hAnsi="Arial" w:cs="Arial"/>
                <w:sz w:val="24"/>
                <w:szCs w:val="24"/>
              </w:rPr>
              <w:t>Household heads without formal written contracts indicating job security.</w:t>
            </w:r>
          </w:p>
        </w:tc>
      </w:tr>
      <w:tr w:rsidR="00363611" w:rsidRPr="001C7631" w14:paraId="17F03897" w14:textId="77777777" w:rsidTr="00AF4379">
        <w:tc>
          <w:tcPr>
            <w:tcW w:w="0" w:type="auto"/>
            <w:hideMark/>
          </w:tcPr>
          <w:p w14:paraId="4DF7068E" w14:textId="77777777" w:rsidR="00363611" w:rsidRPr="001C7631" w:rsidRDefault="00363611" w:rsidP="00AF4379">
            <w:pPr>
              <w:rPr>
                <w:rFonts w:ascii="Arial" w:hAnsi="Arial" w:cs="Arial"/>
                <w:sz w:val="24"/>
                <w:szCs w:val="24"/>
              </w:rPr>
            </w:pPr>
            <w:r w:rsidRPr="001C7631">
              <w:rPr>
                <w:rStyle w:val="Strong"/>
                <w:rFonts w:ascii="Arial" w:hAnsi="Arial" w:cs="Arial"/>
                <w:sz w:val="24"/>
                <w:szCs w:val="24"/>
              </w:rPr>
              <w:t>Social Security Benefits</w:t>
            </w:r>
          </w:p>
        </w:tc>
        <w:tc>
          <w:tcPr>
            <w:tcW w:w="0" w:type="auto"/>
            <w:hideMark/>
          </w:tcPr>
          <w:p w14:paraId="18C35067" w14:textId="77777777" w:rsidR="00363611" w:rsidRPr="001C7631" w:rsidRDefault="00363611" w:rsidP="00AF4379">
            <w:pPr>
              <w:rPr>
                <w:rFonts w:ascii="Arial" w:hAnsi="Arial" w:cs="Arial"/>
                <w:sz w:val="24"/>
                <w:szCs w:val="24"/>
              </w:rPr>
            </w:pPr>
            <w:r w:rsidRPr="001C7631">
              <w:rPr>
                <w:rFonts w:ascii="Arial" w:hAnsi="Arial" w:cs="Arial"/>
                <w:sz w:val="24"/>
                <w:szCs w:val="24"/>
              </w:rPr>
              <w:t>Household heads lacking entitlement to social security benefits.</w:t>
            </w:r>
          </w:p>
        </w:tc>
      </w:tr>
      <w:tr w:rsidR="00363611" w:rsidRPr="001C7631" w14:paraId="1F07F18F" w14:textId="77777777" w:rsidTr="00AF4379">
        <w:tc>
          <w:tcPr>
            <w:tcW w:w="0" w:type="auto"/>
            <w:hideMark/>
          </w:tcPr>
          <w:p w14:paraId="75B7C308" w14:textId="77777777" w:rsidR="00363611" w:rsidRPr="001C7631" w:rsidRDefault="00363611" w:rsidP="00AF4379">
            <w:pPr>
              <w:rPr>
                <w:rFonts w:ascii="Arial" w:hAnsi="Arial" w:cs="Arial"/>
                <w:sz w:val="24"/>
                <w:szCs w:val="24"/>
              </w:rPr>
            </w:pPr>
            <w:r w:rsidRPr="001C7631">
              <w:rPr>
                <w:rStyle w:val="Strong"/>
                <w:rFonts w:ascii="Arial" w:hAnsi="Arial" w:cs="Arial"/>
                <w:sz w:val="24"/>
                <w:szCs w:val="24"/>
              </w:rPr>
              <w:t>Paid Sick Leave/Maternity Leave</w:t>
            </w:r>
          </w:p>
        </w:tc>
        <w:tc>
          <w:tcPr>
            <w:tcW w:w="0" w:type="auto"/>
            <w:hideMark/>
          </w:tcPr>
          <w:p w14:paraId="25C2035E" w14:textId="77777777" w:rsidR="00363611" w:rsidRPr="001C7631" w:rsidRDefault="00363611" w:rsidP="00AF4379">
            <w:pPr>
              <w:rPr>
                <w:rFonts w:ascii="Arial" w:hAnsi="Arial" w:cs="Arial"/>
                <w:sz w:val="24"/>
                <w:szCs w:val="24"/>
              </w:rPr>
            </w:pPr>
            <w:r w:rsidRPr="001C7631">
              <w:rPr>
                <w:rFonts w:ascii="Arial" w:hAnsi="Arial" w:cs="Arial"/>
                <w:sz w:val="24"/>
                <w:szCs w:val="24"/>
              </w:rPr>
              <w:t>Household heads without access to paid sick leave, maternity leave, or holidays.</w:t>
            </w:r>
          </w:p>
        </w:tc>
      </w:tr>
      <w:tr w:rsidR="00363611" w:rsidRPr="001C7631" w14:paraId="26106C8D" w14:textId="77777777" w:rsidTr="00AF4379">
        <w:tc>
          <w:tcPr>
            <w:tcW w:w="0" w:type="auto"/>
            <w:hideMark/>
          </w:tcPr>
          <w:p w14:paraId="0ECACE93" w14:textId="77777777" w:rsidR="00363611" w:rsidRPr="001C7631" w:rsidRDefault="00363611" w:rsidP="00AF4379">
            <w:pPr>
              <w:rPr>
                <w:rFonts w:ascii="Arial" w:hAnsi="Arial" w:cs="Arial"/>
                <w:sz w:val="24"/>
                <w:szCs w:val="24"/>
              </w:rPr>
            </w:pPr>
            <w:r w:rsidRPr="001C7631">
              <w:rPr>
                <w:rStyle w:val="Strong"/>
                <w:rFonts w:ascii="Arial" w:hAnsi="Arial" w:cs="Arial"/>
                <w:sz w:val="24"/>
                <w:szCs w:val="24"/>
              </w:rPr>
              <w:lastRenderedPageBreak/>
              <w:t>Length of Employment</w:t>
            </w:r>
          </w:p>
        </w:tc>
        <w:tc>
          <w:tcPr>
            <w:tcW w:w="0" w:type="auto"/>
            <w:hideMark/>
          </w:tcPr>
          <w:p w14:paraId="156385CB" w14:textId="77777777" w:rsidR="00363611" w:rsidRPr="001C7631" w:rsidRDefault="00363611" w:rsidP="00AF4379">
            <w:pPr>
              <w:rPr>
                <w:rFonts w:ascii="Arial" w:hAnsi="Arial" w:cs="Arial"/>
                <w:sz w:val="24"/>
                <w:szCs w:val="24"/>
              </w:rPr>
            </w:pPr>
            <w:r w:rsidRPr="001C7631">
              <w:rPr>
                <w:rFonts w:ascii="Arial" w:hAnsi="Arial" w:cs="Arial"/>
                <w:sz w:val="24"/>
                <w:szCs w:val="24"/>
              </w:rPr>
              <w:t>Temporary or non-permanent employment status.</w:t>
            </w:r>
          </w:p>
        </w:tc>
      </w:tr>
      <w:tr w:rsidR="00363611" w:rsidRPr="001C7631" w14:paraId="758B9AC6" w14:textId="77777777" w:rsidTr="00AF4379">
        <w:tc>
          <w:tcPr>
            <w:tcW w:w="0" w:type="auto"/>
            <w:hideMark/>
          </w:tcPr>
          <w:p w14:paraId="5F2132B7" w14:textId="77777777" w:rsidR="00363611" w:rsidRPr="001C7631" w:rsidRDefault="00363611" w:rsidP="00AF4379">
            <w:pPr>
              <w:rPr>
                <w:rFonts w:ascii="Arial" w:hAnsi="Arial" w:cs="Arial"/>
                <w:sz w:val="24"/>
                <w:szCs w:val="24"/>
              </w:rPr>
            </w:pPr>
            <w:r w:rsidRPr="001C7631">
              <w:rPr>
                <w:rStyle w:val="Strong"/>
                <w:rFonts w:ascii="Arial" w:hAnsi="Arial" w:cs="Arial"/>
                <w:sz w:val="24"/>
                <w:szCs w:val="24"/>
              </w:rPr>
              <w:t>Subsidized Medical Care</w:t>
            </w:r>
          </w:p>
        </w:tc>
        <w:tc>
          <w:tcPr>
            <w:tcW w:w="0" w:type="auto"/>
            <w:hideMark/>
          </w:tcPr>
          <w:p w14:paraId="17A379FD" w14:textId="77777777" w:rsidR="00363611" w:rsidRPr="001C7631" w:rsidRDefault="00363611" w:rsidP="00AF4379">
            <w:pPr>
              <w:rPr>
                <w:rFonts w:ascii="Arial" w:hAnsi="Arial" w:cs="Arial"/>
                <w:sz w:val="24"/>
                <w:szCs w:val="24"/>
              </w:rPr>
            </w:pPr>
            <w:r w:rsidRPr="001C7631">
              <w:rPr>
                <w:rFonts w:ascii="Arial" w:hAnsi="Arial" w:cs="Arial"/>
                <w:sz w:val="24"/>
                <w:szCs w:val="24"/>
              </w:rPr>
              <w:t>Household heads without access to free or subsidized medical care through their employment.</w:t>
            </w:r>
          </w:p>
        </w:tc>
      </w:tr>
    </w:tbl>
    <w:p w14:paraId="07BDA328" w14:textId="77777777" w:rsidR="00363611" w:rsidRPr="001C7631" w:rsidRDefault="00363611" w:rsidP="00363611">
      <w:pPr>
        <w:spacing w:line="24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14:paraId="1128E783" w14:textId="77777777" w:rsidR="00363611" w:rsidRPr="001C7631" w:rsidRDefault="00363611" w:rsidP="00363611">
      <w:pPr>
        <w:spacing w:line="24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14:paraId="694645FC" w14:textId="77777777" w:rsidR="00363611" w:rsidRPr="001C7631" w:rsidRDefault="00363611" w:rsidP="00363611">
      <w:pPr>
        <w:spacing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8B1501">
        <w:rPr>
          <w:rFonts w:ascii="Arial" w:eastAsia="Times New Roman" w:hAnsi="Arial" w:cs="Arial"/>
          <w:b/>
          <w:bCs/>
          <w:sz w:val="24"/>
          <w:szCs w:val="24"/>
        </w:rPr>
        <w:t>Table A3: Regression Diagnostics and Robustness Checks for the Instrumental Variable Model</w:t>
      </w:r>
      <w:r w:rsidRPr="001C7631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47F7B3A1" wp14:editId="04B31496">
            <wp:extent cx="5943600" cy="1656715"/>
            <wp:effectExtent l="0" t="0" r="0" b="0"/>
            <wp:docPr id="21249149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656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6D61F1" w14:textId="77777777" w:rsidR="00F553FF" w:rsidRDefault="00F553FF"/>
    <w:sectPr w:rsidR="00F553FF" w:rsidSect="00363611">
      <w:pgSz w:w="12240" w:h="15840"/>
      <w:pgMar w:top="1440" w:right="1440" w:bottom="1135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611"/>
    <w:rsid w:val="00363611"/>
    <w:rsid w:val="003C2EF4"/>
    <w:rsid w:val="005D764D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BC330A"/>
  <w15:chartTrackingRefBased/>
  <w15:docId w15:val="{53101B56-EA8D-475B-8892-394D28391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3611"/>
    <w:pPr>
      <w:spacing w:line="259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6361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361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6361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361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361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361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361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361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361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36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36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636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36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36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36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36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36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36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36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636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361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636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3611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636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3611"/>
    <w:pPr>
      <w:spacing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636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36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36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361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63611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36361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495</Words>
  <Characters>2827</Characters>
  <Application>Microsoft Office Word</Application>
  <DocSecurity>0</DocSecurity>
  <Lines>23</Lines>
  <Paragraphs>6</Paragraphs>
  <ScaleCrop>false</ScaleCrop>
  <Company>Springer Nature</Company>
  <LinksUpToDate>false</LinksUpToDate>
  <CharactersWithSpaces>3316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2025-05-13T11:20:00Z</dcterms:created>
  <dcterms:modified xsi:type="dcterms:W3CDTF">2025-05-13T11:20:00Z</dcterms:modified>
</cp:coreProperties>
</file>