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67DB18" w14:textId="77777777" w:rsidR="000E7E0C" w:rsidRDefault="000E7E0C" w:rsidP="000E7E0C">
      <w:pPr>
        <w:spacing w:after="24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</w:pPr>
      <w:r w:rsidRPr="008B14F9">
        <w:rPr>
          <w:noProof/>
          <w:color w:val="000000" w:themeColor="text1"/>
          <w:sz w:val="28"/>
          <w:szCs w:val="28"/>
        </w:rPr>
        <w:drawing>
          <wp:inline distT="0" distB="0" distL="0" distR="0" wp14:anchorId="3E1C7077" wp14:editId="64134D89">
            <wp:extent cx="5630779" cy="2858770"/>
            <wp:effectExtent l="0" t="0" r="8255" b="17780"/>
            <wp:docPr id="36" name="Chart 36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4"/>
              </a:graphicData>
            </a:graphic>
          </wp:inline>
        </w:drawing>
      </w:r>
    </w:p>
    <w:p w14:paraId="524D1BC8" w14:textId="77777777" w:rsidR="000E7E0C" w:rsidRDefault="000E7E0C" w:rsidP="000E7E0C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Graph 1: </w:t>
      </w:r>
      <w:r w:rsidRPr="00A031E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Correlation Analysis of pathologic alteration in condylar morphology in single and in both joints in bruxers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</w:t>
      </w:r>
      <w:r w:rsidRPr="00CE1C4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A031E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A – Absent; P – Pathologic alterations</w:t>
      </w:r>
    </w:p>
    <w:p w14:paraId="732FAF5B" w14:textId="77777777" w:rsidR="000E7E0C" w:rsidRDefault="000E7E0C" w:rsidP="000E7E0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B14F9">
        <w:rPr>
          <w:noProof/>
          <w:color w:val="000000" w:themeColor="text1"/>
          <w:sz w:val="28"/>
          <w:szCs w:val="28"/>
        </w:rPr>
        <w:drawing>
          <wp:inline distT="0" distB="0" distL="0" distR="0" wp14:anchorId="53926579" wp14:editId="324BB198">
            <wp:extent cx="5524901" cy="2993457"/>
            <wp:effectExtent l="0" t="0" r="0" b="16510"/>
            <wp:docPr id="38" name="Chart 38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5"/>
              </a:graphicData>
            </a:graphic>
          </wp:inline>
        </w:drawing>
      </w:r>
    </w:p>
    <w:p w14:paraId="07671EE3" w14:textId="77777777" w:rsidR="000E7E0C" w:rsidRPr="00A031E6" w:rsidRDefault="000E7E0C" w:rsidP="000E7E0C">
      <w:pPr>
        <w:spacing w:after="0"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Graph 2: </w:t>
      </w:r>
      <w:r w:rsidRPr="00A031E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Correlation Analysis of pathologic alteration in condylar morphology in single and in both joints in 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non-</w:t>
      </w:r>
      <w:r w:rsidRPr="00A031E6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bruxers</w:t>
      </w:r>
      <w:r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>,</w:t>
      </w:r>
      <w:r w:rsidRPr="00CE1C45">
        <w:rPr>
          <w:rFonts w:ascii="Times New Roman" w:hAnsi="Times New Roman" w:cs="Times New Roman"/>
          <w:color w:val="000000" w:themeColor="text1"/>
          <w:sz w:val="24"/>
          <w:szCs w:val="24"/>
          <w:vertAlign w:val="superscript"/>
        </w:rPr>
        <w:t xml:space="preserve"> </w:t>
      </w:r>
      <w:r w:rsidRPr="00A031E6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vertAlign w:val="superscript"/>
        </w:rPr>
        <w:t>A – Absent; P – Pathologic alterations</w:t>
      </w:r>
    </w:p>
    <w:p w14:paraId="1A18A270" w14:textId="77777777" w:rsidR="000E7E0C" w:rsidRPr="00A031E6" w:rsidRDefault="000E7E0C" w:rsidP="000E7E0C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6FA4F7" w14:textId="77777777" w:rsidR="00A91650" w:rsidRDefault="00A91650"/>
    <w:sectPr w:rsidR="00A9165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E7E0C"/>
    <w:rsid w:val="000E2EDD"/>
    <w:rsid w:val="000E7E0C"/>
    <w:rsid w:val="00A91650"/>
    <w:rsid w:val="00CE1994"/>
    <w:rsid w:val="00E559FE"/>
    <w:rsid w:val="00E6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E7CBAC"/>
  <w15:chartTrackingRefBased/>
  <w15:docId w15:val="{3FE42C6B-AB0E-4569-8099-BC41F14544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E7E0C"/>
    <w:pPr>
      <w:spacing w:line="259" w:lineRule="auto"/>
    </w:pPr>
    <w:rPr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0E7E0C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IN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E7E0C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IN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E7E0C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:lang w:val="en-IN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E7E0C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E7E0C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E7E0C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E7E0C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kern w:val="2"/>
      <w:sz w:val="24"/>
      <w:szCs w:val="24"/>
      <w:lang w:val="en-IN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E7E0C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kern w:val="2"/>
      <w:sz w:val="24"/>
      <w:szCs w:val="24"/>
      <w:lang w:val="en-IN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E7E0C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kern w:val="2"/>
      <w:sz w:val="24"/>
      <w:szCs w:val="24"/>
      <w:lang w:val="en-IN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E7E0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E7E0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E7E0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E7E0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E7E0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E7E0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E7E0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E7E0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E7E0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E7E0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IN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0E7E0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E7E0C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IN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0E7E0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E7E0C"/>
    <w:pPr>
      <w:spacing w:before="160" w:line="278" w:lineRule="auto"/>
      <w:jc w:val="center"/>
    </w:pPr>
    <w:rPr>
      <w:i/>
      <w:iCs/>
      <w:color w:val="404040" w:themeColor="text1" w:themeTint="BF"/>
      <w:kern w:val="2"/>
      <w:sz w:val="24"/>
      <w:szCs w:val="24"/>
      <w:lang w:val="en-IN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0E7E0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E7E0C"/>
    <w:pPr>
      <w:spacing w:line="278" w:lineRule="auto"/>
      <w:ind w:left="720"/>
      <w:contextualSpacing/>
    </w:pPr>
    <w:rPr>
      <w:kern w:val="2"/>
      <w:sz w:val="24"/>
      <w:szCs w:val="24"/>
      <w:lang w:val="en-IN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0E7E0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E7E0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kern w:val="2"/>
      <w:sz w:val="24"/>
      <w:szCs w:val="24"/>
      <w:lang w:val="en-IN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E7E0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E7E0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chart" Target="charts/chart2.xml"/><Relationship Id="rId4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Tiwari%20ODMR\Thesis%20mastersheet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file:///C:\Users\USER\Desktop\Tiwari%20ODMR\Thesis%20mastersheet.xlsx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Sheet3!$H$133</c:f>
              <c:strCache>
                <c:ptCount val="1"/>
                <c:pt idx="0">
                  <c:v>A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1.413427561837456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171D-43D2-A1E2-84C7ABF498C8}"/>
                </c:ext>
              </c:extLst>
            </c:dLbl>
            <c:dLbl>
              <c:idx val="1"/>
              <c:layout>
                <c:manualLayout>
                  <c:x val="1.177856301531213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171D-43D2-A1E2-84C7ABF498C8}"/>
                </c:ext>
              </c:extLst>
            </c:dLbl>
            <c:dLbl>
              <c:idx val="2"/>
              <c:layout>
                <c:manualLayout>
                  <c:x val="9.4228504122497066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171D-43D2-A1E2-84C7ABF498C8}"/>
                </c:ext>
              </c:extLst>
            </c:dLbl>
            <c:dLbl>
              <c:idx val="3"/>
              <c:layout>
                <c:manualLayout>
                  <c:x val="1.413427561837456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171D-43D2-A1E2-84C7ABF498C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Sheet3!$G$134:$G$137</c:f>
              <c:strCache>
                <c:ptCount val="4"/>
                <c:pt idx="0">
                  <c:v>Flattening</c:v>
                </c:pt>
                <c:pt idx="1">
                  <c:v>Osteophyte</c:v>
                </c:pt>
                <c:pt idx="2">
                  <c:v>Sclerosis</c:v>
                </c:pt>
                <c:pt idx="3">
                  <c:v>Surface Erosion</c:v>
                </c:pt>
              </c:strCache>
            </c:strRef>
          </c:cat>
          <c:val>
            <c:numRef>
              <c:f>Sheet3!$H$134:$H$137</c:f>
              <c:numCache>
                <c:formatCode>0%</c:formatCode>
                <c:ptCount val="4"/>
                <c:pt idx="0">
                  <c:v>0.68</c:v>
                </c:pt>
                <c:pt idx="1">
                  <c:v>0.78</c:v>
                </c:pt>
                <c:pt idx="2">
                  <c:v>0.62000000000000011</c:v>
                </c:pt>
                <c:pt idx="3">
                  <c:v>0.92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171D-43D2-A1E2-84C7ABF498C8}"/>
            </c:ext>
          </c:extLst>
        </c:ser>
        <c:ser>
          <c:idx val="1"/>
          <c:order val="1"/>
          <c:tx>
            <c:strRef>
              <c:f>Sheet3!$I$133</c:f>
              <c:strCache>
                <c:ptCount val="1"/>
                <c:pt idx="0">
                  <c:v>P(1 joint)</c:v>
                </c:pt>
              </c:strCache>
            </c:strRef>
          </c:tx>
          <c:spPr>
            <a:solidFill>
              <a:srgbClr val="FF6600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9.4228504122497066E-3"/>
                  <c:y val="4.301075268817203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171D-43D2-A1E2-84C7ABF498C8}"/>
                </c:ext>
              </c:extLst>
            </c:dLbl>
            <c:dLbl>
              <c:idx val="1"/>
              <c:layout>
                <c:manualLayout>
                  <c:x val="1.8845700824499413E-2"/>
                  <c:y val="4.301075268817203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171D-43D2-A1E2-84C7ABF498C8}"/>
                </c:ext>
              </c:extLst>
            </c:dLbl>
            <c:dLbl>
              <c:idx val="2"/>
              <c:layout>
                <c:manualLayout>
                  <c:x val="7.0671378091872782E-3"/>
                  <c:y val="4.301075268817203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171D-43D2-A1E2-84C7ABF498C8}"/>
                </c:ext>
              </c:extLst>
            </c:dLbl>
            <c:dLbl>
              <c:idx val="3"/>
              <c:layout>
                <c:manualLayout>
                  <c:x val="1.413427561837456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171D-43D2-A1E2-84C7ABF498C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Sheet3!$G$134:$G$137</c:f>
              <c:strCache>
                <c:ptCount val="4"/>
                <c:pt idx="0">
                  <c:v>Flattening</c:v>
                </c:pt>
                <c:pt idx="1">
                  <c:v>Osteophyte</c:v>
                </c:pt>
                <c:pt idx="2">
                  <c:v>Sclerosis</c:v>
                </c:pt>
                <c:pt idx="3">
                  <c:v>Surface Erosion</c:v>
                </c:pt>
              </c:strCache>
            </c:strRef>
          </c:cat>
          <c:val>
            <c:numRef>
              <c:f>Sheet3!$I$134:$I$137</c:f>
              <c:numCache>
                <c:formatCode>0%</c:formatCode>
                <c:ptCount val="4"/>
                <c:pt idx="0">
                  <c:v>0.12000000000000001</c:v>
                </c:pt>
                <c:pt idx="1">
                  <c:v>0.16</c:v>
                </c:pt>
                <c:pt idx="2">
                  <c:v>0.14000000000000001</c:v>
                </c:pt>
                <c:pt idx="3">
                  <c:v>8.0000000000000016E-2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171D-43D2-A1E2-84C7ABF498C8}"/>
            </c:ext>
          </c:extLst>
        </c:ser>
        <c:ser>
          <c:idx val="2"/>
          <c:order val="2"/>
          <c:tx>
            <c:strRef>
              <c:f>Sheet3!$J$133</c:f>
              <c:strCache>
                <c:ptCount val="1"/>
                <c:pt idx="0">
                  <c:v>P(Both joints)</c:v>
                </c:pt>
              </c:strCache>
            </c:strRef>
          </c:tx>
          <c:spPr>
            <a:solidFill>
              <a:srgbClr val="92D050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1.1778563015312138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171D-43D2-A1E2-84C7ABF498C8}"/>
                </c:ext>
              </c:extLst>
            </c:dLbl>
            <c:dLbl>
              <c:idx val="1"/>
              <c:layout>
                <c:manualLayout>
                  <c:x val="1.413427561837456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171D-43D2-A1E2-84C7ABF498C8}"/>
                </c:ext>
              </c:extLst>
            </c:dLbl>
            <c:dLbl>
              <c:idx val="2"/>
              <c:layout>
                <c:manualLayout>
                  <c:x val="1.413427561837456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171D-43D2-A1E2-84C7ABF498C8}"/>
                </c:ext>
              </c:extLst>
            </c:dLbl>
            <c:dLbl>
              <c:idx val="3"/>
              <c:layout>
                <c:manualLayout>
                  <c:x val="1.413427561837456E-2"/>
                  <c:y val="-4.3010752688172034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171D-43D2-A1E2-84C7ABF498C8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Sheet3!$G$134:$G$137</c:f>
              <c:strCache>
                <c:ptCount val="4"/>
                <c:pt idx="0">
                  <c:v>Flattening</c:v>
                </c:pt>
                <c:pt idx="1">
                  <c:v>Osteophyte</c:v>
                </c:pt>
                <c:pt idx="2">
                  <c:v>Sclerosis</c:v>
                </c:pt>
                <c:pt idx="3">
                  <c:v>Surface Erosion</c:v>
                </c:pt>
              </c:strCache>
            </c:strRef>
          </c:cat>
          <c:val>
            <c:numRef>
              <c:f>Sheet3!$J$134:$J$137</c:f>
              <c:numCache>
                <c:formatCode>0%</c:formatCode>
                <c:ptCount val="4"/>
                <c:pt idx="0">
                  <c:v>0.2</c:v>
                </c:pt>
                <c:pt idx="1">
                  <c:v>6.0000000000000005E-2</c:v>
                </c:pt>
                <c:pt idx="2">
                  <c:v>0.24000000000000002</c:v>
                </c:pt>
                <c:pt idx="3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171D-43D2-A1E2-84C7ABF498C8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56148480"/>
        <c:axId val="156150400"/>
        <c:axId val="0"/>
      </c:bar3DChart>
      <c:catAx>
        <c:axId val="156148480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Pathologic Alteration in condylar morphology</a:t>
                </a:r>
              </a:p>
            </c:rich>
          </c:tx>
          <c:layout>
            <c:manualLayout>
              <c:xMode val="edge"/>
              <c:yMode val="edge"/>
              <c:x val="0.31816217319124873"/>
              <c:y val="0.79423791380916098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6150400"/>
        <c:crosses val="autoZero"/>
        <c:auto val="1"/>
        <c:lblAlgn val="ctr"/>
        <c:lblOffset val="100"/>
        <c:noMultiLvlLbl val="0"/>
      </c:catAx>
      <c:valAx>
        <c:axId val="15615040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 of 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614848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1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view3D>
      <c:rotX val="15"/>
      <c:rotY val="20"/>
      <c:depthPercent val="100"/>
      <c:rAngAx val="1"/>
    </c:view3D>
    <c:floor>
      <c:thickness val="0"/>
      <c:spPr>
        <a:noFill/>
        <a:ln>
          <a:noFill/>
        </a:ln>
        <a:effectLst/>
        <a:sp3d/>
      </c:spPr>
    </c:floor>
    <c:sideWall>
      <c:thickness val="0"/>
      <c:spPr>
        <a:noFill/>
        <a:ln>
          <a:noFill/>
        </a:ln>
        <a:effectLst/>
        <a:sp3d/>
      </c:spPr>
    </c:sideWall>
    <c:backWall>
      <c:thickness val="0"/>
      <c:spPr>
        <a:noFill/>
        <a:ln>
          <a:noFill/>
        </a:ln>
        <a:effectLst/>
        <a:sp3d/>
      </c:spPr>
    </c:backWall>
    <c:plotArea>
      <c:layout/>
      <c:bar3DChart>
        <c:barDir val="col"/>
        <c:grouping val="clustered"/>
        <c:varyColors val="0"/>
        <c:ser>
          <c:idx val="0"/>
          <c:order val="0"/>
          <c:tx>
            <c:strRef>
              <c:f>Sheet3!$B$151</c:f>
              <c:strCache>
                <c:ptCount val="1"/>
                <c:pt idx="0">
                  <c:v>A</c:v>
                </c:pt>
              </c:strCache>
            </c:strRef>
          </c:tx>
          <c:spPr>
            <a:solidFill>
              <a:srgbClr val="0070C0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1.1926058437686347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0-4BDA-4725-A194-A58F12FA4A80}"/>
                </c:ext>
              </c:extLst>
            </c:dLbl>
            <c:dLbl>
              <c:idx val="1"/>
              <c:layout>
                <c:manualLayout>
                  <c:x val="1.1926058437686347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1-4BDA-4725-A194-A58F12FA4A80}"/>
                </c:ext>
              </c:extLst>
            </c:dLbl>
            <c:dLbl>
              <c:idx val="2"/>
              <c:layout>
                <c:manualLayout>
                  <c:x val="1.1926058437686347E-2"/>
                  <c:y val="-8.385744234800846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2-4BDA-4725-A194-A58F12FA4A80}"/>
                </c:ext>
              </c:extLst>
            </c:dLbl>
            <c:dLbl>
              <c:idx val="3"/>
              <c:layout>
                <c:manualLayout>
                  <c:x val="1.1926058437686437E-2"/>
                  <c:y val="-4.1928721174004195E-3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3-4BDA-4725-A194-A58F12FA4A8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Sheet3!$A$152:$A$155</c:f>
              <c:strCache>
                <c:ptCount val="4"/>
                <c:pt idx="0">
                  <c:v>Flattening</c:v>
                </c:pt>
                <c:pt idx="1">
                  <c:v>Osteophyte</c:v>
                </c:pt>
                <c:pt idx="2">
                  <c:v>Sclerosis</c:v>
                </c:pt>
                <c:pt idx="3">
                  <c:v>Surface Erosion</c:v>
                </c:pt>
              </c:strCache>
            </c:strRef>
          </c:cat>
          <c:val>
            <c:numRef>
              <c:f>Sheet3!$B$152:$B$155</c:f>
              <c:numCache>
                <c:formatCode>0%</c:formatCode>
                <c:ptCount val="4"/>
                <c:pt idx="0">
                  <c:v>0.92</c:v>
                </c:pt>
                <c:pt idx="1">
                  <c:v>0.79</c:v>
                </c:pt>
                <c:pt idx="2">
                  <c:v>0.98</c:v>
                </c:pt>
                <c:pt idx="3">
                  <c:v>0.88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BDA-4725-A194-A58F12FA4A80}"/>
            </c:ext>
          </c:extLst>
        </c:ser>
        <c:ser>
          <c:idx val="1"/>
          <c:order val="1"/>
          <c:tx>
            <c:strRef>
              <c:f>Sheet3!$C$151</c:f>
              <c:strCache>
                <c:ptCount val="1"/>
                <c:pt idx="0">
                  <c:v>P(1 joint)</c:v>
                </c:pt>
              </c:strCache>
            </c:strRef>
          </c:tx>
          <c:spPr>
            <a:solidFill>
              <a:srgbClr val="FF6600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7.1556350626118077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5-4BDA-4725-A194-A58F12FA4A80}"/>
                </c:ext>
              </c:extLst>
            </c:dLbl>
            <c:dLbl>
              <c:idx val="1"/>
              <c:layout>
                <c:manualLayout>
                  <c:x val="9.5408467501490769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6-4BDA-4725-A194-A58F12FA4A80}"/>
                </c:ext>
              </c:extLst>
            </c:dLbl>
            <c:dLbl>
              <c:idx val="2"/>
              <c:layout>
                <c:manualLayout>
                  <c:x val="1.1926058437686347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7-4BDA-4725-A194-A58F12FA4A80}"/>
                </c:ext>
              </c:extLst>
            </c:dLbl>
            <c:dLbl>
              <c:idx val="3"/>
              <c:layout>
                <c:manualLayout>
                  <c:x val="7.1556350626118077E-3"/>
                  <c:y val="7.6868434161630224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8-4BDA-4725-A194-A58F12FA4A8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Sheet3!$A$152:$A$155</c:f>
              <c:strCache>
                <c:ptCount val="4"/>
                <c:pt idx="0">
                  <c:v>Flattening</c:v>
                </c:pt>
                <c:pt idx="1">
                  <c:v>Osteophyte</c:v>
                </c:pt>
                <c:pt idx="2">
                  <c:v>Sclerosis</c:v>
                </c:pt>
                <c:pt idx="3">
                  <c:v>Surface Erosion</c:v>
                </c:pt>
              </c:strCache>
            </c:strRef>
          </c:cat>
          <c:val>
            <c:numRef>
              <c:f>Sheet3!$C$152:$C$155</c:f>
              <c:numCache>
                <c:formatCode>0%</c:formatCode>
                <c:ptCount val="4"/>
                <c:pt idx="0">
                  <c:v>4.0000000000000008E-2</c:v>
                </c:pt>
                <c:pt idx="1">
                  <c:v>0.12000000000000001</c:v>
                </c:pt>
                <c:pt idx="2">
                  <c:v>2.0000000000000004E-2</c:v>
                </c:pt>
                <c:pt idx="3">
                  <c:v>6.0000000000000005E-2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9-4BDA-4725-A194-A58F12FA4A80}"/>
            </c:ext>
          </c:extLst>
        </c:ser>
        <c:ser>
          <c:idx val="2"/>
          <c:order val="2"/>
          <c:tx>
            <c:strRef>
              <c:f>Sheet3!$D$151</c:f>
              <c:strCache>
                <c:ptCount val="1"/>
                <c:pt idx="0">
                  <c:v>P(Both joints)</c:v>
                </c:pt>
              </c:strCache>
            </c:strRef>
          </c:tx>
          <c:spPr>
            <a:solidFill>
              <a:srgbClr val="00B050"/>
            </a:solidFill>
            <a:ln>
              <a:noFill/>
            </a:ln>
            <a:effectLst>
              <a:outerShdw blurRad="57150" dist="19050" dir="5400000" algn="ctr" rotWithShape="0">
                <a:srgbClr val="000000">
                  <a:alpha val="63000"/>
                </a:srgbClr>
              </a:outerShdw>
            </a:effectLst>
            <a:sp3d/>
          </c:spPr>
          <c:invertIfNegative val="0"/>
          <c:dLbls>
            <c:dLbl>
              <c:idx val="0"/>
              <c:layout>
                <c:manualLayout>
                  <c:x val="1.4311270125223569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A-4BDA-4725-A194-A58F12FA4A80}"/>
                </c:ext>
              </c:extLst>
            </c:dLbl>
            <c:dLbl>
              <c:idx val="1"/>
              <c:layout>
                <c:manualLayout>
                  <c:x val="1.4311270125223614E-2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B-4BDA-4725-A194-A58F12FA4A80}"/>
                </c:ext>
              </c:extLst>
            </c:dLbl>
            <c:dLbl>
              <c:idx val="2"/>
              <c:layout>
                <c:manualLayout>
                  <c:x val="9.5408467501490769E-3"/>
                  <c:y val="0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C-4BDA-4725-A194-A58F12FA4A80}"/>
                </c:ext>
              </c:extLst>
            </c:dLbl>
            <c:dLbl>
              <c:idx val="3"/>
              <c:layout>
                <c:manualLayout>
                  <c:x val="1.4311270125223614E-2"/>
                  <c:y val="7.6868434161630224E-17"/>
                </c:manualLayout>
              </c:layout>
              <c:showLegendKey val="0"/>
              <c:showVal val="1"/>
              <c:showCatName val="0"/>
              <c:showSerName val="0"/>
              <c:showPercent val="0"/>
              <c:showBubbleSize val="0"/>
              <c:extLst>
                <c:ext xmlns:c15="http://schemas.microsoft.com/office/drawing/2012/chart" uri="{CE6537A1-D6FC-4f65-9D91-7224C49458BB}"/>
                <c:ext xmlns:c16="http://schemas.microsoft.com/office/drawing/2014/chart" uri="{C3380CC4-5D6E-409C-BE32-E72D297353CC}">
                  <c16:uniqueId val="{0000000D-4BDA-4725-A194-A58F12FA4A80}"/>
                </c:ext>
              </c:extLst>
            </c:dLbl>
            <c:spPr>
              <a:noFill/>
              <a:ln>
                <a:noFill/>
              </a:ln>
              <a:effectLst/>
            </c:spPr>
            <c:txPr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endParaRPr lang="en-US"/>
              </a:p>
            </c:txPr>
            <c:showLegendKey val="0"/>
            <c:showVal val="1"/>
            <c:showCatName val="0"/>
            <c:showSerName val="0"/>
            <c:showPercent val="0"/>
            <c:showBubbleSize val="0"/>
            <c:showLeaderLines val="0"/>
            <c:extLst>
              <c:ext xmlns:c15="http://schemas.microsoft.com/office/drawing/2012/chart" uri="{CE6537A1-D6FC-4f65-9D91-7224C49458BB}">
                <c15:showLeaderLines val="0"/>
              </c:ext>
            </c:extLst>
          </c:dLbls>
          <c:cat>
            <c:strRef>
              <c:f>Sheet3!$A$152:$A$155</c:f>
              <c:strCache>
                <c:ptCount val="4"/>
                <c:pt idx="0">
                  <c:v>Flattening</c:v>
                </c:pt>
                <c:pt idx="1">
                  <c:v>Osteophyte</c:v>
                </c:pt>
                <c:pt idx="2">
                  <c:v>Sclerosis</c:v>
                </c:pt>
                <c:pt idx="3">
                  <c:v>Surface Erosion</c:v>
                </c:pt>
              </c:strCache>
            </c:strRef>
          </c:cat>
          <c:val>
            <c:numRef>
              <c:f>Sheet3!$D$152:$D$155</c:f>
              <c:numCache>
                <c:formatCode>0%</c:formatCode>
                <c:ptCount val="4"/>
                <c:pt idx="0">
                  <c:v>4.0000000000000008E-2</c:v>
                </c:pt>
                <c:pt idx="1">
                  <c:v>0.1</c:v>
                </c:pt>
                <c:pt idx="2">
                  <c:v>0</c:v>
                </c:pt>
                <c:pt idx="3">
                  <c:v>6.0000000000000005E-2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E-4BDA-4725-A194-A58F12FA4A80}"/>
            </c:ext>
          </c:extLst>
        </c:ser>
        <c:dLbls>
          <c:showLegendKey val="0"/>
          <c:showVal val="1"/>
          <c:showCatName val="0"/>
          <c:showSerName val="0"/>
          <c:showPercent val="0"/>
          <c:showBubbleSize val="0"/>
        </c:dLbls>
        <c:gapWidth val="150"/>
        <c:shape val="box"/>
        <c:axId val="156276224"/>
        <c:axId val="156278144"/>
        <c:axId val="0"/>
      </c:bar3DChart>
      <c:catAx>
        <c:axId val="156276224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Pathologic Alteration in condylar morphology</a:t>
                </a:r>
              </a:p>
            </c:rich>
          </c:tx>
          <c:layout>
            <c:manualLayout>
              <c:xMode val="edge"/>
              <c:yMode val="edge"/>
              <c:x val="0.3201600157762034"/>
              <c:y val="0.79885240759999354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General" sourceLinked="0"/>
        <c:majorTickMark val="none"/>
        <c:minorTickMark val="none"/>
        <c:tickLblPos val="nextTo"/>
        <c:spPr>
          <a:noFill/>
          <a:ln w="12700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6278144"/>
        <c:crosses val="autoZero"/>
        <c:auto val="1"/>
        <c:lblAlgn val="ctr"/>
        <c:lblOffset val="100"/>
        <c:noMultiLvlLbl val="0"/>
      </c:catAx>
      <c:valAx>
        <c:axId val="1562781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900" b="0" i="0" u="none" strike="noStrike" kern="1200" baseline="0">
                    <a:solidFill>
                      <a:schemeClr val="tx1"/>
                    </a:solidFill>
                    <a:latin typeface="Times New Roman" panose="02020603050405020304" pitchFamily="18" charset="0"/>
                    <a:ea typeface="+mn-ea"/>
                    <a:cs typeface="Times New Roman" panose="02020603050405020304" pitchFamily="18" charset="0"/>
                  </a:defRPr>
                </a:pPr>
                <a:r>
                  <a:rPr lang="en-US"/>
                  <a:t>% of patients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900" b="0" i="0" u="none" strike="noStrike" kern="1200" baseline="0">
                  <a:solidFill>
                    <a:schemeClr val="tx1"/>
                  </a:solidFill>
                  <a:latin typeface="Times New Roman" panose="02020603050405020304" pitchFamily="18" charset="0"/>
                  <a:ea typeface="+mn-ea"/>
                  <a:cs typeface="Times New Roman" panose="02020603050405020304" pitchFamily="18" charset="0"/>
                </a:defRPr>
              </a:pPr>
              <a:endParaRPr lang="en-US"/>
            </a:p>
          </c:txPr>
        </c:title>
        <c:numFmt formatCode="0%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Times New Roman" panose="02020603050405020304" pitchFamily="18" charset="0"/>
                <a:ea typeface="+mn-ea"/>
                <a:cs typeface="Times New Roman" panose="02020603050405020304" pitchFamily="18" charset="0"/>
              </a:defRPr>
            </a:pPr>
            <a:endParaRPr lang="en-US"/>
          </a:p>
        </c:txPr>
        <c:crossAx val="156276224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/>
              </a:solidFill>
              <a:latin typeface="Times New Roman" panose="02020603050405020304" pitchFamily="18" charset="0"/>
              <a:ea typeface="+mn-ea"/>
              <a:cs typeface="Times New Roman" panose="02020603050405020304" pitchFamily="18" charset="0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  <a:latin typeface="Times New Roman" panose="02020603050405020304" pitchFamily="18" charset="0"/>
          <a:cs typeface="Times New Roman" panose="02020603050405020304" pitchFamily="18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charts/style2.xml><?xml version="1.0" encoding="utf-8"?>
<cs:chartStyle xmlns:cs="http://schemas.microsoft.com/office/drawing/2012/chartStyle" xmlns:a="http://schemas.openxmlformats.org/drawingml/2006/main" id="347">
  <cs:axisTitle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2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3">
      <cs:styleClr val="auto"/>
    </cs:fillRef>
    <cs:effectRef idx="3"/>
    <cs:fontRef idx="minor">
      <a:schemeClr val="tx1"/>
    </cs:fontRef>
  </cs:dataPoint>
  <cs:dataPoint3D>
    <cs:lnRef idx="0"/>
    <cs:fillRef idx="3">
      <cs:styleClr val="auto"/>
    </cs:fillRef>
    <cs:effectRef idx="3"/>
    <cs:fontRef idx="minor">
      <a:schemeClr val="tx1"/>
    </cs:fontRef>
  </cs:dataPoint3D>
  <cs:dataPointLine>
    <cs:lnRef idx="0">
      <cs:styleClr val="auto"/>
    </cs:lnRef>
    <cs:fillRef idx="3"/>
    <cs:effectRef idx="3"/>
    <cs:fontRef idx="minor">
      <a:schemeClr val="tx1"/>
    </cs:fontRef>
    <cs:spPr>
      <a:ln w="3492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3">
      <cs:styleClr val="auto"/>
    </cs:fillRef>
    <cs:effectRef idx="3"/>
    <cs:fontRef idx="minor">
      <a:schemeClr val="tx1"/>
    </cs:fontRef>
    <cs:spPr>
      <a:ln w="9525">
        <a:solidFill>
          <a:schemeClr val="phClr"/>
        </a:solidFill>
        <a:round/>
      </a:ln>
    </cs:spPr>
  </cs:dataPointMarker>
  <cs:dataPointMarkerLayout symbol="circle" size="6"/>
  <cs:dataPointWireframe>
    <cs:lnRef idx="0">
      <cs:styleClr val="auto"/>
    </cs:lnRef>
    <cs:fillRef idx="3"/>
    <cs:effectRef idx="3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lt1"/>
    </cs:fontRef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>
    <cs:lnRef idx="0"/>
    <cs:fillRef idx="0"/>
    <cs:effectRef idx="0"/>
    <cs:fontRef idx="minor">
      <a:schemeClr val="lt1"/>
    </cs:fontRef>
  </cs:plotArea>
  <cs:plotArea3D>
    <cs:lnRef idx="0"/>
    <cs:fillRef idx="0"/>
    <cs:effectRef idx="0"/>
    <cs:fontRef idx="minor">
      <a:schemeClr val="lt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spPr>
      <a:ln w="12700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600" b="1" kern="1200" baseline="0"/>
  </cs:title>
  <cs:trendline>
    <cs:lnRef idx="0">
      <cs:styleClr val="auto"/>
    </cs:lnRef>
    <cs:fillRef idx="0"/>
    <cs:effectRef idx="0"/>
    <cs:fontRef idx="minor">
      <a:schemeClr val="lt1"/>
    </cs:fontRef>
    <cs:spPr>
      <a:ln w="19050" cap="rnd">
        <a:solidFill>
          <a:schemeClr val="phClr"/>
        </a:solidFill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lt1"/>
    </cs:fontRef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48</Words>
  <Characters>278</Characters>
  <Application>Microsoft Office Word</Application>
  <DocSecurity>0</DocSecurity>
  <Lines>2</Lines>
  <Paragraphs>1</Paragraphs>
  <ScaleCrop>false</ScaleCrop>
  <Company/>
  <LinksUpToDate>false</LinksUpToDate>
  <CharactersWithSpaces>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Amruta Dange</dc:creator>
  <cp:keywords/>
  <dc:description/>
  <cp:lastModifiedBy>Amruta Dange</cp:lastModifiedBy>
  <cp:revision>1</cp:revision>
  <dcterms:created xsi:type="dcterms:W3CDTF">2025-05-19T18:53:00Z</dcterms:created>
  <dcterms:modified xsi:type="dcterms:W3CDTF">2025-05-19T18:54:00Z</dcterms:modified>
</cp:coreProperties>
</file>