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80" w:rsidRDefault="00B32145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48"/>
        </w:rPr>
      </w:pPr>
      <w:r>
        <w:rPr>
          <w:rFonts w:ascii="Times New Roman" w:hAnsi="Times New Roman" w:cs="Times New Roman"/>
          <w:bCs/>
          <w:color w:val="000000"/>
          <w:sz w:val="28"/>
          <w:szCs w:val="48"/>
        </w:rPr>
        <w:t>Supplementary Materials</w:t>
      </w:r>
    </w:p>
    <w:p w:rsidR="00E35680" w:rsidRDefault="00B32145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48"/>
        </w:rPr>
      </w:pPr>
      <w:r>
        <w:rPr>
          <w:rFonts w:ascii="Times New Roman" w:hAnsi="Times New Roman" w:cs="Times New Roman"/>
          <w:bCs/>
          <w:color w:val="000000"/>
          <w:sz w:val="28"/>
          <w:szCs w:val="48"/>
        </w:rPr>
        <w:t>This document serves as the supplementary material for the article titled “</w:t>
      </w:r>
      <w:bookmarkStart w:id="0" w:name="OLE_LINK129"/>
      <w:bookmarkStart w:id="1" w:name="OLE_LINK128"/>
      <w:r>
        <w:rPr>
          <w:rFonts w:ascii="Times New Roman" w:hAnsi="Times New Roman" w:cs="Times New Roman"/>
          <w:bCs/>
          <w:color w:val="000000"/>
          <w:sz w:val="28"/>
          <w:szCs w:val="48"/>
        </w:rPr>
        <w:t>Symptoms of atrial fibrillation and sleep quality in atrial fibrillation: A network analysis</w:t>
      </w:r>
      <w:bookmarkEnd w:id="0"/>
      <w:bookmarkEnd w:id="1"/>
      <w:r>
        <w:rPr>
          <w:rFonts w:ascii="Times New Roman" w:hAnsi="Times New Roman" w:cs="Times New Roman"/>
          <w:bCs/>
          <w:color w:val="000000"/>
          <w:sz w:val="28"/>
          <w:szCs w:val="48"/>
        </w:rPr>
        <w:t>.” It includes comprehensive information on the simple mediation model, as well as the estimation of network accuracy and stability.</w:t>
      </w:r>
    </w:p>
    <w:p w:rsidR="00E35680" w:rsidRDefault="00B32145">
      <w:pPr>
        <w:pStyle w:val="a3"/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</w:pPr>
      <w:r>
        <w:rPr>
          <w:rFonts w:ascii="Times New Roman" w:hAnsi="Times New Roman" w:cs="Times New Roman"/>
          <w:bCs/>
          <w:color w:val="000000"/>
          <w:sz w:val="28"/>
          <w:szCs w:val="48"/>
        </w:rPr>
        <w:t>A mediation analysis was conducted to investigate the mediating role of sleep disturbances (P5) in the relationship betwee</w:t>
      </w:r>
      <w:r>
        <w:rPr>
          <w:rFonts w:ascii="Times New Roman" w:hAnsi="Times New Roman" w:cs="Times New Roman"/>
          <w:bCs/>
          <w:color w:val="000000"/>
          <w:sz w:val="28"/>
          <w:szCs w:val="48"/>
        </w:rPr>
        <w:t>n atrial fibrillation (AF) symptoms and sleep quality. Detailed descriptions of the mediation model and the corresponding effect size analysis are provided in Figure S1 and Table S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4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>To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 xml:space="preserve"> assess the accuracy of the network edges, we calculated the 95% </w:t>
      </w:r>
      <w:bookmarkStart w:id="2" w:name="OLE_LINK24"/>
      <w:bookmarkStart w:id="3" w:name="OLE_LINK25"/>
      <w:bookmarkStart w:id="4" w:name="_GoBack"/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>confide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>nce interval</w:t>
      </w:r>
      <w:bookmarkEnd w:id="2"/>
      <w:bookmarkEnd w:id="3"/>
      <w:bookmarkEnd w:id="4"/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 xml:space="preserve"> (CI) for the bootstrapped edge weights, as illustrated in Figure S2. Subsequently, we evaluated the stability of node centrality through subset bootstrapping and determined the centrality stability coefficient (CS coefficient) as a benchmark f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 xml:space="preserve">or network stability, as depicted in Figure S3. The CS coefficient was found to be 0.596, exceeding the threshold of 0.5, which suggests that the ASTA-PSQI network exhibits robust stability. The results of the node difference and edge difference tests are 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  <w:t>presented in Figures S4 and S5, respectively.</w:t>
      </w:r>
    </w:p>
    <w:p w:rsidR="00E35680" w:rsidRDefault="00B32145">
      <w:pPr>
        <w:rPr>
          <w:rFonts w:ascii="Times New Roman" w:hAnsi="Times New Roman" w:cs="Times New Roman"/>
          <w:color w:val="000000"/>
          <w:sz w:val="28"/>
          <w:szCs w:val="48"/>
        </w:rPr>
      </w:pPr>
      <w:r>
        <w:rPr>
          <w:rFonts w:ascii="Times New Roman" w:hAnsi="Times New Roman" w:cs="Times New Roman"/>
          <w:color w:val="000000"/>
          <w:sz w:val="28"/>
          <w:szCs w:val="48"/>
        </w:rPr>
        <w:br w:type="page"/>
      </w:r>
    </w:p>
    <w:p w:rsidR="00E35680" w:rsidRDefault="00E35680">
      <w:pPr>
        <w:spacing w:line="360" w:lineRule="auto"/>
        <w:rPr>
          <w:rFonts w:ascii="Times New Roman" w:hAnsi="Times New Roman" w:cs="Times New Roman"/>
          <w:color w:val="000000"/>
          <w:sz w:val="28"/>
          <w:szCs w:val="48"/>
        </w:rPr>
      </w:pPr>
    </w:p>
    <w:p w:rsidR="00E35680" w:rsidRDefault="00B32145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noProof/>
          <w:szCs w:val="44"/>
        </w:rPr>
        <w:drawing>
          <wp:inline distT="0" distB="0" distL="0" distR="0">
            <wp:extent cx="5269230" cy="1408430"/>
            <wp:effectExtent l="0" t="0" r="1397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86" b="3795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09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80" w:rsidRDefault="00B32145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szCs w:val="48"/>
        </w:rPr>
        <w:t>Figure S1. Simple mediation model diagram.</w:t>
      </w:r>
    </w:p>
    <w:p w:rsidR="00E35680" w:rsidRDefault="00B32145">
      <w:pPr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szCs w:val="48"/>
        </w:rPr>
        <w:br w:type="page"/>
      </w:r>
    </w:p>
    <w:p w:rsidR="00E35680" w:rsidRDefault="00E35680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Cs w:val="48"/>
        </w:rPr>
      </w:pPr>
    </w:p>
    <w:p w:rsidR="00E35680" w:rsidRDefault="00B32145">
      <w:pPr>
        <w:pStyle w:val="a3"/>
        <w:widowControl/>
        <w:spacing w:line="480" w:lineRule="auto"/>
        <w:jc w:val="left"/>
        <w:rPr>
          <w:rFonts w:ascii="Times New Roman" w:hAnsi="Times New Roman" w:cs="Times New Roman"/>
          <w:bCs/>
          <w:szCs w:val="48"/>
        </w:rPr>
      </w:pPr>
      <w:r>
        <w:rPr>
          <w:rFonts w:ascii="Times New Roman" w:hAnsi="Times New Roman" w:cs="Times New Roman"/>
          <w:bCs/>
          <w:szCs w:val="48"/>
        </w:rPr>
        <w:t>Table S1</w:t>
      </w:r>
    </w:p>
    <w:p w:rsidR="00E35680" w:rsidRDefault="00B32145">
      <w:pPr>
        <w:pStyle w:val="a3"/>
        <w:widowControl/>
        <w:spacing w:line="480" w:lineRule="auto"/>
        <w:jc w:val="left"/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szCs w:val="48"/>
        </w:rPr>
        <w:t>Simple Mediation Effect Analysis</w:t>
      </w:r>
    </w:p>
    <w:tbl>
      <w:tblPr>
        <w:tblStyle w:val="a5"/>
        <w:tblW w:w="8805" w:type="dxa"/>
        <w:tblLook w:val="04A0" w:firstRow="1" w:lastRow="0" w:firstColumn="1" w:lastColumn="0" w:noHBand="0" w:noVBand="1"/>
      </w:tblPr>
      <w:tblGrid>
        <w:gridCol w:w="1217"/>
        <w:gridCol w:w="1829"/>
        <w:gridCol w:w="1362"/>
        <w:gridCol w:w="1466"/>
        <w:gridCol w:w="1276"/>
        <w:gridCol w:w="1655"/>
      </w:tblGrid>
      <w:tr w:rsidR="00E35680"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E3568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E3568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Effect size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LLCI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ULCI</w:t>
            </w:r>
          </w:p>
        </w:tc>
      </w:tr>
      <w:tr w:rsidR="00E35680"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Model 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Total Effect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0.18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0.32</w:t>
            </w:r>
          </w:p>
        </w:tc>
      </w:tr>
      <w:tr w:rsidR="00E35680"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E3568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Direct Effect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0.11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0.19</w:t>
            </w:r>
          </w:p>
        </w:tc>
      </w:tr>
      <w:tr w:rsidR="00E35680">
        <w:tc>
          <w:tcPr>
            <w:tcW w:w="12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E3568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 xml:space="preserve">Mediated </w:t>
            </w: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Effect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0.19</w:t>
            </w:r>
          </w:p>
        </w:tc>
      </w:tr>
      <w:tr w:rsidR="00E35680"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Model 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Total Effect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0.54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0.38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0.69</w:t>
            </w:r>
          </w:p>
        </w:tc>
      </w:tr>
      <w:tr w:rsidR="00E35680"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E3568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Direct Effect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0.23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0.40</w:t>
            </w:r>
          </w:p>
        </w:tc>
      </w:tr>
      <w:tr w:rsidR="00E35680">
        <w:tc>
          <w:tcPr>
            <w:tcW w:w="12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E35680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44"/>
              </w:rPr>
              <w:t>Mediated Effect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680" w:rsidRDefault="00B32145">
            <w:pPr>
              <w:spacing w:line="480" w:lineRule="auto"/>
              <w:jc w:val="center"/>
              <w:rPr>
                <w:rFonts w:ascii="Times New Roman" w:eastAsia="Songti SC" w:hAnsi="Times New Roman" w:cs="Times New Roman"/>
                <w:sz w:val="22"/>
                <w:szCs w:val="44"/>
              </w:rPr>
            </w:pPr>
            <w:r>
              <w:rPr>
                <w:rFonts w:ascii="Times New Roman" w:eastAsia="Songti SC" w:hAnsi="Times New Roman" w:cs="Times New Roman"/>
                <w:sz w:val="22"/>
                <w:szCs w:val="44"/>
              </w:rPr>
              <w:t>0.41</w:t>
            </w:r>
          </w:p>
        </w:tc>
      </w:tr>
    </w:tbl>
    <w:p w:rsidR="00E35680" w:rsidRDefault="00B32145">
      <w:pPr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szCs w:val="48"/>
        </w:rPr>
        <w:br w:type="page"/>
      </w:r>
    </w:p>
    <w:p w:rsidR="00E35680" w:rsidRDefault="00E35680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Cs w:val="48"/>
        </w:rPr>
      </w:pPr>
    </w:p>
    <w:p w:rsidR="00E35680" w:rsidRDefault="00E35680">
      <w:pPr>
        <w:pStyle w:val="a3"/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48"/>
        </w:rPr>
      </w:pPr>
    </w:p>
    <w:p w:rsidR="00E35680" w:rsidRDefault="00B32145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eastAsia="Songti SC" w:hAnsi="Times New Roman" w:cs="Times New Roman"/>
          <w:noProof/>
          <w:sz w:val="28"/>
          <w:szCs w:val="48"/>
        </w:rPr>
        <w:drawing>
          <wp:inline distT="0" distB="0" distL="114300" distR="114300">
            <wp:extent cx="4885055" cy="3636010"/>
            <wp:effectExtent l="0" t="0" r="4445" b="0"/>
            <wp:docPr id="3" name="图片 3" descr="1008精确性分析-逐页转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8精确性分析-逐页转图片"/>
                    <pic:cNvPicPr>
                      <a:picLocks noChangeAspect="1"/>
                    </pic:cNvPicPr>
                  </pic:nvPicPr>
                  <pic:blipFill>
                    <a:blip r:embed="rId5"/>
                    <a:srcRect l="4508" t="3314" b="5736"/>
                    <a:stretch>
                      <a:fillRect/>
                    </a:stretch>
                  </pic:blipFill>
                  <pic:spPr>
                    <a:xfrm>
                      <a:off x="0" y="0"/>
                      <a:ext cx="4901440" cy="36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80" w:rsidRDefault="00B32145">
      <w:pPr>
        <w:spacing w:line="360" w:lineRule="auto"/>
        <w:rPr>
          <w:rFonts w:ascii="Times New Roman" w:hAnsi="Times New Roman" w:cs="Times New Roman"/>
          <w:szCs w:val="48"/>
        </w:rPr>
      </w:pPr>
      <w:bookmarkStart w:id="5" w:name="OLE_LINK133"/>
      <w:bookmarkStart w:id="6" w:name="OLE_LINK132"/>
      <w:r>
        <w:rPr>
          <w:rFonts w:ascii="Times New Roman" w:hAnsi="Times New Roman" w:cs="Times New Roman"/>
          <w:bCs/>
          <w:szCs w:val="48"/>
        </w:rPr>
        <w:t>Figure S2</w:t>
      </w:r>
      <w:bookmarkEnd w:id="5"/>
      <w:bookmarkEnd w:id="6"/>
      <w:r>
        <w:rPr>
          <w:rFonts w:ascii="Times New Roman" w:hAnsi="Times New Roman" w:cs="Times New Roman"/>
          <w:bCs/>
          <w:szCs w:val="48"/>
        </w:rPr>
        <w:t>.</w:t>
      </w:r>
      <w:r>
        <w:rPr>
          <w:rFonts w:ascii="Times New Roman" w:hAnsi="Times New Roman" w:cs="Times New Roman"/>
          <w:bCs/>
          <w:color w:val="000000"/>
          <w:szCs w:val="48"/>
        </w:rPr>
        <w:t xml:space="preserve"> Bootstrapped confidence intervals (CIs) of estimated edge </w:t>
      </w:r>
    </w:p>
    <w:p w:rsidR="00E35680" w:rsidRDefault="00B32145">
      <w:pPr>
        <w:spacing w:line="360" w:lineRule="auto"/>
        <w:rPr>
          <w:rFonts w:ascii="Times New Roman" w:hAnsi="Times New Roman" w:cs="Times New Roman"/>
          <w:bCs/>
          <w:color w:val="000000"/>
          <w:szCs w:val="48"/>
        </w:rPr>
      </w:pPr>
      <w:r>
        <w:rPr>
          <w:rFonts w:ascii="Times New Roman" w:hAnsi="Times New Roman" w:cs="Times New Roman"/>
          <w:bCs/>
          <w:color w:val="000000"/>
          <w:szCs w:val="48"/>
        </w:rPr>
        <w:t>weights for estimated network.</w:t>
      </w:r>
    </w:p>
    <w:p w:rsidR="00E35680" w:rsidRDefault="00B32145">
      <w:pPr>
        <w:rPr>
          <w:rFonts w:ascii="Times New Roman" w:hAnsi="Times New Roman" w:cs="Times New Roman"/>
          <w:bCs/>
          <w:color w:val="000000"/>
          <w:szCs w:val="48"/>
        </w:rPr>
      </w:pPr>
      <w:r>
        <w:rPr>
          <w:rFonts w:ascii="Times New Roman" w:hAnsi="Times New Roman" w:cs="Times New Roman"/>
          <w:bCs/>
          <w:color w:val="000000"/>
          <w:szCs w:val="48"/>
        </w:rPr>
        <w:br w:type="page"/>
      </w:r>
    </w:p>
    <w:p w:rsidR="00E35680" w:rsidRDefault="00B32145">
      <w:pPr>
        <w:pStyle w:val="a3"/>
        <w:widowControl/>
        <w:spacing w:line="360" w:lineRule="auto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eastAsia="Songti SC" w:hAnsi="Times New Roman" w:cs="Times New Roman"/>
          <w:noProof/>
          <w:sz w:val="28"/>
          <w:szCs w:val="48"/>
        </w:rPr>
        <w:lastRenderedPageBreak/>
        <w:drawing>
          <wp:inline distT="0" distB="0" distL="114300" distR="114300">
            <wp:extent cx="5263515" cy="3551555"/>
            <wp:effectExtent l="0" t="0" r="19685" b="4445"/>
            <wp:docPr id="8" name="图片 8" descr="7a74ae5d-1d3f-4782-9bee-940a84f25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a74ae5d-1d3f-4782-9bee-940a84f257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80" w:rsidRDefault="00B32145">
      <w:pPr>
        <w:pStyle w:val="a3"/>
        <w:spacing w:line="360" w:lineRule="auto"/>
        <w:jc w:val="left"/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bCs/>
          <w:szCs w:val="48"/>
        </w:rPr>
        <w:t>Figure S3.</w:t>
      </w:r>
      <w:r>
        <w:rPr>
          <w:rFonts w:ascii="Times New Roman" w:hAnsi="Times New Roman" w:cs="Times New Roman"/>
          <w:szCs w:val="48"/>
        </w:rPr>
        <w:t xml:space="preserve"> Bootstrapped stability for the graphical least absolute shrinkage and selection operator networks. </w:t>
      </w:r>
    </w:p>
    <w:p w:rsidR="00E35680" w:rsidRDefault="00B32145">
      <w:pPr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szCs w:val="48"/>
        </w:rPr>
        <w:br w:type="page"/>
      </w:r>
    </w:p>
    <w:p w:rsidR="00E35680" w:rsidRDefault="00E35680">
      <w:pPr>
        <w:pStyle w:val="a3"/>
        <w:spacing w:line="360" w:lineRule="auto"/>
        <w:jc w:val="left"/>
        <w:rPr>
          <w:rFonts w:ascii="Times New Roman" w:hAnsi="Times New Roman" w:cs="Times New Roman"/>
          <w:szCs w:val="48"/>
        </w:rPr>
      </w:pPr>
    </w:p>
    <w:p w:rsidR="00E35680" w:rsidRDefault="00B32145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eastAsia="Songti SC" w:hAnsi="Times New Roman" w:cs="Times New Roman"/>
          <w:noProof/>
          <w:sz w:val="28"/>
          <w:szCs w:val="48"/>
        </w:rPr>
        <w:drawing>
          <wp:inline distT="0" distB="0" distL="114300" distR="114300">
            <wp:extent cx="4267200" cy="3423285"/>
            <wp:effectExtent l="0" t="0" r="0" b="5715"/>
            <wp:docPr id="6" name="图片 6" descr="1008节点差异性检验-逐页转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08节点差异性检验-逐页转图片"/>
                    <pic:cNvPicPr>
                      <a:picLocks noChangeAspect="1"/>
                    </pic:cNvPicPr>
                  </pic:nvPicPr>
                  <pic:blipFill>
                    <a:blip r:embed="rId7"/>
                    <a:srcRect l="3414" b="3457"/>
                    <a:stretch>
                      <a:fillRect/>
                    </a:stretch>
                  </pic:blipFill>
                  <pic:spPr>
                    <a:xfrm>
                      <a:off x="0" y="0"/>
                      <a:ext cx="4299149" cy="34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80" w:rsidRDefault="00B32145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bCs/>
          <w:szCs w:val="48"/>
        </w:rPr>
        <w:t>Figure S4.</w:t>
      </w:r>
      <w:r>
        <w:rPr>
          <w:rFonts w:ascii="Times New Roman" w:hAnsi="Times New Roman" w:cs="Times New Roman"/>
          <w:szCs w:val="48"/>
        </w:rPr>
        <w:t xml:space="preserve"> Node difference test results.</w:t>
      </w:r>
    </w:p>
    <w:p w:rsidR="00E35680" w:rsidRDefault="00B32145">
      <w:pPr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szCs w:val="48"/>
        </w:rPr>
        <w:br w:type="page"/>
      </w:r>
    </w:p>
    <w:p w:rsidR="00E35680" w:rsidRDefault="00E35680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Cs w:val="48"/>
        </w:rPr>
      </w:pPr>
    </w:p>
    <w:p w:rsidR="00E35680" w:rsidRDefault="00B32145">
      <w:pPr>
        <w:pStyle w:val="a3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eastAsia="Songti SC" w:hAnsi="Times New Roman" w:cs="Times New Roman"/>
          <w:noProof/>
          <w:sz w:val="28"/>
          <w:szCs w:val="48"/>
        </w:rPr>
        <w:drawing>
          <wp:inline distT="0" distB="0" distL="114300" distR="114300">
            <wp:extent cx="4993005" cy="4008120"/>
            <wp:effectExtent l="0" t="0" r="0" b="5080"/>
            <wp:docPr id="7" name="图片 7" descr="1008边缘差异性-逐页转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08边缘差异性-逐页转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7117" cy="401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80" w:rsidRDefault="00B32145">
      <w:pPr>
        <w:pStyle w:val="a3"/>
        <w:widowControl/>
        <w:spacing w:line="360" w:lineRule="auto"/>
        <w:jc w:val="left"/>
        <w:rPr>
          <w:rFonts w:ascii="Times New Roman" w:hAnsi="Times New Roman" w:cs="Times New Roman"/>
          <w:szCs w:val="48"/>
        </w:rPr>
      </w:pPr>
      <w:r>
        <w:rPr>
          <w:rFonts w:ascii="Times New Roman" w:hAnsi="Times New Roman" w:cs="Times New Roman"/>
          <w:bCs/>
          <w:szCs w:val="48"/>
        </w:rPr>
        <w:t>Figure S5:</w:t>
      </w:r>
      <w:r>
        <w:rPr>
          <w:rFonts w:ascii="Times New Roman" w:hAnsi="Times New Roman" w:cs="Times New Roman"/>
          <w:szCs w:val="48"/>
        </w:rPr>
        <w:t xml:space="preserve"> Edge difference test results.</w:t>
      </w:r>
    </w:p>
    <w:sectPr w:rsidR="00E3568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zM2FjMWVlOWU5YWE1YjA2ZThkN2JiYWIzMDFjNmEifQ=="/>
  </w:docVars>
  <w:rsids>
    <w:rsidRoot w:val="00FF509B"/>
    <w:rsid w:val="00012A81"/>
    <w:rsid w:val="000B0053"/>
    <w:rsid w:val="001A6A74"/>
    <w:rsid w:val="00303038"/>
    <w:rsid w:val="00364D9B"/>
    <w:rsid w:val="00424DE8"/>
    <w:rsid w:val="00453CB9"/>
    <w:rsid w:val="004E616B"/>
    <w:rsid w:val="004F2300"/>
    <w:rsid w:val="00520B3F"/>
    <w:rsid w:val="005A4780"/>
    <w:rsid w:val="006210F8"/>
    <w:rsid w:val="00892261"/>
    <w:rsid w:val="00892DEA"/>
    <w:rsid w:val="008C4BDA"/>
    <w:rsid w:val="00946DD8"/>
    <w:rsid w:val="0098278D"/>
    <w:rsid w:val="00A86F6B"/>
    <w:rsid w:val="00B0293D"/>
    <w:rsid w:val="00B32145"/>
    <w:rsid w:val="00BC503A"/>
    <w:rsid w:val="00CC57B8"/>
    <w:rsid w:val="00E35680"/>
    <w:rsid w:val="00ED2D20"/>
    <w:rsid w:val="00F66391"/>
    <w:rsid w:val="00FC31A0"/>
    <w:rsid w:val="00FE1275"/>
    <w:rsid w:val="00FF509B"/>
    <w:rsid w:val="44FF2780"/>
    <w:rsid w:val="7E959241"/>
    <w:rsid w:val="7EFFE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8B12E"/>
  <w15:docId w15:val="{FF98C3CE-617E-3E4C-B051-243FFC3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pPr>
      <w:widowControl w:val="0"/>
      <w:jc w:val="both"/>
    </w:pPr>
    <w:rPr>
      <w:rFonts w:asciiTheme="minorHAnsi" w:eastAsiaTheme="minorEastAsia" w:hAnsiTheme="minorHAnsi" w:cstheme="minorBidi"/>
      <w:kern w:val="2"/>
    </w:rPr>
  </w:style>
  <w:style w:type="table" w:styleId="a5">
    <w:name w:val="Table Grid"/>
    <w:basedOn w:val="a1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普通(网站) 字符"/>
    <w:basedOn w:val="a0"/>
    <w:link w:val="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dcterms:created xsi:type="dcterms:W3CDTF">2025-03-21T07:34:00Z</dcterms:created>
  <dcterms:modified xsi:type="dcterms:W3CDTF">2025-03-26T03:35:00Z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4E0E57AFDE0B0E2BC63BE267F4EA6F67_42</vt:lpwstr>
  </property>
</Properties>
</file>