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12D44" w14:textId="46382868" w:rsidR="00300A2C" w:rsidRPr="00D067E9" w:rsidRDefault="00300A2C" w:rsidP="00300A2C">
      <w:pPr>
        <w:autoSpaceDE w:val="0"/>
        <w:autoSpaceDN w:val="0"/>
        <w:adjustRightInd w:val="0"/>
        <w:spacing w:line="276" w:lineRule="auto"/>
        <w:jc w:val="center"/>
        <w:rPr>
          <w:rFonts w:ascii="Arial" w:hAnsi="Arial" w:cs="Arial"/>
          <w:b/>
          <w:bCs/>
          <w:sz w:val="24"/>
        </w:rPr>
      </w:pPr>
      <w:r w:rsidRPr="00D067E9">
        <w:rPr>
          <w:rFonts w:ascii="Arial" w:hAnsi="Arial" w:cs="Arial"/>
          <w:b/>
          <w:bCs/>
          <w:sz w:val="24"/>
        </w:rPr>
        <w:t>Supplementary Information</w:t>
      </w:r>
    </w:p>
    <w:p w14:paraId="3E462FA8" w14:textId="6A25F050" w:rsidR="00300A2C" w:rsidRPr="00D067E9" w:rsidRDefault="00300A2C" w:rsidP="00300A2C">
      <w:pPr>
        <w:autoSpaceDE w:val="0"/>
        <w:autoSpaceDN w:val="0"/>
        <w:adjustRightInd w:val="0"/>
        <w:spacing w:line="276" w:lineRule="auto"/>
        <w:jc w:val="center"/>
        <w:rPr>
          <w:rFonts w:ascii="Arial" w:hAnsi="Arial" w:cs="Arial"/>
          <w:b/>
          <w:bCs/>
          <w:sz w:val="30"/>
          <w:szCs w:val="30"/>
        </w:rPr>
      </w:pPr>
      <w:r w:rsidRPr="00D067E9">
        <w:rPr>
          <w:rFonts w:ascii="Arial" w:hAnsi="Arial" w:cs="Arial"/>
          <w:b/>
          <w:bCs/>
          <w:szCs w:val="21"/>
        </w:rPr>
        <w:t>Longitudinal Gut Microbiota Tracking Reveals the Persistent Spread of Mobile Genes and HGT-Driven Community Stabilization</w:t>
      </w:r>
    </w:p>
    <w:p w14:paraId="259F171A" w14:textId="77777777" w:rsidR="00300A2C" w:rsidRPr="00D067E9" w:rsidRDefault="00300A2C" w:rsidP="00300A2C">
      <w:pPr>
        <w:pStyle w:val="paragraph"/>
        <w:spacing w:before="0" w:beforeAutospacing="0" w:after="0" w:afterAutospacing="0" w:line="276" w:lineRule="auto"/>
        <w:textAlignment w:val="baseline"/>
        <w:rPr>
          <w:rStyle w:val="normaltextrun"/>
          <w:rFonts w:ascii="Arial" w:hAnsi="Arial" w:cs="Arial"/>
          <w:b/>
          <w:bCs/>
          <w:color w:val="C00000"/>
          <w:sz w:val="21"/>
          <w:szCs w:val="21"/>
        </w:rPr>
      </w:pPr>
    </w:p>
    <w:p w14:paraId="6345F677" w14:textId="77777777" w:rsidR="00300A2C" w:rsidRPr="00D067E9" w:rsidRDefault="00300A2C" w:rsidP="00300A2C">
      <w:pPr>
        <w:spacing w:line="276" w:lineRule="auto"/>
        <w:rPr>
          <w:rFonts w:ascii="Arial" w:eastAsia="Times New Roman" w:hAnsi="Arial" w:cs="Arial"/>
          <w:b/>
          <w:color w:val="C45911" w:themeColor="accent2" w:themeShade="BF"/>
          <w:sz w:val="22"/>
          <w:szCs w:val="22"/>
          <w:lang w:val="en-GB"/>
        </w:rPr>
      </w:pPr>
      <w:r w:rsidRPr="00D067E9">
        <w:rPr>
          <w:rFonts w:ascii="Arial" w:eastAsia="Times New Roman" w:hAnsi="Arial" w:cs="Arial"/>
          <w:b/>
          <w:color w:val="C45911" w:themeColor="accent2" w:themeShade="BF"/>
          <w:sz w:val="22"/>
          <w:szCs w:val="22"/>
          <w:lang w:val="en-GB"/>
        </w:rPr>
        <w:t>Authors</w:t>
      </w:r>
    </w:p>
    <w:p w14:paraId="0E0D3203" w14:textId="77777777" w:rsidR="00300A2C" w:rsidRPr="00D067E9" w:rsidRDefault="00300A2C" w:rsidP="00300A2C">
      <w:pPr>
        <w:pStyle w:val="paragraph"/>
        <w:spacing w:before="0" w:beforeAutospacing="0" w:after="0" w:afterAutospacing="0" w:line="276" w:lineRule="auto"/>
        <w:textAlignment w:val="baseline"/>
        <w:rPr>
          <w:rStyle w:val="normaltextrun"/>
          <w:rFonts w:ascii="Arial" w:hAnsi="Arial" w:cs="Arial"/>
          <w:sz w:val="21"/>
          <w:szCs w:val="21"/>
        </w:rPr>
      </w:pPr>
      <w:r w:rsidRPr="00D067E9">
        <w:rPr>
          <w:rStyle w:val="normaltextrun"/>
          <w:rFonts w:ascii="Arial" w:hAnsi="Arial" w:cs="Arial"/>
          <w:sz w:val="21"/>
          <w:szCs w:val="21"/>
        </w:rPr>
        <w:t>Haoran Peng</w:t>
      </w:r>
      <w:r w:rsidRPr="00D067E9">
        <w:rPr>
          <w:rStyle w:val="normaltextrun"/>
          <w:rFonts w:ascii="Arial" w:hAnsi="Arial" w:cs="Arial"/>
          <w:sz w:val="21"/>
          <w:szCs w:val="21"/>
          <w:vertAlign w:val="superscript"/>
        </w:rPr>
        <w:t>1</w:t>
      </w:r>
      <w:r w:rsidRPr="00D067E9">
        <w:rPr>
          <w:rStyle w:val="normaltextrun"/>
          <w:rFonts w:ascii="Arial" w:hAnsi="Arial" w:cs="Arial"/>
          <w:sz w:val="21"/>
          <w:szCs w:val="21"/>
        </w:rPr>
        <w:t>, Sergio Andreu-Sanchez</w:t>
      </w:r>
      <w:r w:rsidRPr="00D067E9">
        <w:rPr>
          <w:rStyle w:val="normaltextrun"/>
          <w:rFonts w:ascii="Arial" w:hAnsi="Arial" w:cs="Arial"/>
          <w:sz w:val="21"/>
          <w:szCs w:val="21"/>
          <w:vertAlign w:val="superscript"/>
        </w:rPr>
        <w:t>1,2</w:t>
      </w:r>
      <w:r w:rsidRPr="00D067E9">
        <w:rPr>
          <w:rStyle w:val="normaltextrun"/>
          <w:rFonts w:ascii="Arial" w:hAnsi="Arial" w:cs="Arial"/>
          <w:sz w:val="21"/>
          <w:szCs w:val="21"/>
        </w:rPr>
        <w:t>, Angel J. Ruiz-Moreno</w:t>
      </w:r>
      <w:r w:rsidRPr="00D067E9">
        <w:rPr>
          <w:rStyle w:val="normaltextrun"/>
          <w:rFonts w:ascii="Arial" w:hAnsi="Arial" w:cs="Arial"/>
          <w:sz w:val="21"/>
          <w:szCs w:val="21"/>
          <w:vertAlign w:val="superscript"/>
        </w:rPr>
        <w:t>1,2</w:t>
      </w:r>
      <w:r w:rsidRPr="00D067E9">
        <w:rPr>
          <w:rStyle w:val="normaltextrun"/>
          <w:rFonts w:ascii="Arial" w:hAnsi="Arial" w:cs="Arial"/>
          <w:sz w:val="21"/>
          <w:szCs w:val="21"/>
        </w:rPr>
        <w:t>, Asier Fernández-Pato</w:t>
      </w:r>
      <w:r w:rsidRPr="00D067E9">
        <w:rPr>
          <w:rStyle w:val="normaltextrun"/>
          <w:rFonts w:ascii="Arial" w:hAnsi="Arial" w:cs="Arial"/>
          <w:sz w:val="21"/>
          <w:szCs w:val="21"/>
          <w:vertAlign w:val="superscript"/>
        </w:rPr>
        <w:t>3</w:t>
      </w:r>
      <w:r w:rsidRPr="00D067E9">
        <w:rPr>
          <w:rStyle w:val="normaltextrun"/>
          <w:rFonts w:ascii="Arial" w:hAnsi="Arial" w:cs="Arial"/>
          <w:sz w:val="21"/>
          <w:szCs w:val="21"/>
        </w:rPr>
        <w:t xml:space="preserve">, </w:t>
      </w:r>
      <w:proofErr w:type="spellStart"/>
      <w:r w:rsidRPr="00D067E9">
        <w:rPr>
          <w:rStyle w:val="normaltextrun"/>
          <w:rFonts w:ascii="Arial" w:hAnsi="Arial" w:cs="Arial"/>
          <w:sz w:val="21"/>
          <w:szCs w:val="21"/>
        </w:rPr>
        <w:t>Jiafei</w:t>
      </w:r>
      <w:proofErr w:type="spellEnd"/>
      <w:r w:rsidRPr="00D067E9">
        <w:rPr>
          <w:rStyle w:val="normaltextrun"/>
          <w:rFonts w:ascii="Arial" w:hAnsi="Arial" w:cs="Arial"/>
          <w:sz w:val="21"/>
          <w:szCs w:val="21"/>
        </w:rPr>
        <w:t xml:space="preserve"> Wu</w:t>
      </w:r>
      <w:r w:rsidRPr="00D067E9">
        <w:rPr>
          <w:rStyle w:val="normaltextrun"/>
          <w:rFonts w:ascii="Arial" w:hAnsi="Arial" w:cs="Arial"/>
          <w:sz w:val="21"/>
          <w:szCs w:val="21"/>
          <w:vertAlign w:val="superscript"/>
        </w:rPr>
        <w:t>1,2</w:t>
      </w:r>
      <w:r w:rsidRPr="00D067E9">
        <w:rPr>
          <w:rStyle w:val="normaltextrun"/>
          <w:rFonts w:ascii="Arial" w:hAnsi="Arial" w:cs="Arial"/>
          <w:sz w:val="21"/>
          <w:szCs w:val="21"/>
        </w:rPr>
        <w:t>, Ranko Gacesa</w:t>
      </w:r>
      <w:r w:rsidRPr="00D067E9">
        <w:rPr>
          <w:rStyle w:val="normaltextrun"/>
          <w:rFonts w:ascii="Arial" w:hAnsi="Arial" w:cs="Arial"/>
          <w:sz w:val="21"/>
          <w:szCs w:val="21"/>
          <w:vertAlign w:val="superscript"/>
        </w:rPr>
        <w:t>1,3</w:t>
      </w:r>
      <w:r w:rsidRPr="00D067E9">
        <w:rPr>
          <w:rStyle w:val="normaltextrun"/>
          <w:rFonts w:ascii="Arial" w:hAnsi="Arial" w:cs="Arial"/>
          <w:sz w:val="21"/>
          <w:szCs w:val="21"/>
        </w:rPr>
        <w:t>, Alexandra Zhernakova</w:t>
      </w:r>
      <w:r w:rsidRPr="00D067E9">
        <w:rPr>
          <w:rStyle w:val="normaltextrun"/>
          <w:rFonts w:ascii="Arial" w:hAnsi="Arial" w:cs="Arial"/>
          <w:sz w:val="21"/>
          <w:szCs w:val="21"/>
          <w:vertAlign w:val="superscript"/>
        </w:rPr>
        <w:t>1</w:t>
      </w:r>
      <w:r w:rsidRPr="00D067E9">
        <w:rPr>
          <w:rStyle w:val="normaltextrun"/>
          <w:rFonts w:ascii="Arial" w:hAnsi="Arial" w:cs="Arial"/>
          <w:sz w:val="21"/>
          <w:szCs w:val="21"/>
        </w:rPr>
        <w:t xml:space="preserve">, </w:t>
      </w:r>
      <w:proofErr w:type="spellStart"/>
      <w:r w:rsidRPr="00D067E9">
        <w:rPr>
          <w:rStyle w:val="normaltextrun"/>
          <w:rFonts w:ascii="Arial" w:hAnsi="Arial" w:cs="Arial"/>
          <w:sz w:val="21"/>
          <w:szCs w:val="21"/>
        </w:rPr>
        <w:t>Daoming</w:t>
      </w:r>
      <w:proofErr w:type="spellEnd"/>
      <w:r w:rsidRPr="00D067E9">
        <w:rPr>
          <w:rStyle w:val="normaltextrun"/>
          <w:rFonts w:ascii="Arial" w:hAnsi="Arial" w:cs="Arial"/>
          <w:sz w:val="21"/>
          <w:szCs w:val="21"/>
        </w:rPr>
        <w:t xml:space="preserve"> Wang</w:t>
      </w:r>
      <w:r w:rsidRPr="00D067E9">
        <w:rPr>
          <w:rStyle w:val="normaltextrun"/>
          <w:rFonts w:ascii="Arial" w:hAnsi="Arial" w:cs="Arial"/>
          <w:sz w:val="21"/>
          <w:szCs w:val="21"/>
          <w:vertAlign w:val="superscript"/>
        </w:rPr>
        <w:t>1</w:t>
      </w:r>
      <w:r w:rsidRPr="00D067E9">
        <w:rPr>
          <w:rStyle w:val="normaltextrun"/>
          <w:rFonts w:ascii="Arial" w:hAnsi="Arial" w:cs="Arial"/>
          <w:sz w:val="21"/>
          <w:szCs w:val="21"/>
        </w:rPr>
        <w:t>, Jingyuan Fu</w:t>
      </w:r>
      <w:r w:rsidRPr="00D067E9">
        <w:rPr>
          <w:rStyle w:val="normaltextrun"/>
          <w:rFonts w:ascii="Arial" w:hAnsi="Arial" w:cs="Arial"/>
          <w:sz w:val="21"/>
          <w:szCs w:val="21"/>
          <w:vertAlign w:val="superscript"/>
        </w:rPr>
        <w:t>1,</w:t>
      </w:r>
      <w:proofErr w:type="gramStart"/>
      <w:r w:rsidRPr="00D067E9">
        <w:rPr>
          <w:rStyle w:val="normaltextrun"/>
          <w:rFonts w:ascii="Arial" w:hAnsi="Arial" w:cs="Arial"/>
          <w:sz w:val="21"/>
          <w:szCs w:val="21"/>
          <w:vertAlign w:val="superscript"/>
        </w:rPr>
        <w:t>2,#</w:t>
      </w:r>
      <w:proofErr w:type="gramEnd"/>
    </w:p>
    <w:p w14:paraId="2B445D74" w14:textId="77777777" w:rsidR="00300A2C" w:rsidRPr="00D067E9" w:rsidRDefault="00300A2C" w:rsidP="00300A2C">
      <w:pPr>
        <w:pStyle w:val="paragraph"/>
        <w:spacing w:before="0" w:beforeAutospacing="0" w:after="0" w:afterAutospacing="0" w:line="276" w:lineRule="auto"/>
        <w:textAlignment w:val="baseline"/>
        <w:rPr>
          <w:rStyle w:val="normaltextrun"/>
          <w:rFonts w:ascii="Arial" w:hAnsi="Arial" w:cs="Arial"/>
          <w:b/>
          <w:bCs/>
          <w:color w:val="C00000"/>
          <w:sz w:val="21"/>
          <w:szCs w:val="21"/>
        </w:rPr>
      </w:pPr>
    </w:p>
    <w:p w14:paraId="78C2061A" w14:textId="77777777" w:rsidR="00300A2C" w:rsidRPr="00D067E9" w:rsidRDefault="00300A2C" w:rsidP="00300A2C">
      <w:pPr>
        <w:spacing w:line="276" w:lineRule="auto"/>
        <w:rPr>
          <w:rFonts w:ascii="Arial" w:eastAsia="Times New Roman" w:hAnsi="Arial" w:cs="Arial"/>
          <w:b/>
          <w:color w:val="C45911" w:themeColor="accent2" w:themeShade="BF"/>
          <w:sz w:val="22"/>
          <w:szCs w:val="22"/>
          <w:vertAlign w:val="superscript"/>
          <w:lang w:val="en-GB"/>
        </w:rPr>
      </w:pPr>
      <w:r w:rsidRPr="00D067E9">
        <w:rPr>
          <w:rFonts w:ascii="Arial" w:eastAsia="Times New Roman" w:hAnsi="Arial" w:cs="Arial"/>
          <w:b/>
          <w:color w:val="C45911" w:themeColor="accent2" w:themeShade="BF"/>
          <w:sz w:val="22"/>
          <w:szCs w:val="22"/>
          <w:lang w:val="en-GB"/>
        </w:rPr>
        <w:t>Affiliations</w:t>
      </w:r>
    </w:p>
    <w:p w14:paraId="467100EA" w14:textId="77777777" w:rsidR="00300A2C" w:rsidRPr="00D067E9" w:rsidRDefault="00300A2C" w:rsidP="00300A2C">
      <w:pPr>
        <w:pStyle w:val="paragraph"/>
        <w:spacing w:before="0" w:beforeAutospacing="0" w:after="0" w:afterAutospacing="0" w:line="276" w:lineRule="auto"/>
        <w:textAlignment w:val="baseline"/>
        <w:rPr>
          <w:rStyle w:val="normaltextrun"/>
          <w:rFonts w:ascii="Arial" w:hAnsi="Arial" w:cs="Arial"/>
          <w:sz w:val="21"/>
          <w:szCs w:val="21"/>
        </w:rPr>
      </w:pPr>
      <w:r w:rsidRPr="00D067E9">
        <w:rPr>
          <w:rStyle w:val="normaltextrun"/>
          <w:rFonts w:ascii="Arial" w:hAnsi="Arial" w:cs="Arial"/>
          <w:sz w:val="21"/>
          <w:szCs w:val="21"/>
          <w:vertAlign w:val="superscript"/>
        </w:rPr>
        <w:t xml:space="preserve">1 </w:t>
      </w:r>
      <w:r w:rsidRPr="00D067E9">
        <w:rPr>
          <w:rStyle w:val="normaltextrun"/>
          <w:rFonts w:ascii="Arial" w:hAnsi="Arial" w:cs="Arial"/>
          <w:sz w:val="21"/>
          <w:szCs w:val="21"/>
        </w:rPr>
        <w:t>University of Groningen, University Medical Center Groningen, Department of</w:t>
      </w:r>
    </w:p>
    <w:p w14:paraId="783CF961" w14:textId="77777777" w:rsidR="00300A2C" w:rsidRPr="00D067E9" w:rsidRDefault="00300A2C" w:rsidP="00300A2C">
      <w:pPr>
        <w:pStyle w:val="paragraph"/>
        <w:spacing w:before="0" w:beforeAutospacing="0" w:after="0" w:afterAutospacing="0" w:line="276" w:lineRule="auto"/>
        <w:textAlignment w:val="baseline"/>
        <w:rPr>
          <w:rStyle w:val="normaltextrun"/>
          <w:rFonts w:ascii="Arial" w:hAnsi="Arial" w:cs="Arial"/>
          <w:sz w:val="21"/>
          <w:szCs w:val="21"/>
        </w:rPr>
      </w:pPr>
      <w:r w:rsidRPr="00D067E9">
        <w:rPr>
          <w:rStyle w:val="normaltextrun"/>
          <w:rFonts w:ascii="Arial" w:hAnsi="Arial" w:cs="Arial"/>
          <w:sz w:val="21"/>
          <w:szCs w:val="21"/>
        </w:rPr>
        <w:t>Genetics, Groningen 9713AV, the Netherlands</w:t>
      </w:r>
    </w:p>
    <w:p w14:paraId="5637FF6A" w14:textId="77777777" w:rsidR="00300A2C" w:rsidRPr="00D067E9" w:rsidRDefault="00300A2C" w:rsidP="00300A2C">
      <w:pPr>
        <w:pStyle w:val="paragraph"/>
        <w:spacing w:before="0" w:beforeAutospacing="0" w:after="0" w:afterAutospacing="0" w:line="276" w:lineRule="auto"/>
        <w:textAlignment w:val="baseline"/>
        <w:rPr>
          <w:rStyle w:val="normaltextrun"/>
          <w:rFonts w:ascii="Arial" w:hAnsi="Arial" w:cs="Arial"/>
          <w:sz w:val="21"/>
          <w:szCs w:val="21"/>
        </w:rPr>
      </w:pPr>
      <w:r w:rsidRPr="00D067E9">
        <w:rPr>
          <w:rStyle w:val="normaltextrun"/>
          <w:rFonts w:ascii="Arial" w:hAnsi="Arial" w:cs="Arial"/>
          <w:sz w:val="21"/>
          <w:szCs w:val="21"/>
          <w:vertAlign w:val="superscript"/>
        </w:rPr>
        <w:t>2</w:t>
      </w:r>
      <w:r w:rsidRPr="00D067E9">
        <w:rPr>
          <w:rStyle w:val="normaltextrun"/>
          <w:rFonts w:ascii="Arial" w:hAnsi="Arial" w:cs="Arial"/>
          <w:sz w:val="21"/>
          <w:szCs w:val="21"/>
        </w:rPr>
        <w:t xml:space="preserve"> University of Groningen, University Medical Center Groningen, Department of</w:t>
      </w:r>
    </w:p>
    <w:p w14:paraId="3D4E650B" w14:textId="77777777" w:rsidR="00300A2C" w:rsidRPr="00D067E9" w:rsidRDefault="00300A2C" w:rsidP="00300A2C">
      <w:pPr>
        <w:pStyle w:val="paragraph"/>
        <w:spacing w:before="0" w:beforeAutospacing="0" w:after="0" w:afterAutospacing="0" w:line="276" w:lineRule="auto"/>
        <w:textAlignment w:val="baseline"/>
        <w:rPr>
          <w:rStyle w:val="normaltextrun"/>
          <w:rFonts w:ascii="Arial" w:hAnsi="Arial" w:cs="Arial"/>
          <w:sz w:val="21"/>
          <w:szCs w:val="21"/>
        </w:rPr>
      </w:pPr>
      <w:r w:rsidRPr="00D067E9">
        <w:rPr>
          <w:rStyle w:val="normaltextrun"/>
          <w:rFonts w:ascii="Arial" w:hAnsi="Arial" w:cs="Arial"/>
          <w:sz w:val="21"/>
          <w:szCs w:val="21"/>
        </w:rPr>
        <w:t>Pediatrics, Groningen 9713AV, the Netherlands</w:t>
      </w:r>
    </w:p>
    <w:p w14:paraId="0387212E" w14:textId="77777777" w:rsidR="00300A2C" w:rsidRPr="00D067E9" w:rsidRDefault="00300A2C" w:rsidP="00300A2C">
      <w:pPr>
        <w:pStyle w:val="paragraph"/>
        <w:spacing w:before="0" w:beforeAutospacing="0" w:after="0" w:afterAutospacing="0" w:line="276" w:lineRule="auto"/>
        <w:textAlignment w:val="baseline"/>
        <w:rPr>
          <w:rStyle w:val="normaltextrun"/>
          <w:rFonts w:ascii="Arial" w:hAnsi="Arial" w:cs="Arial"/>
          <w:sz w:val="21"/>
          <w:szCs w:val="21"/>
        </w:rPr>
      </w:pPr>
      <w:r w:rsidRPr="00D067E9">
        <w:rPr>
          <w:rStyle w:val="normaltextrun"/>
          <w:rFonts w:ascii="Arial" w:hAnsi="Arial" w:cs="Arial"/>
          <w:sz w:val="21"/>
          <w:szCs w:val="21"/>
          <w:vertAlign w:val="superscript"/>
        </w:rPr>
        <w:t>3</w:t>
      </w:r>
      <w:r w:rsidRPr="00D067E9">
        <w:rPr>
          <w:rStyle w:val="normaltextrun"/>
          <w:rFonts w:ascii="Arial" w:hAnsi="Arial" w:cs="Arial"/>
          <w:sz w:val="21"/>
          <w:szCs w:val="21"/>
        </w:rPr>
        <w:t xml:space="preserve"> Department of Gastroenterology and Hepatology, University of Groningen,</w:t>
      </w:r>
    </w:p>
    <w:p w14:paraId="72108E71" w14:textId="77777777" w:rsidR="00300A2C" w:rsidRPr="00D067E9" w:rsidRDefault="00300A2C" w:rsidP="00300A2C">
      <w:pPr>
        <w:pStyle w:val="paragraph"/>
        <w:spacing w:before="0" w:beforeAutospacing="0" w:after="0" w:afterAutospacing="0" w:line="276" w:lineRule="auto"/>
        <w:textAlignment w:val="baseline"/>
        <w:rPr>
          <w:rStyle w:val="normaltextrun"/>
          <w:rFonts w:ascii="Arial" w:hAnsi="Arial" w:cs="Arial"/>
          <w:sz w:val="21"/>
          <w:szCs w:val="21"/>
        </w:rPr>
      </w:pPr>
      <w:r w:rsidRPr="00D067E9">
        <w:rPr>
          <w:rStyle w:val="normaltextrun"/>
          <w:rFonts w:ascii="Arial" w:hAnsi="Arial" w:cs="Arial"/>
          <w:sz w:val="21"/>
          <w:szCs w:val="21"/>
        </w:rPr>
        <w:t>University Medical Center Groningen, Groningen 9713 GZ, the Netherlands</w:t>
      </w:r>
    </w:p>
    <w:p w14:paraId="00356FC1" w14:textId="77777777" w:rsidR="00300A2C" w:rsidRPr="00D067E9" w:rsidRDefault="00300A2C" w:rsidP="00300A2C">
      <w:pPr>
        <w:pStyle w:val="paragraph"/>
        <w:spacing w:before="0" w:beforeAutospacing="0" w:after="0" w:afterAutospacing="0" w:line="276" w:lineRule="auto"/>
        <w:textAlignment w:val="baseline"/>
        <w:rPr>
          <w:rStyle w:val="normaltextrun"/>
          <w:rFonts w:ascii="Arial" w:hAnsi="Arial" w:cs="Arial"/>
          <w:sz w:val="21"/>
          <w:szCs w:val="21"/>
        </w:rPr>
      </w:pPr>
    </w:p>
    <w:p w14:paraId="1D0CE567" w14:textId="77777777" w:rsidR="00300A2C" w:rsidRPr="00D067E9" w:rsidRDefault="00300A2C" w:rsidP="00300A2C">
      <w:pPr>
        <w:pStyle w:val="paragraph"/>
        <w:spacing w:before="0" w:beforeAutospacing="0" w:after="0" w:afterAutospacing="0" w:line="276" w:lineRule="auto"/>
        <w:textAlignment w:val="baseline"/>
        <w:rPr>
          <w:rStyle w:val="normaltextrun"/>
          <w:rFonts w:ascii="Arial" w:hAnsi="Arial" w:cs="Arial"/>
          <w:sz w:val="21"/>
          <w:szCs w:val="21"/>
        </w:rPr>
      </w:pPr>
      <w:r w:rsidRPr="00D067E9">
        <w:rPr>
          <w:rStyle w:val="normaltextrun"/>
          <w:rFonts w:ascii="Arial" w:hAnsi="Arial" w:cs="Arial"/>
          <w:sz w:val="21"/>
          <w:szCs w:val="21"/>
          <w:vertAlign w:val="superscript"/>
        </w:rPr>
        <w:t>#</w:t>
      </w:r>
      <w:r w:rsidRPr="00D067E9">
        <w:rPr>
          <w:rStyle w:val="normaltextrun"/>
          <w:rFonts w:ascii="Arial" w:hAnsi="Arial" w:cs="Arial"/>
          <w:sz w:val="21"/>
          <w:szCs w:val="21"/>
        </w:rPr>
        <w:t xml:space="preserve"> Lead contact: j.fu@umcg.nl</w:t>
      </w:r>
    </w:p>
    <w:p w14:paraId="144EAD17" w14:textId="77777777" w:rsidR="00300A2C" w:rsidRPr="00D067E9" w:rsidRDefault="00300A2C" w:rsidP="00EA4F34">
      <w:pPr>
        <w:spacing w:line="276" w:lineRule="auto"/>
        <w:rPr>
          <w:rFonts w:ascii="Arial" w:hAnsi="Arial" w:cs="Arial"/>
          <w:b/>
          <w:bCs/>
          <w:color w:val="C45911" w:themeColor="accent2" w:themeShade="BF"/>
          <w:szCs w:val="21"/>
        </w:rPr>
      </w:pPr>
    </w:p>
    <w:p w14:paraId="515F264F" w14:textId="77777777" w:rsidR="00300A2C" w:rsidRPr="00FB52D0" w:rsidRDefault="00300A2C" w:rsidP="00806888">
      <w:pPr>
        <w:pStyle w:val="TOC1"/>
      </w:pPr>
      <w:r w:rsidRPr="00D067E9">
        <w:rPr>
          <w:color w:val="000000" w:themeColor="text1"/>
        </w:rPr>
        <w:br w:type="page"/>
      </w:r>
      <w:r w:rsidRPr="00FB52D0">
        <w:lastRenderedPageBreak/>
        <w:t>Table of contents</w:t>
      </w:r>
    </w:p>
    <w:p w14:paraId="666CAA23" w14:textId="77777777" w:rsidR="00300A2C" w:rsidRPr="00FB52D0" w:rsidRDefault="00300A2C" w:rsidP="00EA4F34">
      <w:pPr>
        <w:spacing w:line="276" w:lineRule="auto"/>
        <w:rPr>
          <w:rFonts w:ascii="Arial" w:hAnsi="Arial" w:cs="Arial"/>
          <w:b/>
          <w:bCs/>
          <w:color w:val="000000" w:themeColor="text1"/>
          <w:sz w:val="22"/>
          <w:szCs w:val="22"/>
        </w:rPr>
      </w:pPr>
    </w:p>
    <w:p w14:paraId="231A91B1" w14:textId="2F41CD4C" w:rsidR="00B6601E" w:rsidRDefault="00B6601E" w:rsidP="00806888">
      <w:pPr>
        <w:pStyle w:val="TOC1"/>
        <w:rPr>
          <w:rFonts w:asciiTheme="minorHAnsi" w:eastAsiaTheme="minorEastAsia" w:hAnsiTheme="minorHAnsi" w:cstheme="minorBidi"/>
          <w:sz w:val="22"/>
          <w:szCs w:val="24"/>
        </w:rPr>
      </w:pPr>
      <w:r>
        <w:rPr>
          <w:color w:val="000000" w:themeColor="text1"/>
          <w:sz w:val="22"/>
          <w:szCs w:val="20"/>
        </w:rPr>
        <w:fldChar w:fldCharType="begin"/>
      </w:r>
      <w:r>
        <w:rPr>
          <w:color w:val="000000" w:themeColor="text1"/>
          <w:sz w:val="22"/>
          <w:szCs w:val="20"/>
        </w:rPr>
        <w:instrText xml:space="preserve"> TOC \o "1-5" \h \z \u </w:instrText>
      </w:r>
      <w:r>
        <w:rPr>
          <w:color w:val="000000" w:themeColor="text1"/>
          <w:sz w:val="22"/>
          <w:szCs w:val="20"/>
        </w:rPr>
        <w:fldChar w:fldCharType="separate"/>
      </w:r>
      <w:hyperlink w:anchor="_Toc195882813" w:history="1">
        <w:r w:rsidRPr="00E36C15">
          <w:rPr>
            <w:rStyle w:val="aa"/>
          </w:rPr>
          <w:t>Supplemental Notes</w:t>
        </w:r>
        <w:r>
          <w:rPr>
            <w:webHidden/>
          </w:rPr>
          <w:tab/>
        </w:r>
        <w:r>
          <w:rPr>
            <w:webHidden/>
          </w:rPr>
          <w:fldChar w:fldCharType="begin"/>
        </w:r>
        <w:r>
          <w:rPr>
            <w:webHidden/>
          </w:rPr>
          <w:instrText xml:space="preserve"> PAGEREF _Toc195882813 \h </w:instrText>
        </w:r>
        <w:r>
          <w:rPr>
            <w:webHidden/>
          </w:rPr>
        </w:r>
        <w:r>
          <w:rPr>
            <w:webHidden/>
          </w:rPr>
          <w:fldChar w:fldCharType="separate"/>
        </w:r>
        <w:r>
          <w:rPr>
            <w:webHidden/>
          </w:rPr>
          <w:t>3</w:t>
        </w:r>
        <w:r>
          <w:rPr>
            <w:webHidden/>
          </w:rPr>
          <w:fldChar w:fldCharType="end"/>
        </w:r>
      </w:hyperlink>
    </w:p>
    <w:p w14:paraId="4D53F370" w14:textId="2F6B0EF2" w:rsidR="00B6601E" w:rsidRDefault="00B6601E">
      <w:pPr>
        <w:pStyle w:val="TOC2"/>
        <w:tabs>
          <w:tab w:val="right" w:leader="middleDot" w:pos="8296"/>
        </w:tabs>
        <w:rPr>
          <w:rFonts w:asciiTheme="minorHAnsi" w:eastAsiaTheme="minorEastAsia" w:hAnsiTheme="minorHAnsi"/>
          <w:bCs w:val="0"/>
          <w:noProof/>
          <w:sz w:val="22"/>
          <w:szCs w:val="24"/>
        </w:rPr>
      </w:pPr>
      <w:hyperlink w:anchor="_Toc195882814" w:history="1">
        <w:r w:rsidRPr="00E36C15">
          <w:rPr>
            <w:rStyle w:val="aa"/>
            <w:rFonts w:cs="Arial"/>
            <w:noProof/>
          </w:rPr>
          <w:t>Supplemental Note 1. Benchmarking the HGT Detection from MAGs at Individual level (HDMI) workflow</w:t>
        </w:r>
        <w:r>
          <w:rPr>
            <w:noProof/>
            <w:webHidden/>
          </w:rPr>
          <w:tab/>
        </w:r>
        <w:r>
          <w:rPr>
            <w:noProof/>
            <w:webHidden/>
          </w:rPr>
          <w:fldChar w:fldCharType="begin"/>
        </w:r>
        <w:r>
          <w:rPr>
            <w:noProof/>
            <w:webHidden/>
          </w:rPr>
          <w:instrText xml:space="preserve"> PAGEREF _Toc195882814 \h </w:instrText>
        </w:r>
        <w:r>
          <w:rPr>
            <w:noProof/>
            <w:webHidden/>
          </w:rPr>
        </w:r>
        <w:r>
          <w:rPr>
            <w:noProof/>
            <w:webHidden/>
          </w:rPr>
          <w:fldChar w:fldCharType="separate"/>
        </w:r>
        <w:r>
          <w:rPr>
            <w:noProof/>
            <w:webHidden/>
          </w:rPr>
          <w:t>3</w:t>
        </w:r>
        <w:r>
          <w:rPr>
            <w:noProof/>
            <w:webHidden/>
          </w:rPr>
          <w:fldChar w:fldCharType="end"/>
        </w:r>
      </w:hyperlink>
    </w:p>
    <w:p w14:paraId="28AEFC1C" w14:textId="43501D45" w:rsidR="00B6601E" w:rsidRDefault="00B6601E">
      <w:pPr>
        <w:pStyle w:val="TOC2"/>
        <w:tabs>
          <w:tab w:val="right" w:leader="middleDot" w:pos="8296"/>
        </w:tabs>
        <w:rPr>
          <w:rFonts w:asciiTheme="minorHAnsi" w:eastAsiaTheme="minorEastAsia" w:hAnsiTheme="minorHAnsi"/>
          <w:bCs w:val="0"/>
          <w:noProof/>
          <w:sz w:val="22"/>
          <w:szCs w:val="24"/>
        </w:rPr>
      </w:pPr>
      <w:hyperlink w:anchor="_Toc195882815" w:history="1">
        <w:r w:rsidRPr="00E36C15">
          <w:rPr>
            <w:rStyle w:val="aa"/>
            <w:rFonts w:cs="Arial"/>
            <w:noProof/>
          </w:rPr>
          <w:t xml:space="preserve">Supplemental Note 2. </w:t>
        </w:r>
        <w:r w:rsidRPr="00E36C15">
          <w:rPr>
            <w:rStyle w:val="aa"/>
            <w:rFonts w:cs="Arial"/>
            <w:noProof/>
            <w:shd w:val="clear" w:color="auto" w:fill="FFFFFF"/>
          </w:rPr>
          <w:t>HGT can transfer across multiple species/genera/families</w:t>
        </w:r>
        <w:r>
          <w:rPr>
            <w:noProof/>
            <w:webHidden/>
          </w:rPr>
          <w:tab/>
        </w:r>
        <w:r>
          <w:rPr>
            <w:noProof/>
            <w:webHidden/>
          </w:rPr>
          <w:fldChar w:fldCharType="begin"/>
        </w:r>
        <w:r>
          <w:rPr>
            <w:noProof/>
            <w:webHidden/>
          </w:rPr>
          <w:instrText xml:space="preserve"> PAGEREF _Toc195882815 \h </w:instrText>
        </w:r>
        <w:r>
          <w:rPr>
            <w:noProof/>
            <w:webHidden/>
          </w:rPr>
        </w:r>
        <w:r>
          <w:rPr>
            <w:noProof/>
            <w:webHidden/>
          </w:rPr>
          <w:fldChar w:fldCharType="separate"/>
        </w:r>
        <w:r>
          <w:rPr>
            <w:noProof/>
            <w:webHidden/>
          </w:rPr>
          <w:t>4</w:t>
        </w:r>
        <w:r>
          <w:rPr>
            <w:noProof/>
            <w:webHidden/>
          </w:rPr>
          <w:fldChar w:fldCharType="end"/>
        </w:r>
      </w:hyperlink>
    </w:p>
    <w:p w14:paraId="5C0A91A4" w14:textId="0376E34A" w:rsidR="00B6601E" w:rsidRDefault="00B6601E">
      <w:pPr>
        <w:pStyle w:val="TOC2"/>
        <w:tabs>
          <w:tab w:val="right" w:leader="middleDot" w:pos="8296"/>
        </w:tabs>
        <w:rPr>
          <w:rFonts w:asciiTheme="minorHAnsi" w:eastAsiaTheme="minorEastAsia" w:hAnsiTheme="minorHAnsi"/>
          <w:bCs w:val="0"/>
          <w:noProof/>
          <w:sz w:val="22"/>
          <w:szCs w:val="24"/>
        </w:rPr>
      </w:pPr>
      <w:hyperlink w:anchor="_Toc195882816" w:history="1">
        <w:r w:rsidRPr="00E36C15">
          <w:rPr>
            <w:rStyle w:val="aa"/>
            <w:rFonts w:cs="Arial"/>
            <w:noProof/>
          </w:rPr>
          <w:t xml:space="preserve">Supplemental Note 3. Transfer network of </w:t>
        </w:r>
        <w:r w:rsidRPr="00E36C15">
          <w:rPr>
            <w:rStyle w:val="aa"/>
            <w:rFonts w:cs="Arial"/>
            <w:noProof/>
            <w:shd w:val="clear" w:color="auto" w:fill="FFFFFF"/>
          </w:rPr>
          <w:t>antibiotic resistance genes.</w:t>
        </w:r>
        <w:r>
          <w:rPr>
            <w:noProof/>
            <w:webHidden/>
          </w:rPr>
          <w:tab/>
        </w:r>
        <w:r>
          <w:rPr>
            <w:noProof/>
            <w:webHidden/>
          </w:rPr>
          <w:fldChar w:fldCharType="begin"/>
        </w:r>
        <w:r>
          <w:rPr>
            <w:noProof/>
            <w:webHidden/>
          </w:rPr>
          <w:instrText xml:space="preserve"> PAGEREF _Toc195882816 \h </w:instrText>
        </w:r>
        <w:r>
          <w:rPr>
            <w:noProof/>
            <w:webHidden/>
          </w:rPr>
        </w:r>
        <w:r>
          <w:rPr>
            <w:noProof/>
            <w:webHidden/>
          </w:rPr>
          <w:fldChar w:fldCharType="separate"/>
        </w:r>
        <w:r>
          <w:rPr>
            <w:noProof/>
            <w:webHidden/>
          </w:rPr>
          <w:t>4</w:t>
        </w:r>
        <w:r>
          <w:rPr>
            <w:noProof/>
            <w:webHidden/>
          </w:rPr>
          <w:fldChar w:fldCharType="end"/>
        </w:r>
      </w:hyperlink>
    </w:p>
    <w:p w14:paraId="1C8227C2" w14:textId="7AC6594D" w:rsidR="00B6601E" w:rsidRDefault="00B6601E">
      <w:pPr>
        <w:pStyle w:val="TOC2"/>
        <w:tabs>
          <w:tab w:val="right" w:leader="middleDot" w:pos="8296"/>
        </w:tabs>
        <w:rPr>
          <w:rFonts w:asciiTheme="minorHAnsi" w:eastAsiaTheme="minorEastAsia" w:hAnsiTheme="minorHAnsi"/>
          <w:bCs w:val="0"/>
          <w:noProof/>
          <w:sz w:val="22"/>
          <w:szCs w:val="24"/>
        </w:rPr>
      </w:pPr>
      <w:hyperlink w:anchor="_Toc195882817" w:history="1">
        <w:r w:rsidRPr="00E36C15">
          <w:rPr>
            <w:rStyle w:val="aa"/>
            <w:rFonts w:cs="Arial"/>
            <w:noProof/>
          </w:rPr>
          <w:t>Supplemental Note 4. Bacteria with gelatin hydrolysis, motility, and MoaC are more likely to be involved in HGT</w:t>
        </w:r>
        <w:r>
          <w:rPr>
            <w:noProof/>
            <w:webHidden/>
          </w:rPr>
          <w:tab/>
        </w:r>
        <w:r>
          <w:rPr>
            <w:noProof/>
            <w:webHidden/>
          </w:rPr>
          <w:fldChar w:fldCharType="begin"/>
        </w:r>
        <w:r>
          <w:rPr>
            <w:noProof/>
            <w:webHidden/>
          </w:rPr>
          <w:instrText xml:space="preserve"> PAGEREF _Toc195882817 \h </w:instrText>
        </w:r>
        <w:r>
          <w:rPr>
            <w:noProof/>
            <w:webHidden/>
          </w:rPr>
        </w:r>
        <w:r>
          <w:rPr>
            <w:noProof/>
            <w:webHidden/>
          </w:rPr>
          <w:fldChar w:fldCharType="separate"/>
        </w:r>
        <w:r>
          <w:rPr>
            <w:noProof/>
            <w:webHidden/>
          </w:rPr>
          <w:t>5</w:t>
        </w:r>
        <w:r>
          <w:rPr>
            <w:noProof/>
            <w:webHidden/>
          </w:rPr>
          <w:fldChar w:fldCharType="end"/>
        </w:r>
      </w:hyperlink>
    </w:p>
    <w:p w14:paraId="483BF586" w14:textId="6B5B3B97" w:rsidR="00B6601E" w:rsidRDefault="00B6601E" w:rsidP="00806888">
      <w:pPr>
        <w:pStyle w:val="TOC1"/>
        <w:rPr>
          <w:rFonts w:asciiTheme="minorHAnsi" w:eastAsiaTheme="minorEastAsia" w:hAnsiTheme="minorHAnsi" w:cstheme="minorBidi"/>
          <w:sz w:val="22"/>
          <w:szCs w:val="24"/>
        </w:rPr>
      </w:pPr>
      <w:hyperlink w:anchor="_Toc195882818" w:history="1">
        <w:r w:rsidRPr="00E36C15">
          <w:rPr>
            <w:rStyle w:val="aa"/>
          </w:rPr>
          <w:t>Supplemental Figure Legends</w:t>
        </w:r>
        <w:r>
          <w:rPr>
            <w:webHidden/>
          </w:rPr>
          <w:tab/>
        </w:r>
        <w:r>
          <w:rPr>
            <w:webHidden/>
          </w:rPr>
          <w:fldChar w:fldCharType="begin"/>
        </w:r>
        <w:r>
          <w:rPr>
            <w:webHidden/>
          </w:rPr>
          <w:instrText xml:space="preserve"> PAGEREF _Toc195882818 \h </w:instrText>
        </w:r>
        <w:r>
          <w:rPr>
            <w:webHidden/>
          </w:rPr>
        </w:r>
        <w:r>
          <w:rPr>
            <w:webHidden/>
          </w:rPr>
          <w:fldChar w:fldCharType="separate"/>
        </w:r>
        <w:r>
          <w:rPr>
            <w:webHidden/>
          </w:rPr>
          <w:t>7</w:t>
        </w:r>
        <w:r>
          <w:rPr>
            <w:webHidden/>
          </w:rPr>
          <w:fldChar w:fldCharType="end"/>
        </w:r>
      </w:hyperlink>
    </w:p>
    <w:p w14:paraId="3F46EA6D" w14:textId="3B50EF69" w:rsidR="00B6601E" w:rsidRDefault="00B6601E">
      <w:pPr>
        <w:pStyle w:val="TOC2"/>
        <w:tabs>
          <w:tab w:val="right" w:leader="middleDot" w:pos="8296"/>
        </w:tabs>
        <w:rPr>
          <w:rFonts w:asciiTheme="minorHAnsi" w:eastAsiaTheme="minorEastAsia" w:hAnsiTheme="minorHAnsi"/>
          <w:bCs w:val="0"/>
          <w:noProof/>
          <w:sz w:val="22"/>
          <w:szCs w:val="24"/>
        </w:rPr>
      </w:pPr>
      <w:hyperlink w:anchor="_Toc195882819" w:history="1">
        <w:r w:rsidRPr="00E36C15">
          <w:rPr>
            <w:rStyle w:val="aa"/>
            <w:rFonts w:cs="Arial"/>
            <w:noProof/>
          </w:rPr>
          <w:t>Fig. S1. Overview of the HDMI workflow.</w:t>
        </w:r>
        <w:r>
          <w:rPr>
            <w:noProof/>
            <w:webHidden/>
          </w:rPr>
          <w:tab/>
        </w:r>
        <w:r>
          <w:rPr>
            <w:noProof/>
            <w:webHidden/>
          </w:rPr>
          <w:fldChar w:fldCharType="begin"/>
        </w:r>
        <w:r>
          <w:rPr>
            <w:noProof/>
            <w:webHidden/>
          </w:rPr>
          <w:instrText xml:space="preserve"> PAGEREF _Toc195882819 \h </w:instrText>
        </w:r>
        <w:r>
          <w:rPr>
            <w:noProof/>
            <w:webHidden/>
          </w:rPr>
        </w:r>
        <w:r>
          <w:rPr>
            <w:noProof/>
            <w:webHidden/>
          </w:rPr>
          <w:fldChar w:fldCharType="separate"/>
        </w:r>
        <w:r>
          <w:rPr>
            <w:noProof/>
            <w:webHidden/>
          </w:rPr>
          <w:t>7</w:t>
        </w:r>
        <w:r>
          <w:rPr>
            <w:noProof/>
            <w:webHidden/>
          </w:rPr>
          <w:fldChar w:fldCharType="end"/>
        </w:r>
      </w:hyperlink>
    </w:p>
    <w:p w14:paraId="1E9C1BC9" w14:textId="5954353D" w:rsidR="00B6601E" w:rsidRDefault="00B6601E">
      <w:pPr>
        <w:pStyle w:val="TOC2"/>
        <w:tabs>
          <w:tab w:val="right" w:leader="middleDot" w:pos="8296"/>
        </w:tabs>
        <w:rPr>
          <w:rFonts w:asciiTheme="minorHAnsi" w:eastAsiaTheme="minorEastAsia" w:hAnsiTheme="minorHAnsi"/>
          <w:bCs w:val="0"/>
          <w:noProof/>
          <w:sz w:val="22"/>
          <w:szCs w:val="24"/>
        </w:rPr>
      </w:pPr>
      <w:hyperlink w:anchor="_Toc195882820" w:history="1">
        <w:r w:rsidRPr="00E36C15">
          <w:rPr>
            <w:rStyle w:val="aa"/>
            <w:rFonts w:cs="Arial"/>
            <w:noProof/>
          </w:rPr>
          <w:t>Fig. S2. Benchmarking HDMI.</w:t>
        </w:r>
        <w:r>
          <w:rPr>
            <w:noProof/>
            <w:webHidden/>
          </w:rPr>
          <w:tab/>
        </w:r>
        <w:r>
          <w:rPr>
            <w:noProof/>
            <w:webHidden/>
          </w:rPr>
          <w:fldChar w:fldCharType="begin"/>
        </w:r>
        <w:r>
          <w:rPr>
            <w:noProof/>
            <w:webHidden/>
          </w:rPr>
          <w:instrText xml:space="preserve"> PAGEREF _Toc195882820 \h </w:instrText>
        </w:r>
        <w:r>
          <w:rPr>
            <w:noProof/>
            <w:webHidden/>
          </w:rPr>
        </w:r>
        <w:r>
          <w:rPr>
            <w:noProof/>
            <w:webHidden/>
          </w:rPr>
          <w:fldChar w:fldCharType="separate"/>
        </w:r>
        <w:r>
          <w:rPr>
            <w:noProof/>
            <w:webHidden/>
          </w:rPr>
          <w:t>8</w:t>
        </w:r>
        <w:r>
          <w:rPr>
            <w:noProof/>
            <w:webHidden/>
          </w:rPr>
          <w:fldChar w:fldCharType="end"/>
        </w:r>
      </w:hyperlink>
    </w:p>
    <w:p w14:paraId="65E2ACBC" w14:textId="5A410755" w:rsidR="00B6601E" w:rsidRDefault="00B6601E">
      <w:pPr>
        <w:pStyle w:val="TOC2"/>
        <w:tabs>
          <w:tab w:val="right" w:leader="middleDot" w:pos="8296"/>
        </w:tabs>
        <w:rPr>
          <w:rFonts w:asciiTheme="minorHAnsi" w:eastAsiaTheme="minorEastAsia" w:hAnsiTheme="minorHAnsi"/>
          <w:bCs w:val="0"/>
          <w:noProof/>
          <w:sz w:val="22"/>
          <w:szCs w:val="24"/>
        </w:rPr>
      </w:pPr>
      <w:hyperlink w:anchor="_Toc195882821" w:history="1">
        <w:r w:rsidRPr="00E36C15">
          <w:rPr>
            <w:rStyle w:val="aa"/>
            <w:rFonts w:cs="Arial"/>
            <w:noProof/>
          </w:rPr>
          <w:t>Fig. S3. HGT transfer across multiple species/genera/families.</w:t>
        </w:r>
        <w:r>
          <w:rPr>
            <w:noProof/>
            <w:webHidden/>
          </w:rPr>
          <w:tab/>
        </w:r>
        <w:r>
          <w:rPr>
            <w:noProof/>
            <w:webHidden/>
          </w:rPr>
          <w:fldChar w:fldCharType="begin"/>
        </w:r>
        <w:r>
          <w:rPr>
            <w:noProof/>
            <w:webHidden/>
          </w:rPr>
          <w:instrText xml:space="preserve"> PAGEREF _Toc195882821 \h </w:instrText>
        </w:r>
        <w:r>
          <w:rPr>
            <w:noProof/>
            <w:webHidden/>
          </w:rPr>
        </w:r>
        <w:r>
          <w:rPr>
            <w:noProof/>
            <w:webHidden/>
          </w:rPr>
          <w:fldChar w:fldCharType="separate"/>
        </w:r>
        <w:r>
          <w:rPr>
            <w:noProof/>
            <w:webHidden/>
          </w:rPr>
          <w:t>9</w:t>
        </w:r>
        <w:r>
          <w:rPr>
            <w:noProof/>
            <w:webHidden/>
          </w:rPr>
          <w:fldChar w:fldCharType="end"/>
        </w:r>
      </w:hyperlink>
    </w:p>
    <w:p w14:paraId="44098369" w14:textId="05AA0A91" w:rsidR="00B6601E" w:rsidRDefault="00B6601E">
      <w:pPr>
        <w:pStyle w:val="TOC2"/>
        <w:tabs>
          <w:tab w:val="right" w:leader="middleDot" w:pos="8296"/>
        </w:tabs>
        <w:rPr>
          <w:rFonts w:asciiTheme="minorHAnsi" w:eastAsiaTheme="minorEastAsia" w:hAnsiTheme="minorHAnsi"/>
          <w:bCs w:val="0"/>
          <w:noProof/>
          <w:sz w:val="22"/>
          <w:szCs w:val="24"/>
        </w:rPr>
      </w:pPr>
      <w:hyperlink w:anchor="_Toc195882822" w:history="1">
        <w:r w:rsidRPr="00E36C15">
          <w:rPr>
            <w:rStyle w:val="aa"/>
            <w:rFonts w:cs="Arial"/>
            <w:noProof/>
          </w:rPr>
          <w:t>Fig. S4. Recent transfer contributes to the spread of antibiotic resistance genes (ARGs).</w:t>
        </w:r>
        <w:r>
          <w:rPr>
            <w:noProof/>
            <w:webHidden/>
          </w:rPr>
          <w:tab/>
        </w:r>
        <w:r>
          <w:rPr>
            <w:noProof/>
            <w:webHidden/>
          </w:rPr>
          <w:fldChar w:fldCharType="begin"/>
        </w:r>
        <w:r>
          <w:rPr>
            <w:noProof/>
            <w:webHidden/>
          </w:rPr>
          <w:instrText xml:space="preserve"> PAGEREF _Toc195882822 \h </w:instrText>
        </w:r>
        <w:r>
          <w:rPr>
            <w:noProof/>
            <w:webHidden/>
          </w:rPr>
        </w:r>
        <w:r>
          <w:rPr>
            <w:noProof/>
            <w:webHidden/>
          </w:rPr>
          <w:fldChar w:fldCharType="separate"/>
        </w:r>
        <w:r>
          <w:rPr>
            <w:noProof/>
            <w:webHidden/>
          </w:rPr>
          <w:t>10</w:t>
        </w:r>
        <w:r>
          <w:rPr>
            <w:noProof/>
            <w:webHidden/>
          </w:rPr>
          <w:fldChar w:fldCharType="end"/>
        </w:r>
      </w:hyperlink>
    </w:p>
    <w:p w14:paraId="3C032830" w14:textId="2008C68A" w:rsidR="00B6601E" w:rsidRDefault="00B6601E">
      <w:pPr>
        <w:pStyle w:val="TOC2"/>
        <w:tabs>
          <w:tab w:val="right" w:leader="middleDot" w:pos="8296"/>
        </w:tabs>
        <w:rPr>
          <w:rFonts w:asciiTheme="minorHAnsi" w:eastAsiaTheme="minorEastAsia" w:hAnsiTheme="minorHAnsi"/>
          <w:bCs w:val="0"/>
          <w:noProof/>
          <w:sz w:val="22"/>
          <w:szCs w:val="24"/>
        </w:rPr>
      </w:pPr>
      <w:hyperlink w:anchor="_Toc195882823" w:history="1">
        <w:r w:rsidRPr="00E36C15">
          <w:rPr>
            <w:rStyle w:val="aa"/>
            <w:rFonts w:cs="Arial"/>
            <w:noProof/>
          </w:rPr>
          <w:t>Fig. S5. Bacteria with high survival ability and motility are more involved in HGT.</w:t>
        </w:r>
        <w:r>
          <w:rPr>
            <w:noProof/>
            <w:webHidden/>
          </w:rPr>
          <w:tab/>
        </w:r>
        <w:r>
          <w:rPr>
            <w:noProof/>
            <w:webHidden/>
          </w:rPr>
          <w:fldChar w:fldCharType="begin"/>
        </w:r>
        <w:r>
          <w:rPr>
            <w:noProof/>
            <w:webHidden/>
          </w:rPr>
          <w:instrText xml:space="preserve"> PAGEREF _Toc195882823 \h </w:instrText>
        </w:r>
        <w:r>
          <w:rPr>
            <w:noProof/>
            <w:webHidden/>
          </w:rPr>
        </w:r>
        <w:r>
          <w:rPr>
            <w:noProof/>
            <w:webHidden/>
          </w:rPr>
          <w:fldChar w:fldCharType="separate"/>
        </w:r>
        <w:r>
          <w:rPr>
            <w:noProof/>
            <w:webHidden/>
          </w:rPr>
          <w:t>11</w:t>
        </w:r>
        <w:r>
          <w:rPr>
            <w:noProof/>
            <w:webHidden/>
          </w:rPr>
          <w:fldChar w:fldCharType="end"/>
        </w:r>
      </w:hyperlink>
    </w:p>
    <w:p w14:paraId="6029997E" w14:textId="4BE6E5D8" w:rsidR="00B6601E" w:rsidRDefault="00B6601E">
      <w:pPr>
        <w:pStyle w:val="TOC2"/>
        <w:tabs>
          <w:tab w:val="right" w:leader="middleDot" w:pos="8296"/>
        </w:tabs>
        <w:rPr>
          <w:rFonts w:asciiTheme="minorHAnsi" w:eastAsiaTheme="minorEastAsia" w:hAnsiTheme="minorHAnsi"/>
          <w:bCs w:val="0"/>
          <w:noProof/>
          <w:sz w:val="22"/>
          <w:szCs w:val="24"/>
        </w:rPr>
      </w:pPr>
      <w:hyperlink w:anchor="_Toc195882824" w:history="1">
        <w:r w:rsidRPr="00E36C15">
          <w:rPr>
            <w:rStyle w:val="aa"/>
            <w:rFonts w:cs="Arial"/>
            <w:noProof/>
          </w:rPr>
          <w:t>Fig. S6. Antimicrobial peptide resistance genes (AMPRs) and virulence factors (VFs) are enriched in closely related communities with frequent gene transfer.</w:t>
        </w:r>
        <w:r>
          <w:rPr>
            <w:noProof/>
            <w:webHidden/>
          </w:rPr>
          <w:tab/>
        </w:r>
        <w:r>
          <w:rPr>
            <w:noProof/>
            <w:webHidden/>
          </w:rPr>
          <w:fldChar w:fldCharType="begin"/>
        </w:r>
        <w:r>
          <w:rPr>
            <w:noProof/>
            <w:webHidden/>
          </w:rPr>
          <w:instrText xml:space="preserve"> PAGEREF _Toc195882824 \h </w:instrText>
        </w:r>
        <w:r>
          <w:rPr>
            <w:noProof/>
            <w:webHidden/>
          </w:rPr>
        </w:r>
        <w:r>
          <w:rPr>
            <w:noProof/>
            <w:webHidden/>
          </w:rPr>
          <w:fldChar w:fldCharType="separate"/>
        </w:r>
        <w:r>
          <w:rPr>
            <w:noProof/>
            <w:webHidden/>
          </w:rPr>
          <w:t>12</w:t>
        </w:r>
        <w:r>
          <w:rPr>
            <w:noProof/>
            <w:webHidden/>
          </w:rPr>
          <w:fldChar w:fldCharType="end"/>
        </w:r>
      </w:hyperlink>
    </w:p>
    <w:p w14:paraId="36F271BB" w14:textId="772AFE97" w:rsidR="00B6601E" w:rsidRDefault="00B6601E">
      <w:pPr>
        <w:pStyle w:val="TOC2"/>
        <w:tabs>
          <w:tab w:val="right" w:leader="middleDot" w:pos="8296"/>
        </w:tabs>
        <w:rPr>
          <w:rFonts w:asciiTheme="minorHAnsi" w:eastAsiaTheme="minorEastAsia" w:hAnsiTheme="minorHAnsi"/>
          <w:bCs w:val="0"/>
          <w:noProof/>
          <w:sz w:val="22"/>
          <w:szCs w:val="24"/>
        </w:rPr>
      </w:pPr>
      <w:hyperlink w:anchor="_Toc195882825" w:history="1">
        <w:r w:rsidRPr="00E36C15">
          <w:rPr>
            <w:rStyle w:val="aa"/>
            <w:rFonts w:cs="Arial"/>
            <w:noProof/>
          </w:rPr>
          <w:t>Fig. S7. Temporal change in HGT segments.</w:t>
        </w:r>
        <w:r>
          <w:rPr>
            <w:noProof/>
            <w:webHidden/>
          </w:rPr>
          <w:tab/>
        </w:r>
        <w:r>
          <w:rPr>
            <w:noProof/>
            <w:webHidden/>
          </w:rPr>
          <w:fldChar w:fldCharType="begin"/>
        </w:r>
        <w:r>
          <w:rPr>
            <w:noProof/>
            <w:webHidden/>
          </w:rPr>
          <w:instrText xml:space="preserve"> PAGEREF _Toc195882825 \h </w:instrText>
        </w:r>
        <w:r>
          <w:rPr>
            <w:noProof/>
            <w:webHidden/>
          </w:rPr>
        </w:r>
        <w:r>
          <w:rPr>
            <w:noProof/>
            <w:webHidden/>
          </w:rPr>
          <w:fldChar w:fldCharType="separate"/>
        </w:r>
        <w:r>
          <w:rPr>
            <w:noProof/>
            <w:webHidden/>
          </w:rPr>
          <w:t>13</w:t>
        </w:r>
        <w:r>
          <w:rPr>
            <w:noProof/>
            <w:webHidden/>
          </w:rPr>
          <w:fldChar w:fldCharType="end"/>
        </w:r>
      </w:hyperlink>
    </w:p>
    <w:p w14:paraId="0E01EF8C" w14:textId="0B3D5409" w:rsidR="00B6601E" w:rsidRDefault="00B6601E" w:rsidP="00806888">
      <w:pPr>
        <w:pStyle w:val="TOC1"/>
        <w:rPr>
          <w:rFonts w:asciiTheme="minorHAnsi" w:eastAsiaTheme="minorEastAsia" w:hAnsiTheme="minorHAnsi" w:cstheme="minorBidi"/>
          <w:sz w:val="22"/>
          <w:szCs w:val="24"/>
        </w:rPr>
      </w:pPr>
      <w:hyperlink w:anchor="_Toc195882826" w:history="1">
        <w:r w:rsidRPr="00E36C15">
          <w:rPr>
            <w:rStyle w:val="aa"/>
          </w:rPr>
          <w:t>References</w:t>
        </w:r>
        <w:r>
          <w:rPr>
            <w:webHidden/>
          </w:rPr>
          <w:tab/>
        </w:r>
        <w:r>
          <w:rPr>
            <w:webHidden/>
          </w:rPr>
          <w:fldChar w:fldCharType="begin"/>
        </w:r>
        <w:r>
          <w:rPr>
            <w:webHidden/>
          </w:rPr>
          <w:instrText xml:space="preserve"> PAGEREF _Toc195882826 \h </w:instrText>
        </w:r>
        <w:r>
          <w:rPr>
            <w:webHidden/>
          </w:rPr>
        </w:r>
        <w:r>
          <w:rPr>
            <w:webHidden/>
          </w:rPr>
          <w:fldChar w:fldCharType="separate"/>
        </w:r>
        <w:r>
          <w:rPr>
            <w:webHidden/>
          </w:rPr>
          <w:t>14</w:t>
        </w:r>
        <w:r>
          <w:rPr>
            <w:webHidden/>
          </w:rPr>
          <w:fldChar w:fldCharType="end"/>
        </w:r>
      </w:hyperlink>
    </w:p>
    <w:p w14:paraId="1D1E6C77" w14:textId="7B4F94D0" w:rsidR="00300A2C" w:rsidRPr="00D067E9" w:rsidRDefault="00B6601E" w:rsidP="00EA4F34">
      <w:pPr>
        <w:spacing w:line="276" w:lineRule="auto"/>
        <w:rPr>
          <w:rFonts w:ascii="Arial" w:hAnsi="Arial" w:cs="Arial"/>
          <w:b/>
          <w:bCs/>
          <w:color w:val="000000" w:themeColor="text1"/>
          <w:sz w:val="24"/>
        </w:rPr>
        <w:sectPr w:rsidR="00300A2C" w:rsidRPr="00D067E9">
          <w:pgSz w:w="11906" w:h="16838"/>
          <w:pgMar w:top="1440" w:right="1800" w:bottom="1440" w:left="1800" w:header="851" w:footer="992" w:gutter="0"/>
          <w:cols w:space="425"/>
          <w:docGrid w:type="lines" w:linePitch="312"/>
        </w:sectPr>
      </w:pPr>
      <w:r>
        <w:rPr>
          <w:rFonts w:ascii="Arial" w:eastAsia="Arial" w:hAnsi="Arial" w:cs="Arial"/>
          <w:noProof/>
          <w:color w:val="000000" w:themeColor="text1"/>
          <w:sz w:val="22"/>
          <w:szCs w:val="20"/>
        </w:rPr>
        <w:fldChar w:fldCharType="end"/>
      </w:r>
    </w:p>
    <w:p w14:paraId="294F1200" w14:textId="4C967B1F" w:rsidR="00A23329" w:rsidRPr="00806888" w:rsidRDefault="006228E6" w:rsidP="00D067E9">
      <w:pPr>
        <w:pStyle w:val="1"/>
        <w:rPr>
          <w:rFonts w:ascii="Arial" w:hAnsi="Arial" w:cs="Arial"/>
          <w:sz w:val="24"/>
          <w:szCs w:val="24"/>
        </w:rPr>
      </w:pPr>
      <w:bookmarkStart w:id="0" w:name="_Toc195882157"/>
      <w:bookmarkStart w:id="1" w:name="_Toc195882813"/>
      <w:r w:rsidRPr="00806888">
        <w:rPr>
          <w:rFonts w:ascii="Arial" w:hAnsi="Arial" w:cs="Arial"/>
          <w:sz w:val="24"/>
          <w:szCs w:val="24"/>
        </w:rPr>
        <w:lastRenderedPageBreak/>
        <w:t>Supplemental Notes</w:t>
      </w:r>
      <w:bookmarkEnd w:id="0"/>
      <w:bookmarkEnd w:id="1"/>
    </w:p>
    <w:p w14:paraId="76D30F99" w14:textId="4C967B1F" w:rsidR="00BA09B8" w:rsidRPr="00D067E9" w:rsidRDefault="00BA09B8" w:rsidP="00D067E9">
      <w:pPr>
        <w:pStyle w:val="2"/>
        <w:rPr>
          <w:rFonts w:ascii="Arial" w:hAnsi="Arial" w:cs="Arial"/>
          <w:sz w:val="21"/>
          <w:szCs w:val="21"/>
        </w:rPr>
      </w:pPr>
      <w:bookmarkStart w:id="2" w:name="_Toc195882158"/>
      <w:bookmarkStart w:id="3" w:name="_Toc195882814"/>
      <w:r w:rsidRPr="00D067E9">
        <w:rPr>
          <w:rFonts w:ascii="Arial" w:hAnsi="Arial" w:cs="Arial"/>
          <w:sz w:val="21"/>
          <w:szCs w:val="21"/>
        </w:rPr>
        <w:t>Supplemental Note</w:t>
      </w:r>
      <w:r w:rsidR="00BC5A0C" w:rsidRPr="00D067E9">
        <w:rPr>
          <w:rFonts w:ascii="Arial" w:hAnsi="Arial" w:cs="Arial"/>
          <w:sz w:val="21"/>
          <w:szCs w:val="21"/>
        </w:rPr>
        <w:t xml:space="preserve"> </w:t>
      </w:r>
      <w:r w:rsidRPr="00D067E9">
        <w:rPr>
          <w:rFonts w:ascii="Arial" w:hAnsi="Arial" w:cs="Arial"/>
          <w:sz w:val="21"/>
          <w:szCs w:val="21"/>
        </w:rPr>
        <w:t>1. Benchmar</w:t>
      </w:r>
      <w:r w:rsidR="00A23329" w:rsidRPr="00D067E9">
        <w:rPr>
          <w:rFonts w:ascii="Arial" w:hAnsi="Arial" w:cs="Arial"/>
          <w:sz w:val="21"/>
          <w:szCs w:val="21"/>
        </w:rPr>
        <w:t>king</w:t>
      </w:r>
      <w:r w:rsidRPr="00D067E9">
        <w:rPr>
          <w:rFonts w:ascii="Arial" w:hAnsi="Arial" w:cs="Arial"/>
          <w:sz w:val="21"/>
          <w:szCs w:val="21"/>
        </w:rPr>
        <w:t xml:space="preserve"> </w:t>
      </w:r>
      <w:r w:rsidR="00A23329" w:rsidRPr="00D067E9">
        <w:rPr>
          <w:rFonts w:ascii="Arial" w:hAnsi="Arial" w:cs="Arial"/>
          <w:sz w:val="21"/>
          <w:szCs w:val="21"/>
        </w:rPr>
        <w:t xml:space="preserve">the </w:t>
      </w:r>
      <w:r w:rsidR="007C3756" w:rsidRPr="00D067E9">
        <w:rPr>
          <w:rFonts w:ascii="Arial" w:hAnsi="Arial" w:cs="Arial"/>
          <w:sz w:val="21"/>
          <w:szCs w:val="21"/>
        </w:rPr>
        <w:t>HGT Detection from MAGs at Individual level</w:t>
      </w:r>
      <w:r w:rsidR="00A23329" w:rsidRPr="00D067E9">
        <w:rPr>
          <w:rFonts w:ascii="Arial" w:hAnsi="Arial" w:cs="Arial"/>
          <w:sz w:val="21"/>
          <w:szCs w:val="21"/>
        </w:rPr>
        <w:t xml:space="preserve"> (HDMI) </w:t>
      </w:r>
      <w:r w:rsidR="007C3756" w:rsidRPr="00D067E9">
        <w:rPr>
          <w:rFonts w:ascii="Arial" w:hAnsi="Arial" w:cs="Arial"/>
          <w:sz w:val="21"/>
          <w:szCs w:val="21"/>
        </w:rPr>
        <w:t>workflow</w:t>
      </w:r>
      <w:bookmarkEnd w:id="2"/>
      <w:bookmarkEnd w:id="3"/>
    </w:p>
    <w:p w14:paraId="1A0A565F" w14:textId="2062FE10" w:rsidR="00BA09B8" w:rsidRPr="00D067E9" w:rsidRDefault="007C3756" w:rsidP="00EA4F34">
      <w:pPr>
        <w:spacing w:line="276" w:lineRule="auto"/>
        <w:rPr>
          <w:rFonts w:ascii="Arial" w:hAnsi="Arial" w:cs="Arial"/>
          <w:b/>
          <w:bCs/>
          <w:color w:val="C00000"/>
          <w:szCs w:val="21"/>
        </w:rPr>
      </w:pPr>
      <w:r w:rsidRPr="00D067E9">
        <w:rPr>
          <w:rFonts w:ascii="Arial" w:hAnsi="Arial" w:cs="Arial"/>
          <w:b/>
          <w:bCs/>
          <w:color w:val="000000" w:themeColor="text1"/>
        </w:rPr>
        <w:t>Impact of s</w:t>
      </w:r>
      <w:r w:rsidR="00BA09B8" w:rsidRPr="00D067E9">
        <w:rPr>
          <w:rFonts w:ascii="Arial" w:hAnsi="Arial" w:cs="Arial"/>
          <w:b/>
          <w:bCs/>
          <w:color w:val="000000" w:themeColor="text1"/>
        </w:rPr>
        <w:t>equence depth on HDMI</w:t>
      </w:r>
    </w:p>
    <w:p w14:paraId="19A042AC" w14:textId="3092DDE9" w:rsidR="00BA09B8" w:rsidRPr="00D067E9" w:rsidRDefault="00BA09B8" w:rsidP="00EA4F34">
      <w:pPr>
        <w:spacing w:after="120" w:line="276" w:lineRule="auto"/>
        <w:rPr>
          <w:rFonts w:ascii="Arial" w:hAnsi="Arial" w:cs="Arial"/>
          <w:color w:val="000000" w:themeColor="text1"/>
        </w:rPr>
      </w:pPr>
      <w:r w:rsidRPr="00D067E9">
        <w:rPr>
          <w:rFonts w:ascii="Arial" w:hAnsi="Arial" w:cs="Arial"/>
          <w:color w:val="000000" w:themeColor="text1"/>
        </w:rPr>
        <w:t>Since HDMI</w:t>
      </w:r>
      <w:r w:rsidR="009D614B" w:rsidRPr="00D067E9">
        <w:rPr>
          <w:rFonts w:ascii="Arial" w:hAnsi="Arial" w:cs="Arial"/>
          <w:color w:val="000000" w:themeColor="text1"/>
        </w:rPr>
        <w:t>’s</w:t>
      </w:r>
      <w:r w:rsidRPr="00D067E9">
        <w:rPr>
          <w:rFonts w:ascii="Arial" w:hAnsi="Arial" w:cs="Arial"/>
          <w:color w:val="000000" w:themeColor="text1"/>
        </w:rPr>
        <w:t xml:space="preserve"> </w:t>
      </w:r>
      <w:r w:rsidR="00A23329" w:rsidRPr="00D067E9">
        <w:rPr>
          <w:rFonts w:ascii="Arial" w:hAnsi="Arial" w:cs="Arial"/>
          <w:color w:val="000000" w:themeColor="text1"/>
        </w:rPr>
        <w:t>horizontal gene transfer (</w:t>
      </w:r>
      <w:r w:rsidRPr="00D067E9">
        <w:rPr>
          <w:rFonts w:ascii="Arial" w:hAnsi="Arial" w:cs="Arial"/>
          <w:color w:val="000000" w:themeColor="text1"/>
        </w:rPr>
        <w:t>HGT</w:t>
      </w:r>
      <w:r w:rsidR="00A23329" w:rsidRPr="00D067E9">
        <w:rPr>
          <w:rFonts w:ascii="Arial" w:hAnsi="Arial" w:cs="Arial"/>
          <w:color w:val="000000" w:themeColor="text1"/>
        </w:rPr>
        <w:t>)</w:t>
      </w:r>
      <w:r w:rsidRPr="00D067E9">
        <w:rPr>
          <w:rFonts w:ascii="Arial" w:hAnsi="Arial" w:cs="Arial"/>
          <w:color w:val="000000" w:themeColor="text1"/>
        </w:rPr>
        <w:t xml:space="preserve"> detection relies on identifying highly homologous fragments and split-read detection—and requires sufficient read coverage at both ends of the insertion site—we first evaluated the impact of sequencing depth on detection sensitivity. We downloaded representative genomes from NCBI (see </w:t>
      </w:r>
      <w:r w:rsidRPr="00D067E9">
        <w:rPr>
          <w:rFonts w:ascii="Arial" w:hAnsi="Arial" w:cs="Arial"/>
          <w:b/>
          <w:bCs/>
          <w:color w:val="0070C0"/>
        </w:rPr>
        <w:t>Table S</w:t>
      </w:r>
      <w:r w:rsidR="002551A3" w:rsidRPr="00D067E9">
        <w:rPr>
          <w:rFonts w:ascii="Arial" w:hAnsi="Arial" w:cs="Arial"/>
          <w:b/>
          <w:bCs/>
          <w:color w:val="0070C0"/>
        </w:rPr>
        <w:t>8</w:t>
      </w:r>
      <w:r w:rsidRPr="00D067E9">
        <w:rPr>
          <w:rFonts w:ascii="Arial" w:hAnsi="Arial" w:cs="Arial"/>
          <w:color w:val="000000" w:themeColor="text1"/>
        </w:rPr>
        <w:t>) and simulate</w:t>
      </w:r>
      <w:r w:rsidR="00BC5A0C" w:rsidRPr="00D067E9">
        <w:rPr>
          <w:rFonts w:ascii="Arial" w:hAnsi="Arial" w:cs="Arial"/>
          <w:color w:val="000000" w:themeColor="text1"/>
        </w:rPr>
        <w:t>d</w:t>
      </w:r>
      <w:r w:rsidRPr="00D067E9">
        <w:rPr>
          <w:rFonts w:ascii="Arial" w:hAnsi="Arial" w:cs="Arial"/>
          <w:color w:val="000000" w:themeColor="text1"/>
        </w:rPr>
        <w:t xml:space="preserve"> the insertion of genes with varying identities. </w:t>
      </w:r>
      <w:r w:rsidR="00BC5A0C" w:rsidRPr="00D067E9">
        <w:rPr>
          <w:rFonts w:ascii="Arial" w:hAnsi="Arial" w:cs="Arial"/>
          <w:color w:val="000000" w:themeColor="text1"/>
        </w:rPr>
        <w:t>We then</w:t>
      </w:r>
      <w:r w:rsidRPr="00D067E9">
        <w:rPr>
          <w:rFonts w:ascii="Arial" w:hAnsi="Arial" w:cs="Arial"/>
          <w:color w:val="000000" w:themeColor="text1"/>
        </w:rPr>
        <w:t xml:space="preserve"> employed ART to simulate metagenomic sequencing data at 6X, 9X, and 12X coverage. Our results show that HDMI recovered 67.3% of HGT events at 6X coverage, 97.9% at 9X, and 100% at 12X</w:t>
      </w:r>
      <w:r w:rsidR="00F85CDD" w:rsidRPr="00D067E9">
        <w:rPr>
          <w:rFonts w:ascii="Arial" w:hAnsi="Arial" w:cs="Arial"/>
          <w:color w:val="000000" w:themeColor="text1"/>
        </w:rPr>
        <w:t xml:space="preserve"> (</w:t>
      </w:r>
      <w:r w:rsidR="00F85CDD" w:rsidRPr="00D067E9">
        <w:rPr>
          <w:rFonts w:ascii="Arial" w:hAnsi="Arial" w:cs="Arial"/>
          <w:b/>
          <w:bCs/>
          <w:color w:val="0070C0"/>
        </w:rPr>
        <w:t>Fig</w:t>
      </w:r>
      <w:r w:rsidR="00EF0078" w:rsidRPr="00D067E9">
        <w:rPr>
          <w:rFonts w:ascii="Arial" w:hAnsi="Arial" w:cs="Arial"/>
          <w:b/>
          <w:bCs/>
          <w:color w:val="0070C0"/>
        </w:rPr>
        <w:t>.</w:t>
      </w:r>
      <w:r w:rsidR="00F85CDD" w:rsidRPr="00D067E9">
        <w:rPr>
          <w:rFonts w:ascii="Arial" w:hAnsi="Arial" w:cs="Arial"/>
          <w:b/>
          <w:bCs/>
          <w:color w:val="0070C0"/>
        </w:rPr>
        <w:t xml:space="preserve"> S</w:t>
      </w:r>
      <w:r w:rsidR="002551A3" w:rsidRPr="00D067E9">
        <w:rPr>
          <w:rFonts w:ascii="Arial" w:hAnsi="Arial" w:cs="Arial"/>
          <w:b/>
          <w:bCs/>
          <w:color w:val="0070C0"/>
        </w:rPr>
        <w:t>2</w:t>
      </w:r>
      <w:r w:rsidR="00EF0078" w:rsidRPr="00D067E9">
        <w:rPr>
          <w:rFonts w:ascii="Arial" w:hAnsi="Arial" w:cs="Arial"/>
          <w:b/>
          <w:bCs/>
          <w:color w:val="0070C0"/>
        </w:rPr>
        <w:t>a</w:t>
      </w:r>
      <w:r w:rsidR="00FD4057" w:rsidRPr="00D067E9">
        <w:rPr>
          <w:rFonts w:ascii="Arial" w:hAnsi="Arial" w:cs="Arial"/>
          <w:color w:val="00B0F0"/>
        </w:rPr>
        <w:t xml:space="preserve">, </w:t>
      </w:r>
      <w:r w:rsidR="00FD4057" w:rsidRPr="00D067E9">
        <w:rPr>
          <w:rFonts w:ascii="Arial" w:hAnsi="Arial" w:cs="Arial"/>
          <w:color w:val="000000" w:themeColor="text1"/>
        </w:rPr>
        <w:t xml:space="preserve">see </w:t>
      </w:r>
      <w:r w:rsidR="00FD4057" w:rsidRPr="00D067E9">
        <w:rPr>
          <w:rFonts w:ascii="Arial" w:hAnsi="Arial" w:cs="Arial"/>
          <w:b/>
          <w:bCs/>
          <w:color w:val="0070C0"/>
        </w:rPr>
        <w:t>Methods</w:t>
      </w:r>
      <w:r w:rsidR="00F85CDD" w:rsidRPr="00D067E9">
        <w:rPr>
          <w:rFonts w:ascii="Arial" w:hAnsi="Arial" w:cs="Arial"/>
          <w:color w:val="000000" w:themeColor="text1"/>
        </w:rPr>
        <w:t>)</w:t>
      </w:r>
      <w:r w:rsidRPr="00D067E9">
        <w:rPr>
          <w:rFonts w:ascii="Arial" w:hAnsi="Arial" w:cs="Arial"/>
          <w:color w:val="000000" w:themeColor="text1"/>
        </w:rPr>
        <w:t>.</w:t>
      </w:r>
    </w:p>
    <w:p w14:paraId="342A70E4" w14:textId="4E56F665" w:rsidR="00BA09B8" w:rsidRPr="00D067E9" w:rsidRDefault="00BA09B8" w:rsidP="00EA4F34">
      <w:pPr>
        <w:spacing w:line="276" w:lineRule="auto"/>
        <w:rPr>
          <w:rFonts w:ascii="Arial" w:hAnsi="Arial" w:cs="Arial"/>
          <w:b/>
          <w:bCs/>
          <w:color w:val="000000" w:themeColor="text1"/>
        </w:rPr>
      </w:pPr>
      <w:r w:rsidRPr="00D067E9">
        <w:rPr>
          <w:rFonts w:ascii="Arial" w:hAnsi="Arial" w:cs="Arial"/>
          <w:b/>
          <w:bCs/>
          <w:color w:val="000000" w:themeColor="text1"/>
        </w:rPr>
        <w:t>Comparison with WAAFLE</w:t>
      </w:r>
    </w:p>
    <w:p w14:paraId="4AA9CCAB" w14:textId="46D5040C" w:rsidR="00540B4B" w:rsidRPr="00D067E9" w:rsidRDefault="00540B4B" w:rsidP="00EA4F34">
      <w:pPr>
        <w:spacing w:after="120" w:line="276" w:lineRule="auto"/>
        <w:rPr>
          <w:rFonts w:ascii="Arial" w:hAnsi="Arial" w:cs="Arial"/>
          <w:color w:val="000000" w:themeColor="text1"/>
        </w:rPr>
      </w:pPr>
      <w:bookmarkStart w:id="4" w:name="OLE_LINK5"/>
      <w:r w:rsidRPr="00D067E9">
        <w:rPr>
          <w:rFonts w:ascii="Arial" w:hAnsi="Arial" w:cs="Arial"/>
          <w:color w:val="000000" w:themeColor="text1"/>
        </w:rPr>
        <w:t>Most HGT detection tools cannot distinguish between recent and long-term HGT events</w:t>
      </w:r>
      <w:r w:rsidR="00666AB7" w:rsidRPr="00D067E9">
        <w:rPr>
          <w:rFonts w:ascii="Arial" w:hAnsi="Arial" w:cs="Arial"/>
          <w:color w:val="000000" w:themeColor="text1"/>
        </w:rPr>
        <w:t xml:space="preserve"> because</w:t>
      </w:r>
      <w:r w:rsidRPr="00D067E9">
        <w:rPr>
          <w:rFonts w:ascii="Arial" w:hAnsi="Arial" w:cs="Arial"/>
          <w:color w:val="000000" w:themeColor="text1"/>
        </w:rPr>
        <w:t xml:space="preserve"> they only identify novel HGT events by comparing to a reference genome</w:t>
      </w:r>
      <w:r w:rsidRPr="00D067E9">
        <w:rPr>
          <w:rFonts w:ascii="Arial" w:hAnsi="Arial" w:cs="Arial"/>
          <w:color w:val="000000" w:themeColor="text1"/>
        </w:rPr>
        <w:fldChar w:fldCharType="begin"/>
      </w:r>
      <w:r w:rsidR="007F789A" w:rsidRPr="00D067E9">
        <w:rPr>
          <w:rFonts w:ascii="Arial" w:hAnsi="Arial" w:cs="Arial"/>
          <w:color w:val="000000" w:themeColor="text1"/>
        </w:rPr>
        <w:instrText xml:space="preserve"> ADDIN EN.CITE &lt;EndNote&gt;&lt;Cite&gt;&lt;Author&gt;Trappe&lt;/Author&gt;&lt;Year&gt;2016&lt;/Year&gt;&lt;RecNum&gt;422&lt;/RecNum&gt;&lt;DisplayText&gt;&lt;style face="superscript"&gt;1,2&lt;/style&gt;&lt;/DisplayText&gt;&lt;record&gt;&lt;rec-number&gt;422&lt;/rec-number&gt;&lt;foreign-keys&gt;&lt;key app="EN" db-id="tsf529sv4w29v5evaf5xwvdkz5varz2ezfze" timestamp="1720100846"&gt;422&lt;/key&gt;&lt;/foreign-keys&gt;&lt;ref-type name="Journal Article"&gt;17&lt;/ref-type&gt;&lt;contributors&gt;&lt;authors&gt;&lt;author&gt;Trappe, Kathrin&lt;/author&gt;&lt;author&gt;Marschall, Tobias&lt;/author&gt;&lt;author&gt;Renard, Bernhard Y.&lt;/author&gt;&lt;/authors&gt;&lt;/contributors&gt;&lt;titles&gt;&lt;title&gt;Detecting horizontal gene transfer by mapping sequencing reads across species boundaries&lt;/title&gt;&lt;secondary-title&gt;Bioinformatics&lt;/secondary-title&gt;&lt;/titles&gt;&lt;periodical&gt;&lt;full-title&gt;Bioinformatics&lt;/full-title&gt;&lt;/periodical&gt;&lt;pages&gt;i595-i604&lt;/pages&gt;&lt;volume&gt;32&lt;/volume&gt;&lt;number&gt;17&lt;/number&gt;&lt;dates&gt;&lt;year&gt;2016&lt;/year&gt;&lt;/dates&gt;&lt;isbn&gt;1367-4803&lt;/isbn&gt;&lt;urls&gt;&lt;related-urls&gt;&lt;url&gt;https://doi.org/10.1093/bioinformatics/btw423&lt;/url&gt;&lt;/related-urls&gt;&lt;/urls&gt;&lt;electronic-resource-num&gt;10.1093/bioinformatics/btw423&lt;/electronic-resource-num&gt;&lt;access-date&gt;7/4/2024&lt;/access-date&gt;&lt;/record&gt;&lt;/Cite&gt;&lt;Cite&gt;&lt;Author&gt;Li&lt;/Author&gt;&lt;Year&gt;2019&lt;/Year&gt;&lt;RecNum&gt;525&lt;/RecNum&gt;&lt;record&gt;&lt;rec-number&gt;525&lt;/rec-number&gt;&lt;foreign-keys&gt;&lt;key app="EN" db-id="tsf529sv4w29v5evaf5xwvdkz5varz2ezfze" timestamp="1734618722"&gt;525&lt;/key&gt;&lt;/foreign-keys&gt;&lt;ref-type name="Journal Article"&gt;17&lt;/ref-type&gt;&lt;contributors&gt;&lt;authors&gt;&lt;author&gt;Li, Chen&lt;/author&gt;&lt;author&gt;Jiang, Yiqi&lt;/author&gt;&lt;author&gt;Li, Shuaicheng&lt;/author&gt;&lt;/authors&gt;&lt;/contributors&gt;&lt;titles&gt;&lt;title&gt;LEMON: a method to construct the local strains at horizontal gene transfer sites in gut metagenomics&lt;/title&gt;&lt;secondary-title&gt;BMC bioinformatics&lt;/secondary-title&gt;&lt;/titles&gt;&lt;pages&gt;702&lt;/pages&gt;&lt;volume&gt;20&lt;/volume&gt;&lt;number&gt;Suppl 23&lt;/number&gt;&lt;dates&gt;&lt;year&gt;2019&lt;/year&gt;&lt;/dates&gt;&lt;isbn&gt;1471-2105&lt;/isbn&gt;&lt;urls&gt;&lt;/urls&gt;&lt;/record&gt;&lt;/Cite&gt;&lt;/EndNote&gt;</w:instrText>
      </w:r>
      <w:r w:rsidRPr="00D067E9">
        <w:rPr>
          <w:rFonts w:ascii="Arial" w:hAnsi="Arial" w:cs="Arial"/>
          <w:color w:val="000000" w:themeColor="text1"/>
        </w:rPr>
        <w:fldChar w:fldCharType="separate"/>
      </w:r>
      <w:r w:rsidR="007F789A" w:rsidRPr="00D067E9">
        <w:rPr>
          <w:rFonts w:ascii="Arial" w:hAnsi="Arial" w:cs="Arial"/>
          <w:noProof/>
          <w:color w:val="000000" w:themeColor="text1"/>
          <w:vertAlign w:val="superscript"/>
        </w:rPr>
        <w:t>1,2</w:t>
      </w:r>
      <w:r w:rsidRPr="00D067E9">
        <w:rPr>
          <w:rFonts w:ascii="Arial" w:hAnsi="Arial" w:cs="Arial"/>
          <w:color w:val="000000" w:themeColor="text1"/>
        </w:rPr>
        <w:fldChar w:fldCharType="end"/>
      </w:r>
      <w:r w:rsidRPr="00D067E9">
        <w:rPr>
          <w:rFonts w:ascii="Arial" w:hAnsi="Arial" w:cs="Arial"/>
          <w:color w:val="000000" w:themeColor="text1"/>
        </w:rPr>
        <w:t>. To address this limitation, reference-free methods such as MetaCHIP and WAAFLE have been developed to detect novel HGT events. However, MetaCHIP—a MAG-based HGT detection method that relies on phylogenetic tree comparisons—is not applicable at the individual level</w:t>
      </w:r>
      <w:r w:rsidRPr="00D067E9">
        <w:rPr>
          <w:rFonts w:ascii="Arial" w:hAnsi="Arial" w:cs="Arial"/>
          <w:color w:val="000000" w:themeColor="text1"/>
        </w:rPr>
        <w:fldChar w:fldCharType="begin"/>
      </w:r>
      <w:r w:rsidR="007F789A" w:rsidRPr="00D067E9">
        <w:rPr>
          <w:rFonts w:ascii="Arial" w:hAnsi="Arial" w:cs="Arial"/>
          <w:color w:val="000000" w:themeColor="text1"/>
        </w:rPr>
        <w:instrText xml:space="preserve"> ADDIN EN.CITE &lt;EndNote&gt;&lt;Cite&gt;&lt;Author&gt;Song&lt;/Author&gt;&lt;Year&gt;2019&lt;/Year&gt;&lt;RecNum&gt;117&lt;/RecNum&gt;&lt;DisplayText&gt;&lt;style face="superscript"&gt;3&lt;/style&gt;&lt;/DisplayText&gt;&lt;record&gt;&lt;rec-number&gt;117&lt;/rec-number&gt;&lt;foreign-keys&gt;&lt;key app="EN" db-id="tsf529sv4w29v5evaf5xwvdkz5varz2ezfze" timestamp="1645468149"&gt;117&lt;/key&gt;&lt;/foreign-keys&gt;&lt;ref-type name="Journal Article"&gt;17&lt;/ref-type&gt;&lt;contributors&gt;&lt;authors&gt;&lt;author&gt;Song, Weizhi&lt;/author&gt;&lt;author&gt;Wemheuer, Bernd&lt;/author&gt;&lt;author&gt;Zhang, Shan&lt;/author&gt;&lt;author&gt;Steensen, Kerrin&lt;/author&gt;&lt;author&gt;Thomas, Torsten&lt;/author&gt;&lt;/authors&gt;&lt;/contributors&gt;&lt;titles&gt;&lt;title&gt;MetaCHIP: community-level horizontal gene transfer identification through the combination of best-match and phylogenetic approaches&lt;/title&gt;&lt;secondary-title&gt;Microbiome&lt;/secondary-title&gt;&lt;/titles&gt;&lt;periodical&gt;&lt;full-title&gt;Microbiome&lt;/full-title&gt;&lt;/periodical&gt;&lt;volume&gt;7&lt;/volume&gt;&lt;number&gt;1&lt;/number&gt;&lt;dates&gt;&lt;year&gt;2019&lt;/year&gt;&lt;/dates&gt;&lt;publisher&gt;Springer Science and Business Media LLC&lt;/publisher&gt;&lt;isbn&gt;2049-2618&lt;/isbn&gt;&lt;urls&gt;&lt;related-urls&gt;&lt;url&gt;https://dx.doi.org/10.1186/s40168-019-0649-y&lt;/url&gt;&lt;/related-urls&gt;&lt;/urls&gt;&lt;electronic-resource-num&gt;10.1186/s40168-019-0649-y&lt;/electronic-resource-num&gt;&lt;/record&gt;&lt;/Cite&gt;&lt;/EndNote&gt;</w:instrText>
      </w:r>
      <w:r w:rsidRPr="00D067E9">
        <w:rPr>
          <w:rFonts w:ascii="Arial" w:hAnsi="Arial" w:cs="Arial"/>
          <w:color w:val="000000" w:themeColor="text1"/>
        </w:rPr>
        <w:fldChar w:fldCharType="separate"/>
      </w:r>
      <w:r w:rsidR="007F789A" w:rsidRPr="00D067E9">
        <w:rPr>
          <w:rFonts w:ascii="Arial" w:hAnsi="Arial" w:cs="Arial"/>
          <w:noProof/>
          <w:color w:val="000000" w:themeColor="text1"/>
          <w:vertAlign w:val="superscript"/>
        </w:rPr>
        <w:t>3</w:t>
      </w:r>
      <w:r w:rsidRPr="00D067E9">
        <w:rPr>
          <w:rFonts w:ascii="Arial" w:hAnsi="Arial" w:cs="Arial"/>
          <w:color w:val="000000" w:themeColor="text1"/>
        </w:rPr>
        <w:fldChar w:fldCharType="end"/>
      </w:r>
      <w:r w:rsidRPr="00D067E9">
        <w:rPr>
          <w:rFonts w:ascii="Arial" w:hAnsi="Arial" w:cs="Arial"/>
          <w:color w:val="000000" w:themeColor="text1"/>
        </w:rPr>
        <w:t>. In contrast,</w:t>
      </w:r>
      <w:r w:rsidR="00BC5A0C" w:rsidRPr="00D067E9">
        <w:rPr>
          <w:rFonts w:ascii="Arial" w:hAnsi="Arial" w:cs="Arial"/>
          <w:color w:val="000000" w:themeColor="text1"/>
        </w:rPr>
        <w:t xml:space="preserve"> the</w:t>
      </w:r>
      <w:r w:rsidRPr="00D067E9">
        <w:rPr>
          <w:rFonts w:ascii="Arial" w:hAnsi="Arial" w:cs="Arial"/>
          <w:color w:val="000000" w:themeColor="text1"/>
        </w:rPr>
        <w:t xml:space="preserve"> </w:t>
      </w:r>
      <w:r w:rsidR="00BC5A0C" w:rsidRPr="00D067E9">
        <w:rPr>
          <w:rFonts w:ascii="Arial" w:hAnsi="Arial" w:cs="Arial"/>
          <w:color w:val="000000" w:themeColor="text1"/>
        </w:rPr>
        <w:t xml:space="preserve">recently published tool </w:t>
      </w:r>
      <w:r w:rsidRPr="00D067E9">
        <w:rPr>
          <w:rFonts w:ascii="Arial" w:hAnsi="Arial" w:cs="Arial"/>
          <w:color w:val="000000" w:themeColor="text1"/>
        </w:rPr>
        <w:t>WAAFLE</w:t>
      </w:r>
      <w:r w:rsidR="00BC5A0C" w:rsidRPr="00D067E9">
        <w:rPr>
          <w:rFonts w:ascii="Arial" w:hAnsi="Arial" w:cs="Arial"/>
          <w:color w:val="000000" w:themeColor="text1"/>
        </w:rPr>
        <w:t xml:space="preserve"> </w:t>
      </w:r>
      <w:r w:rsidRPr="00D067E9">
        <w:rPr>
          <w:rFonts w:ascii="Arial" w:hAnsi="Arial" w:cs="Arial"/>
          <w:color w:val="000000" w:themeColor="text1"/>
        </w:rPr>
        <w:t>can infer HGT events from assembled contigs at the individual level and has demonstrated superior performance to MetaCHIP</w:t>
      </w:r>
      <w:r w:rsidRPr="00D067E9">
        <w:rPr>
          <w:rFonts w:ascii="Arial" w:hAnsi="Arial" w:cs="Arial"/>
          <w:color w:val="000000" w:themeColor="text1"/>
        </w:rPr>
        <w:fldChar w:fldCharType="begin"/>
      </w:r>
      <w:r w:rsidR="007F789A" w:rsidRPr="00D067E9">
        <w:rPr>
          <w:rFonts w:ascii="Arial" w:hAnsi="Arial" w:cs="Arial"/>
          <w:color w:val="000000" w:themeColor="text1"/>
        </w:rPr>
        <w:instrText xml:space="preserve"> ADDIN EN.CITE &lt;EndNote&gt;&lt;Cite&gt;&lt;Author&gt;Hsu&lt;/Author&gt;&lt;Year&gt;2025&lt;/Year&gt;&lt;RecNum&gt;532&lt;/RecNum&gt;&lt;DisplayText&gt;&lt;style face="superscript"&gt;4&lt;/style&gt;&lt;/DisplayText&gt;&lt;record&gt;&lt;rec-number&gt;532&lt;/rec-number&gt;&lt;foreign-keys&gt;&lt;key app="EN" db-id="tsf529sv4w29v5evaf5xwvdkz5varz2ezfze" timestamp="1736441658"&gt;532&lt;/key&gt;&lt;/foreign-keys&gt;&lt;ref-type name="Journal Article"&gt;17&lt;/ref-type&gt;&lt;contributors&gt;&lt;authors&gt;&lt;author&gt;Hsu, Tiffany Y.&lt;/author&gt;&lt;author&gt;Nzabarushimana, Etienne&lt;/author&gt;&lt;author&gt;Wong, Dennis&lt;/author&gt;&lt;author&gt;Luo, Chengwei&lt;/author&gt;&lt;author&gt;Beiko, Robert G.&lt;/author&gt;&lt;author&gt;Langille, Morgan&lt;/author&gt;&lt;author&gt;Huttenhower, Curtis&lt;/author&gt;&lt;author&gt;Nguyen, Long H.&lt;/author&gt;&lt;author&gt;Franzosa, Eric A.&lt;/author&gt;&lt;/authors&gt;&lt;/contributors&gt;&lt;titles&gt;&lt;title&gt;Profiling lateral gene transfer events in the human microbiome using WAAFLE&lt;/title&gt;&lt;secondary-title&gt;Nature Microbiology&lt;/secondary-title&gt;&lt;/titles&gt;&lt;periodical&gt;&lt;full-title&gt;Nature Microbiology&lt;/full-title&gt;&lt;/periodical&gt;&lt;dates&gt;&lt;year&gt;2025&lt;/year&gt;&lt;pub-dates&gt;&lt;date&gt;2025/01/02&lt;/date&gt;&lt;/pub-dates&gt;&lt;/dates&gt;&lt;isbn&gt;2058-5276&lt;/isbn&gt;&lt;urls&gt;&lt;related-urls&gt;&lt;url&gt;https://doi.org/10.1038/s41564-024-01881-w&lt;/url&gt;&lt;/related-urls&gt;&lt;/urls&gt;&lt;electronic-resource-num&gt;10.1038/s41564-024-01881-w&lt;/electronic-resource-num&gt;&lt;/record&gt;&lt;/Cite&gt;&lt;/EndNote&gt;</w:instrText>
      </w:r>
      <w:r w:rsidRPr="00D067E9">
        <w:rPr>
          <w:rFonts w:ascii="Arial" w:hAnsi="Arial" w:cs="Arial"/>
          <w:color w:val="000000" w:themeColor="text1"/>
        </w:rPr>
        <w:fldChar w:fldCharType="separate"/>
      </w:r>
      <w:r w:rsidR="007F789A" w:rsidRPr="00D067E9">
        <w:rPr>
          <w:rFonts w:ascii="Arial" w:hAnsi="Arial" w:cs="Arial"/>
          <w:noProof/>
          <w:color w:val="000000" w:themeColor="text1"/>
          <w:vertAlign w:val="superscript"/>
        </w:rPr>
        <w:t>4</w:t>
      </w:r>
      <w:r w:rsidRPr="00D067E9">
        <w:rPr>
          <w:rFonts w:ascii="Arial" w:hAnsi="Arial" w:cs="Arial"/>
          <w:color w:val="000000" w:themeColor="text1"/>
        </w:rPr>
        <w:fldChar w:fldCharType="end"/>
      </w:r>
      <w:r w:rsidRPr="00D067E9">
        <w:rPr>
          <w:rFonts w:ascii="Arial" w:hAnsi="Arial" w:cs="Arial"/>
          <w:color w:val="000000" w:themeColor="text1"/>
        </w:rPr>
        <w:t xml:space="preserve">. </w:t>
      </w:r>
      <w:r w:rsidR="00BC5A0C" w:rsidRPr="00D067E9">
        <w:rPr>
          <w:rFonts w:ascii="Arial" w:hAnsi="Arial" w:cs="Arial"/>
          <w:color w:val="000000" w:themeColor="text1"/>
        </w:rPr>
        <w:t>We therefore</w:t>
      </w:r>
      <w:r w:rsidRPr="00D067E9">
        <w:rPr>
          <w:rFonts w:ascii="Arial" w:hAnsi="Arial" w:cs="Arial"/>
          <w:color w:val="000000" w:themeColor="text1"/>
        </w:rPr>
        <w:t xml:space="preserve"> compared the performance of HDMI </w:t>
      </w:r>
      <w:r w:rsidR="00BC5A0C" w:rsidRPr="00D067E9">
        <w:rPr>
          <w:rFonts w:ascii="Arial" w:hAnsi="Arial" w:cs="Arial"/>
          <w:color w:val="000000" w:themeColor="text1"/>
        </w:rPr>
        <w:t xml:space="preserve">to </w:t>
      </w:r>
      <w:r w:rsidRPr="00D067E9">
        <w:rPr>
          <w:rFonts w:ascii="Arial" w:hAnsi="Arial" w:cs="Arial"/>
          <w:color w:val="000000" w:themeColor="text1"/>
        </w:rPr>
        <w:t>that of WAAFLE.</w:t>
      </w:r>
    </w:p>
    <w:bookmarkEnd w:id="4"/>
    <w:p w14:paraId="5B399B57" w14:textId="023BAB90" w:rsidR="00BA09B8" w:rsidRPr="00D067E9" w:rsidRDefault="00BA09B8" w:rsidP="00EA4F34">
      <w:pPr>
        <w:spacing w:line="276" w:lineRule="auto"/>
        <w:rPr>
          <w:rFonts w:ascii="Arial" w:hAnsi="Arial" w:cs="Arial"/>
          <w:b/>
          <w:bCs/>
          <w:color w:val="C00000"/>
          <w:szCs w:val="21"/>
        </w:rPr>
      </w:pPr>
      <w:r w:rsidRPr="00D067E9">
        <w:rPr>
          <w:rFonts w:ascii="Arial" w:hAnsi="Arial" w:cs="Arial"/>
          <w:color w:val="000000" w:themeColor="text1"/>
        </w:rPr>
        <w:t xml:space="preserve">To evaluate the recovery of HGT events under realistic metagenomic sequencing and processing pipelines, we first simulated gene insertions with 99%–100% identity in selected genomes using </w:t>
      </w:r>
      <w:proofErr w:type="spellStart"/>
      <w:r w:rsidRPr="00D067E9">
        <w:rPr>
          <w:rFonts w:ascii="Arial" w:hAnsi="Arial" w:cs="Arial"/>
          <w:color w:val="000000" w:themeColor="text1"/>
        </w:rPr>
        <w:t>HgtSIM</w:t>
      </w:r>
      <w:proofErr w:type="spellEnd"/>
      <w:r w:rsidRPr="00D067E9">
        <w:rPr>
          <w:rFonts w:ascii="Arial" w:hAnsi="Arial" w:cs="Arial"/>
          <w:color w:val="000000" w:themeColor="text1"/>
        </w:rPr>
        <w:t>. Next, we generated metagenomic data using ART, assembled the data</w:t>
      </w:r>
      <w:r w:rsidR="00B04D7C" w:rsidRPr="00D067E9">
        <w:rPr>
          <w:rFonts w:ascii="Arial" w:hAnsi="Arial" w:cs="Arial"/>
          <w:color w:val="000000" w:themeColor="text1"/>
        </w:rPr>
        <w:t>,</w:t>
      </w:r>
      <w:r w:rsidRPr="00D067E9">
        <w:rPr>
          <w:rFonts w:ascii="Arial" w:hAnsi="Arial" w:cs="Arial"/>
          <w:color w:val="000000" w:themeColor="text1"/>
        </w:rPr>
        <w:t xml:space="preserve"> and binned the resulting contigs to obtain MAGs. Based on both contigs and </w:t>
      </w:r>
      <w:r w:rsidR="00A67EFF" w:rsidRPr="00D067E9">
        <w:rPr>
          <w:rFonts w:ascii="Arial" w:hAnsi="Arial" w:cs="Arial"/>
          <w:color w:val="000000" w:themeColor="text1"/>
        </w:rPr>
        <w:t>machine assembled genomes (</w:t>
      </w:r>
      <w:r w:rsidRPr="00D067E9">
        <w:rPr>
          <w:rFonts w:ascii="Arial" w:hAnsi="Arial" w:cs="Arial"/>
          <w:color w:val="000000" w:themeColor="text1"/>
        </w:rPr>
        <w:t>MAGs</w:t>
      </w:r>
      <w:r w:rsidR="00A67EFF" w:rsidRPr="00D067E9">
        <w:rPr>
          <w:rFonts w:ascii="Arial" w:hAnsi="Arial" w:cs="Arial"/>
          <w:color w:val="000000" w:themeColor="text1"/>
        </w:rPr>
        <w:t>)</w:t>
      </w:r>
      <w:r w:rsidRPr="00D067E9">
        <w:rPr>
          <w:rFonts w:ascii="Arial" w:hAnsi="Arial" w:cs="Arial"/>
          <w:color w:val="000000" w:themeColor="text1"/>
        </w:rPr>
        <w:t>, we compared HDMI and WAAFLE</w:t>
      </w:r>
      <w:r w:rsidR="00A67EFF" w:rsidRPr="00D067E9">
        <w:rPr>
          <w:rFonts w:ascii="Arial" w:hAnsi="Arial" w:cs="Arial"/>
          <w:color w:val="000000" w:themeColor="text1"/>
        </w:rPr>
        <w:t>’s</w:t>
      </w:r>
      <w:r w:rsidRPr="00D067E9">
        <w:rPr>
          <w:rFonts w:ascii="Arial" w:hAnsi="Arial" w:cs="Arial"/>
          <w:color w:val="000000" w:themeColor="text1"/>
        </w:rPr>
        <w:t xml:space="preserve"> </w:t>
      </w:r>
      <w:r w:rsidR="00A67EFF" w:rsidRPr="00D067E9">
        <w:rPr>
          <w:rFonts w:ascii="Arial" w:hAnsi="Arial" w:cs="Arial"/>
          <w:color w:val="000000" w:themeColor="text1"/>
        </w:rPr>
        <w:t xml:space="preserve">abilities </w:t>
      </w:r>
      <w:r w:rsidRPr="00D067E9">
        <w:rPr>
          <w:rFonts w:ascii="Arial" w:hAnsi="Arial" w:cs="Arial"/>
          <w:color w:val="000000" w:themeColor="text1"/>
        </w:rPr>
        <w:t>to detect HGT events at the genus, order, and phylum levels. Our results indicate that HDMI consistently recovered 40%, 36%, and 31% of HGT events at the genus, order, and phylum levels, respectively. In contrast, WAAFLE’s detection rate was</w:t>
      </w:r>
      <w:r w:rsidR="00A67EFF" w:rsidRPr="00D067E9">
        <w:rPr>
          <w:rFonts w:ascii="Arial" w:hAnsi="Arial" w:cs="Arial"/>
          <w:color w:val="000000" w:themeColor="text1"/>
        </w:rPr>
        <w:t xml:space="preserve"> only 2%</w:t>
      </w:r>
      <w:r w:rsidRPr="00D067E9">
        <w:rPr>
          <w:rFonts w:ascii="Arial" w:hAnsi="Arial" w:cs="Arial"/>
          <w:color w:val="000000" w:themeColor="text1"/>
        </w:rPr>
        <w:t xml:space="preserve"> </w:t>
      </w:r>
      <w:r w:rsidR="00BC5A0C" w:rsidRPr="00D067E9">
        <w:rPr>
          <w:rFonts w:ascii="Arial" w:hAnsi="Arial" w:cs="Arial"/>
          <w:color w:val="000000" w:themeColor="text1"/>
        </w:rPr>
        <w:t>within genera</w:t>
      </w:r>
      <w:r w:rsidRPr="00D067E9">
        <w:rPr>
          <w:rFonts w:ascii="Arial" w:hAnsi="Arial" w:cs="Arial"/>
          <w:color w:val="000000" w:themeColor="text1"/>
        </w:rPr>
        <w:t>, while its performance at the order and phylum levels was 24% and 26%, respectively</w:t>
      </w:r>
      <w:r w:rsidR="002F3D1A" w:rsidRPr="00D067E9">
        <w:rPr>
          <w:rFonts w:ascii="Arial" w:hAnsi="Arial" w:cs="Arial"/>
          <w:color w:val="000000" w:themeColor="text1"/>
        </w:rPr>
        <w:t xml:space="preserve"> (</w:t>
      </w:r>
      <w:r w:rsidR="002F3D1A" w:rsidRPr="00D067E9">
        <w:rPr>
          <w:rFonts w:ascii="Arial" w:hAnsi="Arial" w:cs="Arial"/>
          <w:b/>
          <w:bCs/>
          <w:color w:val="0070C0"/>
        </w:rPr>
        <w:t>Fig</w:t>
      </w:r>
      <w:r w:rsidR="00EF0078" w:rsidRPr="00D067E9">
        <w:rPr>
          <w:rFonts w:ascii="Arial" w:hAnsi="Arial" w:cs="Arial"/>
          <w:b/>
          <w:bCs/>
          <w:color w:val="0070C0"/>
        </w:rPr>
        <w:t>.</w:t>
      </w:r>
      <w:r w:rsidR="002F3D1A" w:rsidRPr="00D067E9">
        <w:rPr>
          <w:rFonts w:ascii="Arial" w:hAnsi="Arial" w:cs="Arial"/>
          <w:b/>
          <w:bCs/>
          <w:color w:val="0070C0"/>
        </w:rPr>
        <w:t xml:space="preserve"> S</w:t>
      </w:r>
      <w:r w:rsidR="002551A3" w:rsidRPr="00D067E9">
        <w:rPr>
          <w:rFonts w:ascii="Arial" w:hAnsi="Arial" w:cs="Arial"/>
          <w:b/>
          <w:bCs/>
          <w:color w:val="0070C0"/>
        </w:rPr>
        <w:t>2</w:t>
      </w:r>
      <w:r w:rsidR="00EF0078" w:rsidRPr="00D067E9">
        <w:rPr>
          <w:rFonts w:ascii="Arial" w:hAnsi="Arial" w:cs="Arial"/>
          <w:b/>
          <w:bCs/>
          <w:color w:val="0070C0"/>
        </w:rPr>
        <w:t>b</w:t>
      </w:r>
      <w:r w:rsidR="00FD4057" w:rsidRPr="00D067E9">
        <w:rPr>
          <w:rFonts w:ascii="Arial" w:hAnsi="Arial" w:cs="Arial"/>
        </w:rPr>
        <w:t>,</w:t>
      </w:r>
      <w:r w:rsidR="00FD4057" w:rsidRPr="00D067E9">
        <w:rPr>
          <w:rFonts w:ascii="Arial" w:hAnsi="Arial" w:cs="Arial"/>
          <w:color w:val="00B0F0"/>
        </w:rPr>
        <w:t xml:space="preserve"> </w:t>
      </w:r>
      <w:r w:rsidR="00FD4057" w:rsidRPr="00D067E9">
        <w:rPr>
          <w:rFonts w:ascii="Arial" w:hAnsi="Arial" w:cs="Arial"/>
          <w:color w:val="000000" w:themeColor="text1"/>
        </w:rPr>
        <w:t xml:space="preserve">see </w:t>
      </w:r>
      <w:r w:rsidR="00FD4057" w:rsidRPr="00D067E9">
        <w:rPr>
          <w:rFonts w:ascii="Arial" w:hAnsi="Arial" w:cs="Arial"/>
          <w:b/>
          <w:bCs/>
          <w:color w:val="0070C0"/>
        </w:rPr>
        <w:t>Methods</w:t>
      </w:r>
      <w:r w:rsidR="002F3D1A" w:rsidRPr="00D067E9">
        <w:rPr>
          <w:rFonts w:ascii="Arial" w:hAnsi="Arial" w:cs="Arial"/>
          <w:color w:val="000000" w:themeColor="text1"/>
        </w:rPr>
        <w:t>)</w:t>
      </w:r>
      <w:r w:rsidRPr="00D067E9">
        <w:rPr>
          <w:rFonts w:ascii="Arial" w:hAnsi="Arial" w:cs="Arial"/>
          <w:color w:val="000000" w:themeColor="text1"/>
        </w:rPr>
        <w:t>. These findings demonstrate that HDMI significantly outperforms existing methods, particularly in detecting HGT events within genera.</w:t>
      </w:r>
    </w:p>
    <w:p w14:paraId="74E742D4" w14:textId="4C094181" w:rsidR="00BA09B8" w:rsidRPr="00D067E9" w:rsidRDefault="00BA09B8" w:rsidP="00EA4F34">
      <w:pPr>
        <w:spacing w:line="276" w:lineRule="auto"/>
        <w:rPr>
          <w:rFonts w:ascii="Arial" w:hAnsi="Arial" w:cs="Arial"/>
          <w:b/>
          <w:bCs/>
          <w:color w:val="C00000"/>
          <w:szCs w:val="21"/>
        </w:rPr>
      </w:pPr>
    </w:p>
    <w:p w14:paraId="0F6D0A45" w14:textId="1D71FA10" w:rsidR="005F5D8A" w:rsidRPr="00D067E9" w:rsidRDefault="005F5D8A" w:rsidP="00D067E9">
      <w:pPr>
        <w:pStyle w:val="2"/>
        <w:rPr>
          <w:rFonts w:ascii="Arial" w:hAnsi="Arial" w:cs="Arial"/>
          <w:sz w:val="21"/>
          <w:szCs w:val="21"/>
        </w:rPr>
      </w:pPr>
      <w:bookmarkStart w:id="5" w:name="_Toc195882159"/>
      <w:bookmarkStart w:id="6" w:name="_Toc195882815"/>
      <w:r w:rsidRPr="00D067E9">
        <w:rPr>
          <w:rFonts w:ascii="Arial" w:hAnsi="Arial" w:cs="Arial"/>
          <w:sz w:val="21"/>
          <w:szCs w:val="21"/>
        </w:rPr>
        <w:lastRenderedPageBreak/>
        <w:t>Supplemental Note</w:t>
      </w:r>
      <w:r w:rsidR="00BC5A0C" w:rsidRPr="00D067E9">
        <w:rPr>
          <w:rFonts w:ascii="Arial" w:hAnsi="Arial" w:cs="Arial"/>
          <w:sz w:val="21"/>
          <w:szCs w:val="21"/>
        </w:rPr>
        <w:t xml:space="preserve"> </w:t>
      </w:r>
      <w:r w:rsidR="00091DB5" w:rsidRPr="00D067E9">
        <w:rPr>
          <w:rFonts w:ascii="Arial" w:hAnsi="Arial" w:cs="Arial"/>
          <w:sz w:val="21"/>
          <w:szCs w:val="21"/>
        </w:rPr>
        <w:t>2</w:t>
      </w:r>
      <w:r w:rsidRPr="00D067E9">
        <w:rPr>
          <w:rFonts w:ascii="Arial" w:hAnsi="Arial" w:cs="Arial"/>
          <w:sz w:val="21"/>
          <w:szCs w:val="21"/>
        </w:rPr>
        <w:t xml:space="preserve">. </w:t>
      </w:r>
      <w:r w:rsidRPr="00D067E9">
        <w:rPr>
          <w:rFonts w:ascii="Arial" w:hAnsi="Arial" w:cs="Arial"/>
          <w:sz w:val="21"/>
          <w:szCs w:val="21"/>
          <w:shd w:val="clear" w:color="auto" w:fill="FFFFFF"/>
        </w:rPr>
        <w:t>HGT can transfer across multiple species/genera/families</w:t>
      </w:r>
      <w:bookmarkEnd w:id="5"/>
      <w:bookmarkEnd w:id="6"/>
    </w:p>
    <w:p w14:paraId="5AB3A5F7" w14:textId="08F9F8A6" w:rsidR="00321BCB" w:rsidRPr="00D067E9" w:rsidRDefault="005F5D8A" w:rsidP="00EA4F34">
      <w:pPr>
        <w:widowControl/>
        <w:spacing w:after="120" w:line="276" w:lineRule="auto"/>
        <w:rPr>
          <w:rFonts w:ascii="Arial" w:hAnsi="Arial" w:cs="Arial"/>
          <w:color w:val="000000" w:themeColor="text1"/>
        </w:rPr>
      </w:pPr>
      <w:r w:rsidRPr="00D067E9">
        <w:rPr>
          <w:rFonts w:ascii="Arial" w:hAnsi="Arial" w:cs="Arial"/>
          <w:color w:val="000000" w:themeColor="text1"/>
        </w:rPr>
        <w:t>7581 HGTs segments</w:t>
      </w:r>
      <w:r w:rsidR="007C0F5A" w:rsidRPr="00D067E9">
        <w:rPr>
          <w:rFonts w:ascii="Arial" w:hAnsi="Arial" w:cs="Arial"/>
          <w:color w:val="000000" w:themeColor="text1"/>
        </w:rPr>
        <w:t xml:space="preserve"> were further clustered</w:t>
      </w:r>
      <w:r w:rsidRPr="00D067E9">
        <w:rPr>
          <w:rFonts w:ascii="Arial" w:hAnsi="Arial" w:cs="Arial"/>
          <w:color w:val="000000" w:themeColor="text1"/>
        </w:rPr>
        <w:t xml:space="preserve"> into 1,445 unique HGT clusters if they showed &gt;99% identity for &gt;90% of their sequence (see </w:t>
      </w:r>
      <w:r w:rsidRPr="00D067E9">
        <w:rPr>
          <w:rFonts w:ascii="Arial" w:hAnsi="Arial" w:cs="Arial"/>
          <w:b/>
          <w:bCs/>
          <w:color w:val="0070C0"/>
        </w:rPr>
        <w:t>Methods</w:t>
      </w:r>
      <w:r w:rsidR="002551A3" w:rsidRPr="00D067E9">
        <w:rPr>
          <w:rFonts w:ascii="Arial" w:hAnsi="Arial" w:cs="Arial"/>
        </w:rPr>
        <w:t>,</w:t>
      </w:r>
      <w:r w:rsidR="002551A3" w:rsidRPr="00D067E9">
        <w:rPr>
          <w:rFonts w:ascii="Arial" w:hAnsi="Arial" w:cs="Arial"/>
          <w:color w:val="00B0F0"/>
        </w:rPr>
        <w:t xml:space="preserve"> </w:t>
      </w:r>
      <w:r w:rsidR="002551A3" w:rsidRPr="00D067E9">
        <w:rPr>
          <w:rFonts w:ascii="Arial" w:hAnsi="Arial" w:cs="Arial"/>
          <w:b/>
          <w:bCs/>
          <w:color w:val="0070C0"/>
        </w:rPr>
        <w:t>Table S6</w:t>
      </w:r>
      <w:r w:rsidRPr="00D067E9">
        <w:rPr>
          <w:rFonts w:ascii="Arial" w:hAnsi="Arial" w:cs="Arial"/>
          <w:color w:val="000000" w:themeColor="text1"/>
        </w:rPr>
        <w:t>). Each cluster thus represents the transmission of the same gene content across different species. We further annotated Pfam</w:t>
      </w:r>
      <w:r w:rsidRPr="00D067E9">
        <w:rPr>
          <w:rFonts w:ascii="Arial" w:hAnsi="Arial" w:cs="Arial"/>
          <w:color w:val="000000" w:themeColor="text1"/>
        </w:rPr>
        <w:fldChar w:fldCharType="begin">
          <w:fldData xml:space="preserve">PEVuZE5vdGU+PENpdGU+PEF1dGhvcj5GaW5uPC9BdXRob3I+PFllYXI+MjAxNDwvWWVhcj48UmVj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</w:fldData>
        </w:fldChar>
      </w:r>
      <w:r w:rsidR="007F789A" w:rsidRPr="00D067E9">
        <w:rPr>
          <w:rFonts w:ascii="Arial" w:hAnsi="Arial" w:cs="Arial"/>
          <w:color w:val="000000" w:themeColor="text1"/>
        </w:rPr>
        <w:instrText xml:space="preserve"> ADDIN EN.CITE </w:instrText>
      </w:r>
      <w:r w:rsidR="007F789A" w:rsidRPr="00D067E9">
        <w:rPr>
          <w:rFonts w:ascii="Arial" w:hAnsi="Arial" w:cs="Arial"/>
          <w:color w:val="000000" w:themeColor="text1"/>
        </w:rPr>
        <w:fldChar w:fldCharType="begin">
          <w:fldData xml:space="preserve">PEVuZE5vdGU+PENpdGU+PEF1dGhvcj5GaW5uPC9BdXRob3I+PFllYXI+MjAxNDwvWWVhcj48UmVj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</w:fldData>
        </w:fldChar>
      </w:r>
      <w:r w:rsidR="007F789A" w:rsidRPr="00D067E9">
        <w:rPr>
          <w:rFonts w:ascii="Arial" w:hAnsi="Arial" w:cs="Arial"/>
          <w:color w:val="000000" w:themeColor="text1"/>
        </w:rPr>
        <w:instrText xml:space="preserve"> ADDIN EN.CITE.DATA </w:instrText>
      </w:r>
      <w:r w:rsidR="007F789A" w:rsidRPr="00D067E9">
        <w:rPr>
          <w:rFonts w:ascii="Arial" w:hAnsi="Arial" w:cs="Arial"/>
          <w:color w:val="000000" w:themeColor="text1"/>
        </w:rPr>
      </w:r>
      <w:r w:rsidR="007F789A" w:rsidRPr="00D067E9">
        <w:rPr>
          <w:rFonts w:ascii="Arial" w:hAnsi="Arial" w:cs="Arial"/>
          <w:color w:val="000000" w:themeColor="text1"/>
        </w:rPr>
        <w:fldChar w:fldCharType="end"/>
      </w:r>
      <w:r w:rsidRPr="00D067E9">
        <w:rPr>
          <w:rFonts w:ascii="Arial" w:hAnsi="Arial" w:cs="Arial"/>
          <w:color w:val="000000" w:themeColor="text1"/>
        </w:rPr>
      </w:r>
      <w:r w:rsidRPr="00D067E9">
        <w:rPr>
          <w:rFonts w:ascii="Arial" w:hAnsi="Arial" w:cs="Arial"/>
          <w:color w:val="000000" w:themeColor="text1"/>
        </w:rPr>
        <w:fldChar w:fldCharType="separate"/>
      </w:r>
      <w:r w:rsidR="007F789A" w:rsidRPr="00D067E9">
        <w:rPr>
          <w:rFonts w:ascii="Arial" w:hAnsi="Arial" w:cs="Arial"/>
          <w:noProof/>
          <w:color w:val="000000" w:themeColor="text1"/>
          <w:vertAlign w:val="superscript"/>
        </w:rPr>
        <w:t>5</w:t>
      </w:r>
      <w:r w:rsidRPr="00D067E9">
        <w:rPr>
          <w:rFonts w:ascii="Arial" w:hAnsi="Arial" w:cs="Arial"/>
          <w:color w:val="000000" w:themeColor="text1"/>
        </w:rPr>
        <w:fldChar w:fldCharType="end"/>
      </w:r>
      <w:r w:rsidRPr="00D067E9">
        <w:rPr>
          <w:rFonts w:ascii="Arial" w:hAnsi="Arial" w:cs="Arial"/>
          <w:color w:val="000000" w:themeColor="text1"/>
        </w:rPr>
        <w:t xml:space="preserve"> protein domains within HGT clusters to characterize gene functions. We found that individual HGT clusters can be shared in up to eight species, seven genera, and four different families (</w:t>
      </w:r>
      <w:r w:rsidRPr="00D067E9">
        <w:rPr>
          <w:rFonts w:ascii="Arial" w:hAnsi="Arial" w:cs="Arial"/>
          <w:b/>
          <w:bCs/>
          <w:color w:val="0070C0"/>
        </w:rPr>
        <w:t>Fig</w:t>
      </w:r>
      <w:r w:rsidR="00EF0078" w:rsidRPr="00D067E9">
        <w:rPr>
          <w:rFonts w:ascii="Arial" w:hAnsi="Arial" w:cs="Arial"/>
          <w:b/>
          <w:bCs/>
          <w:color w:val="0070C0"/>
        </w:rPr>
        <w:t>.</w:t>
      </w:r>
      <w:r w:rsidRPr="00D067E9">
        <w:rPr>
          <w:rFonts w:ascii="Arial" w:hAnsi="Arial" w:cs="Arial"/>
          <w:b/>
          <w:bCs/>
          <w:color w:val="0070C0"/>
        </w:rPr>
        <w:t xml:space="preserve"> S</w:t>
      </w:r>
      <w:r w:rsidR="002551A3" w:rsidRPr="00D067E9">
        <w:rPr>
          <w:rFonts w:ascii="Arial" w:hAnsi="Arial" w:cs="Arial"/>
          <w:b/>
          <w:bCs/>
          <w:color w:val="0070C0"/>
        </w:rPr>
        <w:t>3</w:t>
      </w:r>
      <w:r w:rsidR="00EF0078" w:rsidRPr="00D067E9">
        <w:rPr>
          <w:rFonts w:ascii="Arial" w:hAnsi="Arial" w:cs="Arial"/>
          <w:b/>
          <w:bCs/>
          <w:color w:val="0070C0"/>
        </w:rPr>
        <w:t>a</w:t>
      </w:r>
      <w:r w:rsidRPr="00D067E9">
        <w:rPr>
          <w:rFonts w:ascii="Arial" w:hAnsi="Arial" w:cs="Arial"/>
          <w:b/>
          <w:bCs/>
          <w:color w:val="0070C0"/>
        </w:rPr>
        <w:t>–</w:t>
      </w:r>
      <w:r w:rsidR="00EF0078" w:rsidRPr="00D067E9">
        <w:rPr>
          <w:rFonts w:ascii="Arial" w:hAnsi="Arial" w:cs="Arial"/>
          <w:b/>
          <w:bCs/>
          <w:color w:val="0070C0"/>
        </w:rPr>
        <w:t>c</w:t>
      </w:r>
      <w:r w:rsidRPr="00D067E9">
        <w:rPr>
          <w:rFonts w:ascii="Arial" w:hAnsi="Arial" w:cs="Arial"/>
          <w:color w:val="000000" w:themeColor="text1"/>
        </w:rPr>
        <w:t>). Within those widely transmitted segments, we detected genes encoding recombinase, sigma factor</w:t>
      </w:r>
      <w:r w:rsidRPr="00D067E9">
        <w:rPr>
          <w:rFonts w:ascii="Arial" w:hAnsi="Arial" w:cs="Arial"/>
          <w:color w:val="000000" w:themeColor="text1"/>
        </w:rPr>
        <w:fldChar w:fldCharType="begin"/>
      </w:r>
      <w:r w:rsidR="007F789A" w:rsidRPr="00D067E9">
        <w:rPr>
          <w:rFonts w:ascii="Arial" w:hAnsi="Arial" w:cs="Arial"/>
          <w:color w:val="000000" w:themeColor="text1"/>
        </w:rPr>
        <w:instrText xml:space="preserve"> ADDIN EN.CITE &lt;EndNote&gt;&lt;Cite&gt;&lt;Author&gt;Torres-Puig&lt;/Author&gt;&lt;Year&gt;2018&lt;/Year&gt;&lt;RecNum&gt;405&lt;/RecNum&gt;&lt;DisplayText&gt;&lt;style face="superscript"&gt;6&lt;/style&gt;&lt;/DisplayText&gt;&lt;record&gt;&lt;rec-number&gt;405&lt;/rec-number&gt;&lt;foreign-keys&gt;&lt;key app="EN" db-id="x5zvtes5udw9aeerpdtxv02gwa55pdftde2z" timestamp="1718288104" guid="7b361807-2a36-491f-a0af-2a12d0a8760e"&gt;405&lt;/key&gt;&lt;/foreign-keys&gt;&lt;ref-type name="Journal Article"&gt;17&lt;/ref-type&gt;&lt;contributors&gt;&lt;authors&gt;&lt;author&gt;Torres-Puig, S.&lt;/author&gt;&lt;author&gt;Martínez-Torró, C.&lt;/author&gt;&lt;author&gt;Granero-Moya, I.&lt;/author&gt;&lt;author&gt;Querol, E.&lt;/author&gt;&lt;author&gt;Piñol, J.&lt;/author&gt;&lt;author&gt;Pich, O. Q.&lt;/author&gt;&lt;/authors&gt;&lt;/contributors&gt;&lt;auth-address&gt;Departament de Bioquímica i Biologia Molecular and Institut de Biotecnologia i Biomedicina, Universitat Autònoma de Barcelona, Cerdanyola del Vallès, Spain.&lt;/auth-address&gt;&lt;titles&gt;&lt;title&gt;Activation of σ20-dependent recombination and horizontal gene transfer in Mycoplasma genitalium&lt;/title&gt;&lt;secondary-title&gt;DNA Res&lt;/secondary-title&gt;&lt;/titles&gt;&lt;periodical&gt;&lt;full-title&gt;DNA Res&lt;/full-title&gt;&lt;/periodical&gt;&lt;pages&gt;383-393&lt;/pages&gt;&lt;volume&gt;25&lt;/volume&gt;&lt;number&gt;4&lt;/number&gt;&lt;keywords&gt;&lt;keyword&gt;Bacterial Proteins&lt;/keyword&gt;&lt;keyword&gt;DNA, Bacterial/metabolism&lt;/keyword&gt;&lt;keyword&gt;Gene Expression Regulation, Bacterial&lt;/keyword&gt;&lt;keyword&gt;*Gene Transfer, Horizontal&lt;/keyword&gt;&lt;keyword&gt;Genes, Bacterial&lt;/keyword&gt;&lt;keyword&gt;Genetic Variation&lt;/keyword&gt;&lt;keyword&gt;*Homologous Recombination&lt;/keyword&gt;&lt;keyword&gt;Mycoplasma genitalium/*genetics/metabolism&lt;/keyword&gt;&lt;keyword&gt;Rec A Recombinases/metabolism&lt;/keyword&gt;&lt;keyword&gt;Sigma Factor/genetics/*metabolism&lt;/keyword&gt;&lt;/keywords&gt;&lt;dates&gt;&lt;year&gt;2018&lt;/year&gt;&lt;pub-dates&gt;&lt;date&gt;Aug 1&lt;/date&gt;&lt;/pub-dates&gt;&lt;/dates&gt;&lt;isbn&gt;1340-2838 (Print)&amp;#xD;1340-2838&lt;/isbn&gt;&lt;accession-num&gt;29659762&lt;/accession-num&gt;&lt;urls&gt;&lt;/urls&gt;&lt;custom2&gt;PMC6105099&lt;/custom2&gt;&lt;electronic-resource-num&gt;10.1093/dnares/dsy011&lt;/electronic-resource-num&gt;&lt;remote-database-provider&gt;NLM&lt;/remote-database-provider&gt;&lt;language&gt;eng&lt;/language&gt;&lt;/record&gt;&lt;/Cite&gt;&lt;/EndNote&gt;</w:instrText>
      </w:r>
      <w:r w:rsidRPr="00D067E9">
        <w:rPr>
          <w:rFonts w:ascii="Arial" w:hAnsi="Arial" w:cs="Arial"/>
          <w:color w:val="000000" w:themeColor="text1"/>
        </w:rPr>
        <w:fldChar w:fldCharType="separate"/>
      </w:r>
      <w:r w:rsidR="007F789A" w:rsidRPr="00D067E9">
        <w:rPr>
          <w:rFonts w:ascii="Arial" w:hAnsi="Arial" w:cs="Arial"/>
          <w:noProof/>
          <w:color w:val="000000" w:themeColor="text1"/>
          <w:vertAlign w:val="superscript"/>
        </w:rPr>
        <w:t>6</w:t>
      </w:r>
      <w:r w:rsidRPr="00D067E9">
        <w:rPr>
          <w:rFonts w:ascii="Arial" w:hAnsi="Arial" w:cs="Arial"/>
          <w:color w:val="000000" w:themeColor="text1"/>
        </w:rPr>
        <w:fldChar w:fldCharType="end"/>
      </w:r>
      <w:r w:rsidRPr="00D067E9">
        <w:rPr>
          <w:rFonts w:ascii="Arial" w:hAnsi="Arial" w:cs="Arial"/>
          <w:color w:val="000000" w:themeColor="text1"/>
        </w:rPr>
        <w:t>, and, in particular, phage integrase, which may facilitate HGT. For example, we detected recombinase and sigma factor genes in three HGT clusters that were shared between seven genera (</w:t>
      </w:r>
      <w:r w:rsidRPr="00D067E9">
        <w:rPr>
          <w:rFonts w:ascii="Arial" w:hAnsi="Arial" w:cs="Arial"/>
          <w:b/>
          <w:bCs/>
          <w:color w:val="0070C0"/>
        </w:rPr>
        <w:t>Fig</w:t>
      </w:r>
      <w:r w:rsidR="00EF0078" w:rsidRPr="00D067E9">
        <w:rPr>
          <w:rFonts w:ascii="Arial" w:hAnsi="Arial" w:cs="Arial"/>
          <w:b/>
          <w:bCs/>
          <w:color w:val="0070C0"/>
        </w:rPr>
        <w:t>.</w:t>
      </w:r>
      <w:r w:rsidRPr="00D067E9">
        <w:rPr>
          <w:rFonts w:ascii="Arial" w:hAnsi="Arial" w:cs="Arial"/>
          <w:b/>
          <w:bCs/>
          <w:color w:val="0070C0"/>
        </w:rPr>
        <w:t xml:space="preserve"> S</w:t>
      </w:r>
      <w:r w:rsidR="002551A3" w:rsidRPr="00D067E9">
        <w:rPr>
          <w:rFonts w:ascii="Arial" w:hAnsi="Arial" w:cs="Arial"/>
          <w:b/>
          <w:bCs/>
          <w:color w:val="0070C0"/>
        </w:rPr>
        <w:t>3</w:t>
      </w:r>
      <w:r w:rsidR="00EF0078" w:rsidRPr="00D067E9">
        <w:rPr>
          <w:rFonts w:ascii="Arial" w:hAnsi="Arial" w:cs="Arial"/>
          <w:b/>
          <w:bCs/>
          <w:color w:val="0070C0"/>
        </w:rPr>
        <w:t>d</w:t>
      </w:r>
      <w:r w:rsidRPr="00D067E9">
        <w:rPr>
          <w:rFonts w:ascii="Arial" w:hAnsi="Arial" w:cs="Arial"/>
          <w:b/>
          <w:bCs/>
          <w:color w:val="0070C0"/>
        </w:rPr>
        <w:t>–</w:t>
      </w:r>
      <w:r w:rsidR="00EF0078" w:rsidRPr="00D067E9">
        <w:rPr>
          <w:rFonts w:ascii="Arial" w:hAnsi="Arial" w:cs="Arial"/>
          <w:b/>
          <w:bCs/>
          <w:color w:val="0070C0"/>
        </w:rPr>
        <w:t>f</w:t>
      </w:r>
      <w:r w:rsidRPr="00D067E9">
        <w:rPr>
          <w:rFonts w:ascii="Arial" w:hAnsi="Arial" w:cs="Arial"/>
          <w:color w:val="000000" w:themeColor="text1"/>
        </w:rPr>
        <w:t xml:space="preserve">). One HGT cluster shared between four different </w:t>
      </w:r>
      <w:proofErr w:type="spellStart"/>
      <w:r w:rsidRPr="00D067E9">
        <w:rPr>
          <w:rFonts w:ascii="Arial" w:hAnsi="Arial" w:cs="Arial"/>
          <w:i/>
          <w:iCs/>
          <w:color w:val="000000" w:themeColor="text1"/>
        </w:rPr>
        <w:t>Bacteroidota</w:t>
      </w:r>
      <w:proofErr w:type="spellEnd"/>
      <w:r w:rsidRPr="00D067E9" w:rsidDel="00D96359">
        <w:rPr>
          <w:rFonts w:ascii="Arial" w:hAnsi="Arial" w:cs="Arial"/>
          <w:color w:val="000000" w:themeColor="text1"/>
        </w:rPr>
        <w:t xml:space="preserve"> </w:t>
      </w:r>
      <w:r w:rsidRPr="00D067E9">
        <w:rPr>
          <w:rFonts w:ascii="Arial" w:hAnsi="Arial" w:cs="Arial"/>
          <w:color w:val="000000" w:themeColor="text1"/>
        </w:rPr>
        <w:t>families (</w:t>
      </w:r>
      <w:proofErr w:type="spellStart"/>
      <w:r w:rsidRPr="00D067E9">
        <w:rPr>
          <w:rFonts w:ascii="Arial" w:hAnsi="Arial" w:cs="Arial"/>
          <w:i/>
          <w:iCs/>
          <w:color w:val="000000" w:themeColor="text1"/>
        </w:rPr>
        <w:t>Rikenellaceae</w:t>
      </w:r>
      <w:proofErr w:type="spellEnd"/>
      <w:r w:rsidRPr="00D067E9">
        <w:rPr>
          <w:rFonts w:ascii="Arial" w:hAnsi="Arial" w:cs="Arial"/>
          <w:color w:val="000000" w:themeColor="text1"/>
        </w:rPr>
        <w:t xml:space="preserve">, </w:t>
      </w:r>
      <w:r w:rsidRPr="00D067E9">
        <w:rPr>
          <w:rFonts w:ascii="Arial" w:hAnsi="Arial" w:cs="Arial"/>
          <w:i/>
          <w:iCs/>
          <w:color w:val="000000" w:themeColor="text1"/>
        </w:rPr>
        <w:t>UBA932</w:t>
      </w:r>
      <w:r w:rsidRPr="00D067E9">
        <w:rPr>
          <w:rFonts w:ascii="Arial" w:hAnsi="Arial" w:cs="Arial"/>
          <w:color w:val="000000" w:themeColor="text1"/>
        </w:rPr>
        <w:t xml:space="preserve">, </w:t>
      </w:r>
      <w:proofErr w:type="spellStart"/>
      <w:r w:rsidRPr="00D067E9">
        <w:rPr>
          <w:rFonts w:ascii="Arial" w:hAnsi="Arial" w:cs="Arial"/>
          <w:i/>
          <w:iCs/>
          <w:color w:val="000000" w:themeColor="text1"/>
        </w:rPr>
        <w:t>Muribaculaceae</w:t>
      </w:r>
      <w:proofErr w:type="spellEnd"/>
      <w:r w:rsidRPr="00D067E9">
        <w:rPr>
          <w:rFonts w:ascii="Arial" w:hAnsi="Arial" w:cs="Arial"/>
          <w:i/>
          <w:iCs/>
          <w:color w:val="000000" w:themeColor="text1"/>
        </w:rPr>
        <w:t>,</w:t>
      </w:r>
      <w:r w:rsidRPr="00D067E9">
        <w:rPr>
          <w:rFonts w:ascii="Arial" w:hAnsi="Arial" w:cs="Arial"/>
          <w:color w:val="000000" w:themeColor="text1"/>
        </w:rPr>
        <w:t xml:space="preserve"> and </w:t>
      </w:r>
      <w:proofErr w:type="spellStart"/>
      <w:r w:rsidRPr="00D067E9">
        <w:rPr>
          <w:rFonts w:ascii="Arial" w:hAnsi="Arial" w:cs="Arial"/>
          <w:i/>
          <w:iCs/>
          <w:color w:val="000000" w:themeColor="text1"/>
        </w:rPr>
        <w:t>Bacteroidaceae</w:t>
      </w:r>
      <w:proofErr w:type="spellEnd"/>
      <w:r w:rsidRPr="00D067E9">
        <w:rPr>
          <w:rFonts w:ascii="Arial" w:hAnsi="Arial" w:cs="Arial"/>
          <w:color w:val="000000" w:themeColor="text1"/>
        </w:rPr>
        <w:t xml:space="preserve">) was 2,705 bp long and contained two genes that encode phage integrases, which could be further classified </w:t>
      </w:r>
      <w:r w:rsidR="00321BCB" w:rsidRPr="00D067E9">
        <w:rPr>
          <w:rFonts w:ascii="Arial" w:hAnsi="Arial" w:cs="Arial"/>
          <w:color w:val="000000" w:themeColor="text1"/>
        </w:rPr>
        <w:t>using geNomad</w:t>
      </w:r>
      <w:r w:rsidR="00321BCB" w:rsidRPr="00D067E9">
        <w:rPr>
          <w:rFonts w:ascii="Arial" w:hAnsi="Arial" w:cs="Arial"/>
          <w:color w:val="000000" w:themeColor="text1"/>
        </w:rPr>
        <w:fldChar w:fldCharType="begin"/>
      </w:r>
      <w:r w:rsidR="00321BCB" w:rsidRPr="00D067E9">
        <w:rPr>
          <w:rFonts w:ascii="Arial" w:hAnsi="Arial" w:cs="Arial"/>
          <w:color w:val="000000" w:themeColor="text1"/>
        </w:rPr>
        <w:instrText xml:space="preserve"> ADDIN EN.CITE &lt;EndNote&gt;&lt;Cite&gt;&lt;Author&gt;Camargo&lt;/Author&gt;&lt;Year&gt;2023&lt;/Year&gt;&lt;RecNum&gt;400&lt;/RecNum&gt;&lt;DisplayText&gt;&lt;style face="superscript"&gt;7&lt;/style&gt;&lt;/DisplayText&gt;&lt;record&gt;&lt;rec-number&gt;400&lt;/rec-number&gt;&lt;foreign-keys&gt;&lt;key app="EN" db-id="x5zvtes5udw9aeerpdtxv02gwa55pdftde2z" timestamp="1717700907" guid="9dff43a3-8c43-4bb6-8ffb-1199e0705685"&gt;400&lt;/key&gt;&lt;/foreign-keys&gt;&lt;ref-type name="Journal Article"&gt;17&lt;/ref-type&gt;&lt;contributors&gt;&lt;authors&gt;&lt;author&gt;Camargo, Antonio Pedro&lt;/author&gt;&lt;author&gt;Roux, Simon&lt;/author&gt;&lt;author&gt;Schulz, Frederik&lt;/author&gt;&lt;author&gt;Babinski, Michal&lt;/author&gt;&lt;author&gt;Xu, Yan&lt;/author&gt;&lt;author&gt;Hu, Bin&lt;/author&gt;&lt;author&gt;Chain, Patrick S. G.&lt;/author&gt;&lt;author&gt;Nayfach, Stephen&lt;/author&gt;&lt;author&gt;Kyrpides, Nikos C.&lt;/author&gt;&lt;/authors&gt;&lt;/contributors&gt;&lt;titles&gt;&lt;title&gt;Identification of mobile genetic elements with geNomad&lt;/title&gt;&lt;secondary-title&gt;Nature Biotechnology&lt;/secondary-title&gt;&lt;/titles&gt;&lt;periodical&gt;&lt;full-title&gt;Nature Biotechnology&lt;/full-title&gt;&lt;/periodical&gt;&lt;dates&gt;&lt;year&gt;2023&lt;/year&gt;&lt;pub-dates&gt;&lt;date&gt;2023/09/21&lt;/date&gt;&lt;/pub-dates&gt;&lt;/dates&gt;&lt;isbn&gt;1546-1696&lt;/isbn&gt;&lt;urls&gt;&lt;related-urls&gt;&lt;url&gt;https://doi.org/10.1038/s41587-023-01953-y&lt;/url&gt;&lt;/related-urls&gt;&lt;/urls&gt;&lt;electronic-resource-num&gt;10.1038/s41587-023-01953-y&lt;/electronic-resource-num&gt;&lt;/record&gt;&lt;/Cite&gt;&lt;/EndNote&gt;</w:instrText>
      </w:r>
      <w:r w:rsidR="00321BCB" w:rsidRPr="00D067E9">
        <w:rPr>
          <w:rFonts w:ascii="Arial" w:hAnsi="Arial" w:cs="Arial"/>
          <w:color w:val="000000" w:themeColor="text1"/>
        </w:rPr>
        <w:fldChar w:fldCharType="separate"/>
      </w:r>
      <w:r w:rsidR="00321BCB" w:rsidRPr="00D067E9">
        <w:rPr>
          <w:rFonts w:ascii="Arial" w:hAnsi="Arial" w:cs="Arial"/>
          <w:noProof/>
          <w:color w:val="000000" w:themeColor="text1"/>
          <w:vertAlign w:val="superscript"/>
        </w:rPr>
        <w:t>7</w:t>
      </w:r>
      <w:r w:rsidR="00321BCB" w:rsidRPr="00D067E9">
        <w:rPr>
          <w:rFonts w:ascii="Arial" w:hAnsi="Arial" w:cs="Arial"/>
          <w:color w:val="000000" w:themeColor="text1"/>
        </w:rPr>
        <w:fldChar w:fldCharType="end"/>
      </w:r>
      <w:r w:rsidR="00321BCB" w:rsidRPr="00D067E9">
        <w:rPr>
          <w:rFonts w:ascii="Arial" w:hAnsi="Arial" w:cs="Arial"/>
          <w:color w:val="000000" w:themeColor="text1"/>
        </w:rPr>
        <w:t xml:space="preserve"> </w:t>
      </w:r>
      <w:r w:rsidRPr="00D067E9">
        <w:rPr>
          <w:rFonts w:ascii="Arial" w:hAnsi="Arial" w:cs="Arial"/>
          <w:color w:val="000000" w:themeColor="text1"/>
        </w:rPr>
        <w:t xml:space="preserve">as a bacteriophage belonging to the </w:t>
      </w:r>
      <w:proofErr w:type="spellStart"/>
      <w:r w:rsidRPr="00D067E9">
        <w:rPr>
          <w:rFonts w:ascii="Arial" w:hAnsi="Arial" w:cs="Arial"/>
          <w:color w:val="000000" w:themeColor="text1"/>
        </w:rPr>
        <w:t>Caudoviricetes</w:t>
      </w:r>
      <w:proofErr w:type="spellEnd"/>
      <w:r w:rsidRPr="00D067E9">
        <w:rPr>
          <w:rFonts w:ascii="Arial" w:hAnsi="Arial" w:cs="Arial"/>
          <w:color w:val="000000" w:themeColor="text1"/>
        </w:rPr>
        <w:t xml:space="preserve"> class (</w:t>
      </w:r>
      <w:r w:rsidRPr="00D067E9">
        <w:rPr>
          <w:rFonts w:ascii="Arial" w:hAnsi="Arial" w:cs="Arial"/>
          <w:b/>
          <w:bCs/>
          <w:color w:val="0070C0"/>
        </w:rPr>
        <w:t>Fig</w:t>
      </w:r>
      <w:r w:rsidR="00EF0078" w:rsidRPr="00D067E9">
        <w:rPr>
          <w:rFonts w:ascii="Arial" w:hAnsi="Arial" w:cs="Arial"/>
          <w:b/>
          <w:bCs/>
          <w:color w:val="0070C0"/>
        </w:rPr>
        <w:t>.</w:t>
      </w:r>
      <w:r w:rsidRPr="00D067E9">
        <w:rPr>
          <w:rFonts w:ascii="Arial" w:hAnsi="Arial" w:cs="Arial"/>
          <w:b/>
          <w:bCs/>
          <w:color w:val="0070C0"/>
        </w:rPr>
        <w:t xml:space="preserve"> S</w:t>
      </w:r>
      <w:r w:rsidR="002551A3" w:rsidRPr="00D067E9">
        <w:rPr>
          <w:rFonts w:ascii="Arial" w:hAnsi="Arial" w:cs="Arial"/>
          <w:b/>
          <w:bCs/>
          <w:color w:val="0070C0"/>
        </w:rPr>
        <w:t>3</w:t>
      </w:r>
      <w:r w:rsidR="00EF0078" w:rsidRPr="00D067E9">
        <w:rPr>
          <w:rFonts w:ascii="Arial" w:hAnsi="Arial" w:cs="Arial"/>
          <w:b/>
          <w:bCs/>
          <w:color w:val="0070C0"/>
        </w:rPr>
        <w:t>g</w:t>
      </w:r>
      <w:r w:rsidRPr="00D067E9">
        <w:rPr>
          <w:rFonts w:ascii="Arial" w:hAnsi="Arial" w:cs="Arial"/>
          <w:color w:val="000000" w:themeColor="text1"/>
        </w:rPr>
        <w:t>). Interestingly, our data also suggest that bacterial recombinases may be more likely to mediate cross-species or cross-genus gene transfer, whereas phages may allow cross-family gene transfer (</w:t>
      </w:r>
      <w:r w:rsidRPr="00D067E9">
        <w:rPr>
          <w:rFonts w:ascii="Arial" w:hAnsi="Arial" w:cs="Arial"/>
          <w:b/>
          <w:bCs/>
          <w:color w:val="0070C0"/>
        </w:rPr>
        <w:t>Fig</w:t>
      </w:r>
      <w:r w:rsidR="00EF0078" w:rsidRPr="00D067E9">
        <w:rPr>
          <w:rFonts w:ascii="Arial" w:hAnsi="Arial" w:cs="Arial"/>
          <w:b/>
          <w:bCs/>
          <w:color w:val="0070C0"/>
        </w:rPr>
        <w:t>.</w:t>
      </w:r>
      <w:r w:rsidRPr="00D067E9">
        <w:rPr>
          <w:rFonts w:ascii="Arial" w:hAnsi="Arial" w:cs="Arial"/>
          <w:b/>
          <w:bCs/>
          <w:color w:val="0070C0"/>
        </w:rPr>
        <w:t xml:space="preserve"> S</w:t>
      </w:r>
      <w:r w:rsidR="002551A3" w:rsidRPr="00D067E9">
        <w:rPr>
          <w:rFonts w:ascii="Arial" w:hAnsi="Arial" w:cs="Arial"/>
          <w:b/>
          <w:bCs/>
          <w:color w:val="0070C0"/>
        </w:rPr>
        <w:t>3</w:t>
      </w:r>
      <w:r w:rsidR="00EF0078" w:rsidRPr="00D067E9">
        <w:rPr>
          <w:rFonts w:ascii="Arial" w:hAnsi="Arial" w:cs="Arial"/>
          <w:b/>
          <w:bCs/>
          <w:color w:val="0070C0"/>
        </w:rPr>
        <w:t>a</w:t>
      </w:r>
      <w:r w:rsidRPr="00D067E9">
        <w:rPr>
          <w:rFonts w:ascii="Arial" w:hAnsi="Arial" w:cs="Arial"/>
          <w:b/>
          <w:bCs/>
          <w:color w:val="0070C0"/>
        </w:rPr>
        <w:t>–</w:t>
      </w:r>
      <w:r w:rsidR="00EF0078" w:rsidRPr="00D067E9">
        <w:rPr>
          <w:rFonts w:ascii="Arial" w:hAnsi="Arial" w:cs="Arial"/>
          <w:b/>
          <w:bCs/>
          <w:color w:val="0070C0"/>
        </w:rPr>
        <w:t>c</w:t>
      </w:r>
      <w:r w:rsidRPr="00D067E9">
        <w:rPr>
          <w:rFonts w:ascii="Arial" w:hAnsi="Arial" w:cs="Arial"/>
          <w:color w:val="000000" w:themeColor="text1"/>
        </w:rPr>
        <w:t>). For example, we found recombinase in three clusters over five cross-genera transfers, but no phage integrase was found (</w:t>
      </w:r>
      <w:r w:rsidRPr="00D067E9">
        <w:rPr>
          <w:rFonts w:ascii="Arial" w:hAnsi="Arial" w:cs="Arial"/>
          <w:b/>
          <w:bCs/>
          <w:color w:val="0070C0"/>
        </w:rPr>
        <w:t>Fig</w:t>
      </w:r>
      <w:r w:rsidR="00EF0078" w:rsidRPr="00D067E9">
        <w:rPr>
          <w:rFonts w:ascii="Arial" w:hAnsi="Arial" w:cs="Arial"/>
          <w:b/>
          <w:bCs/>
          <w:color w:val="0070C0"/>
        </w:rPr>
        <w:t>.</w:t>
      </w:r>
      <w:r w:rsidRPr="00D067E9">
        <w:rPr>
          <w:rFonts w:ascii="Arial" w:hAnsi="Arial" w:cs="Arial"/>
          <w:b/>
          <w:bCs/>
          <w:color w:val="0070C0"/>
        </w:rPr>
        <w:t xml:space="preserve"> S</w:t>
      </w:r>
      <w:r w:rsidR="002551A3" w:rsidRPr="00D067E9">
        <w:rPr>
          <w:rFonts w:ascii="Arial" w:hAnsi="Arial" w:cs="Arial"/>
          <w:b/>
          <w:bCs/>
          <w:color w:val="0070C0"/>
        </w:rPr>
        <w:t>3</w:t>
      </w:r>
      <w:r w:rsidR="00EF0078" w:rsidRPr="00D067E9">
        <w:rPr>
          <w:rFonts w:ascii="Arial" w:hAnsi="Arial" w:cs="Arial"/>
          <w:b/>
          <w:bCs/>
          <w:color w:val="0070C0"/>
        </w:rPr>
        <w:t>b</w:t>
      </w:r>
      <w:r w:rsidRPr="00D067E9">
        <w:rPr>
          <w:rFonts w:ascii="Arial" w:hAnsi="Arial" w:cs="Arial"/>
          <w:color w:val="000000" w:themeColor="text1"/>
        </w:rPr>
        <w:t>). In contrast, in 15 clusters with three or more cross-family transfers, phage integrase was found in three segments, while no recombinase was detected (</w:t>
      </w:r>
      <w:r w:rsidRPr="00D067E9">
        <w:rPr>
          <w:rFonts w:ascii="Arial" w:hAnsi="Arial" w:cs="Arial"/>
          <w:b/>
          <w:bCs/>
          <w:color w:val="0070C0"/>
        </w:rPr>
        <w:t>Fig</w:t>
      </w:r>
      <w:r w:rsidR="00EF0078" w:rsidRPr="00D067E9">
        <w:rPr>
          <w:rFonts w:ascii="Arial" w:hAnsi="Arial" w:cs="Arial"/>
          <w:b/>
          <w:bCs/>
          <w:color w:val="0070C0"/>
        </w:rPr>
        <w:t>.</w:t>
      </w:r>
      <w:r w:rsidRPr="00D067E9">
        <w:rPr>
          <w:rFonts w:ascii="Arial" w:hAnsi="Arial" w:cs="Arial"/>
          <w:b/>
          <w:bCs/>
          <w:color w:val="0070C0"/>
        </w:rPr>
        <w:t xml:space="preserve"> S</w:t>
      </w:r>
      <w:r w:rsidR="002551A3" w:rsidRPr="00D067E9">
        <w:rPr>
          <w:rFonts w:ascii="Arial" w:hAnsi="Arial" w:cs="Arial"/>
          <w:b/>
          <w:bCs/>
          <w:color w:val="0070C0"/>
        </w:rPr>
        <w:t>3</w:t>
      </w:r>
      <w:r w:rsidR="00EF0078" w:rsidRPr="00D067E9">
        <w:rPr>
          <w:rFonts w:ascii="Arial" w:hAnsi="Arial" w:cs="Arial"/>
          <w:b/>
          <w:bCs/>
          <w:color w:val="0070C0"/>
        </w:rPr>
        <w:t>c</w:t>
      </w:r>
      <w:r w:rsidRPr="00D067E9">
        <w:rPr>
          <w:rFonts w:ascii="Arial" w:hAnsi="Arial" w:cs="Arial"/>
          <w:color w:val="000000" w:themeColor="text1"/>
        </w:rPr>
        <w:t>).</w:t>
      </w:r>
    </w:p>
    <w:p w14:paraId="72E3CC2E" w14:textId="74B24A83" w:rsidR="005F5D8A" w:rsidRPr="00D067E9" w:rsidRDefault="005F5D8A" w:rsidP="00D067E9">
      <w:pPr>
        <w:pStyle w:val="2"/>
        <w:rPr>
          <w:rFonts w:ascii="Arial" w:hAnsi="Arial" w:cs="Arial"/>
          <w:sz w:val="21"/>
          <w:szCs w:val="21"/>
        </w:rPr>
      </w:pPr>
      <w:bookmarkStart w:id="7" w:name="_Toc195882160"/>
      <w:bookmarkStart w:id="8" w:name="_Toc195882816"/>
      <w:r w:rsidRPr="00D067E9">
        <w:rPr>
          <w:rFonts w:ascii="Arial" w:hAnsi="Arial" w:cs="Arial"/>
          <w:sz w:val="21"/>
          <w:szCs w:val="21"/>
        </w:rPr>
        <w:t>Supplemental Note</w:t>
      </w:r>
      <w:r w:rsidR="00C90A08" w:rsidRPr="00D067E9">
        <w:rPr>
          <w:rFonts w:ascii="Arial" w:hAnsi="Arial" w:cs="Arial"/>
          <w:sz w:val="21"/>
          <w:szCs w:val="21"/>
        </w:rPr>
        <w:t xml:space="preserve"> </w:t>
      </w:r>
      <w:r w:rsidR="00091DB5" w:rsidRPr="00D067E9">
        <w:rPr>
          <w:rFonts w:ascii="Arial" w:hAnsi="Arial" w:cs="Arial"/>
          <w:sz w:val="21"/>
          <w:szCs w:val="21"/>
        </w:rPr>
        <w:t>3</w:t>
      </w:r>
      <w:r w:rsidRPr="00D067E9">
        <w:rPr>
          <w:rFonts w:ascii="Arial" w:hAnsi="Arial" w:cs="Arial"/>
          <w:sz w:val="21"/>
          <w:szCs w:val="21"/>
        </w:rPr>
        <w:t xml:space="preserve">. </w:t>
      </w:r>
      <w:r w:rsidR="007C3B0E" w:rsidRPr="00D067E9">
        <w:rPr>
          <w:rFonts w:ascii="Arial" w:hAnsi="Arial" w:cs="Arial"/>
          <w:sz w:val="21"/>
          <w:szCs w:val="21"/>
        </w:rPr>
        <w:t xml:space="preserve">Transfer network of </w:t>
      </w:r>
      <w:r w:rsidR="007C3B0E" w:rsidRPr="00D067E9">
        <w:rPr>
          <w:rFonts w:ascii="Arial" w:hAnsi="Arial" w:cs="Arial"/>
          <w:sz w:val="21"/>
          <w:szCs w:val="21"/>
          <w:shd w:val="clear" w:color="auto" w:fill="FFFFFF"/>
        </w:rPr>
        <w:t>antibiotic resistance genes.</w:t>
      </w:r>
      <w:bookmarkEnd w:id="7"/>
      <w:bookmarkEnd w:id="8"/>
    </w:p>
    <w:p w14:paraId="12E85FD3" w14:textId="60C88DEF" w:rsidR="00E00EFB" w:rsidRPr="00806888" w:rsidRDefault="005F5D8A" w:rsidP="00EA4F34">
      <w:pPr>
        <w:spacing w:line="276" w:lineRule="auto"/>
        <w:rPr>
          <w:rFonts w:ascii="Arial" w:hAnsi="Arial" w:cs="Arial"/>
          <w:color w:val="000000" w:themeColor="text1"/>
        </w:rPr>
      </w:pPr>
      <w:r w:rsidRPr="00D067E9">
        <w:rPr>
          <w:rFonts w:ascii="Arial" w:hAnsi="Arial" w:cs="Arial"/>
          <w:color w:val="000000" w:themeColor="text1"/>
        </w:rPr>
        <w:t>Antibiotic resistance is a major threat for human health, and HGT can mediate the spread of antibiotic resistance genes (ARGs). To explore how often this is the case in our data, we annotated ARGs in HGT clusters (</w:t>
      </w:r>
      <w:r w:rsidRPr="00D067E9">
        <w:rPr>
          <w:rFonts w:ascii="Arial" w:hAnsi="Arial" w:cs="Arial"/>
          <w:b/>
          <w:bCs/>
          <w:color w:val="0070C0"/>
        </w:rPr>
        <w:t>Fig</w:t>
      </w:r>
      <w:r w:rsidR="00EF0078" w:rsidRPr="00D067E9">
        <w:rPr>
          <w:rFonts w:ascii="Arial" w:hAnsi="Arial" w:cs="Arial"/>
          <w:b/>
          <w:bCs/>
          <w:color w:val="0070C0"/>
        </w:rPr>
        <w:t>.</w:t>
      </w:r>
      <w:r w:rsidRPr="00D067E9">
        <w:rPr>
          <w:rFonts w:ascii="Arial" w:hAnsi="Arial" w:cs="Arial"/>
          <w:b/>
          <w:bCs/>
          <w:color w:val="0070C0"/>
        </w:rPr>
        <w:t xml:space="preserve"> S</w:t>
      </w:r>
      <w:r w:rsidR="002551A3" w:rsidRPr="00D067E9">
        <w:rPr>
          <w:rFonts w:ascii="Arial" w:hAnsi="Arial" w:cs="Arial"/>
          <w:b/>
          <w:bCs/>
          <w:color w:val="0070C0"/>
        </w:rPr>
        <w:t>4</w:t>
      </w:r>
      <w:r w:rsidR="00EF0078" w:rsidRPr="00D067E9">
        <w:rPr>
          <w:rFonts w:ascii="Arial" w:hAnsi="Arial" w:cs="Arial"/>
          <w:color w:val="000000" w:themeColor="text1"/>
        </w:rPr>
        <w:t>,</w:t>
      </w:r>
      <w:r w:rsidRPr="00D067E9">
        <w:rPr>
          <w:rFonts w:ascii="Arial" w:hAnsi="Arial" w:cs="Arial"/>
          <w:color w:val="000000" w:themeColor="text1"/>
        </w:rPr>
        <w:t xml:space="preserve"> </w:t>
      </w:r>
      <w:r w:rsidRPr="00D067E9">
        <w:rPr>
          <w:rFonts w:ascii="Arial" w:hAnsi="Arial" w:cs="Arial"/>
          <w:b/>
          <w:bCs/>
          <w:color w:val="0070C0"/>
        </w:rPr>
        <w:t>Table S</w:t>
      </w:r>
      <w:r w:rsidR="002551A3" w:rsidRPr="00D067E9">
        <w:rPr>
          <w:rFonts w:ascii="Arial" w:hAnsi="Arial" w:cs="Arial"/>
          <w:b/>
          <w:bCs/>
          <w:color w:val="0070C0"/>
        </w:rPr>
        <w:t>9</w:t>
      </w:r>
      <w:r w:rsidRPr="00D067E9">
        <w:rPr>
          <w:rFonts w:ascii="Arial" w:hAnsi="Arial" w:cs="Arial"/>
          <w:color w:val="000000" w:themeColor="text1"/>
        </w:rPr>
        <w:t>). Overall, we identified ARGs</w:t>
      </w:r>
      <w:r w:rsidRPr="00D067E9" w:rsidDel="00BC66BF">
        <w:rPr>
          <w:rFonts w:ascii="Arial" w:hAnsi="Arial" w:cs="Arial"/>
          <w:color w:val="000000" w:themeColor="text1"/>
        </w:rPr>
        <w:t xml:space="preserve"> </w:t>
      </w:r>
      <w:r w:rsidRPr="00D067E9">
        <w:rPr>
          <w:rFonts w:ascii="Arial" w:hAnsi="Arial" w:cs="Arial"/>
          <w:color w:val="000000" w:themeColor="text1"/>
        </w:rPr>
        <w:t>in 10 HGT clusters, and these could be assigned to three antibiotic classes: glycopeptides, diaminopyrimidine, and tetracycline (</w:t>
      </w:r>
      <w:r w:rsidRPr="00D067E9">
        <w:rPr>
          <w:rFonts w:ascii="Arial" w:hAnsi="Arial" w:cs="Arial"/>
          <w:b/>
          <w:bCs/>
          <w:color w:val="0070C0"/>
        </w:rPr>
        <w:t>Fig</w:t>
      </w:r>
      <w:r w:rsidR="00EF0078" w:rsidRPr="00D067E9">
        <w:rPr>
          <w:rFonts w:ascii="Arial" w:hAnsi="Arial" w:cs="Arial"/>
          <w:b/>
          <w:bCs/>
          <w:color w:val="0070C0"/>
        </w:rPr>
        <w:t xml:space="preserve">. </w:t>
      </w:r>
      <w:r w:rsidRPr="00D067E9">
        <w:rPr>
          <w:rFonts w:ascii="Arial" w:hAnsi="Arial" w:cs="Arial"/>
          <w:b/>
          <w:bCs/>
          <w:color w:val="0070C0"/>
        </w:rPr>
        <w:t>S</w:t>
      </w:r>
      <w:r w:rsidR="002551A3" w:rsidRPr="00D067E9">
        <w:rPr>
          <w:rFonts w:ascii="Arial" w:hAnsi="Arial" w:cs="Arial"/>
          <w:b/>
          <w:bCs/>
          <w:color w:val="0070C0"/>
        </w:rPr>
        <w:t>4</w:t>
      </w:r>
      <w:r w:rsidRPr="00D067E9">
        <w:rPr>
          <w:rFonts w:ascii="Arial" w:hAnsi="Arial" w:cs="Arial"/>
          <w:color w:val="000000" w:themeColor="text1"/>
        </w:rPr>
        <w:t xml:space="preserve">). By constructing a network of ARG transfer, we found that transfer of glycopeptide resistance </w:t>
      </w:r>
      <w:r w:rsidRPr="00D067E9">
        <w:rPr>
          <w:rFonts w:ascii="Arial" w:hAnsi="Arial" w:cs="Arial"/>
          <w:iCs/>
          <w:color w:val="000000" w:themeColor="text1"/>
        </w:rPr>
        <w:t xml:space="preserve">was mostly related to </w:t>
      </w:r>
      <w:r w:rsidRPr="00D067E9">
        <w:rPr>
          <w:rFonts w:ascii="Arial" w:hAnsi="Arial" w:cs="Arial"/>
          <w:i/>
          <w:iCs/>
          <w:color w:val="000000" w:themeColor="text1"/>
        </w:rPr>
        <w:t>Agathobacter</w:t>
      </w:r>
      <w:r w:rsidRPr="00D067E9">
        <w:rPr>
          <w:rFonts w:ascii="Arial" w:hAnsi="Arial" w:cs="Arial"/>
          <w:color w:val="000000" w:themeColor="text1"/>
        </w:rPr>
        <w:t>,</w:t>
      </w:r>
      <w:r w:rsidRPr="00D067E9">
        <w:rPr>
          <w:rFonts w:ascii="Arial" w:hAnsi="Arial" w:cs="Arial"/>
        </w:rPr>
        <w:t xml:space="preserve"> </w:t>
      </w:r>
      <w:r w:rsidRPr="00D067E9">
        <w:rPr>
          <w:rFonts w:ascii="Arial" w:hAnsi="Arial" w:cs="Arial"/>
          <w:color w:val="000000" w:themeColor="text1"/>
        </w:rPr>
        <w:t>and the sequence similarity of the transferred genes ranged between 99.15</w:t>
      </w:r>
      <w:r w:rsidR="00C90A08" w:rsidRPr="00D067E9">
        <w:rPr>
          <w:rFonts w:ascii="Arial" w:hAnsi="Arial" w:cs="Arial"/>
          <w:color w:val="000000" w:themeColor="text1"/>
        </w:rPr>
        <w:t>%</w:t>
      </w:r>
      <w:r w:rsidRPr="00D067E9">
        <w:rPr>
          <w:rFonts w:ascii="Arial" w:hAnsi="Arial" w:cs="Arial"/>
          <w:color w:val="000000" w:themeColor="text1"/>
        </w:rPr>
        <w:t xml:space="preserve"> and 99.55%, suggesting that these events occurred in the distant past</w:t>
      </w:r>
      <w:r w:rsidRPr="00D067E9">
        <w:rPr>
          <w:rFonts w:ascii="Arial" w:hAnsi="Arial" w:cs="Arial"/>
          <w:color w:val="000000" w:themeColor="text1"/>
        </w:rPr>
        <w:fldChar w:fldCharType="begin"/>
      </w:r>
      <w:r w:rsidR="007F789A" w:rsidRPr="00D067E9">
        <w:rPr>
          <w:rFonts w:ascii="Arial" w:hAnsi="Arial" w:cs="Arial"/>
          <w:color w:val="000000" w:themeColor="text1"/>
        </w:rPr>
        <w:instrText xml:space="preserve"> ADDIN EN.CITE &lt;EndNote&gt;&lt;Cite&gt;&lt;Author&gt;Butler&lt;/Author&gt;&lt;Year&gt;2014&lt;/Year&gt;&lt;RecNum&gt;504&lt;/RecNum&gt;&lt;DisplayText&gt;&lt;style face="superscript"&gt;8&lt;/style&gt;&lt;/DisplayText&gt;&lt;record&gt;&lt;rec-number&gt;504&lt;/rec-number&gt;&lt;foreign-keys&gt;&lt;key app="EN" db-id="tsf529sv4w29v5evaf5xwvdkz5varz2ezfze" timestamp="1731014408"&gt;504&lt;/key&gt;&lt;/foreign-keys&gt;&lt;ref-type name="Journal Article"&gt;17&lt;/ref-type&gt;&lt;contributors&gt;&lt;authors&gt;&lt;author&gt;Butler, Mark S.&lt;/author&gt;&lt;author&gt;Hansford, Karl A.&lt;/author&gt;&lt;author&gt;Blaskovich, Mark A. T.&lt;/author&gt;&lt;author&gt;Halai, Reena&lt;/author&gt;&lt;author&gt;Cooper, Matthew A.&lt;/author&gt;&lt;/authors&gt;&lt;/contributors&gt;&lt;titles&gt;&lt;title&gt;Glycopeptide antibiotics: Back to the future&lt;/title&gt;&lt;secondary-title&gt;The Journal of Antibiotics&lt;/secondary-title&gt;&lt;/titles&gt;&lt;pages&gt;631-644&lt;/pages&gt;&lt;volume&gt;67&lt;/volume&gt;&lt;number&gt;9&lt;/number&gt;&lt;dates&gt;&lt;year&gt;2014&lt;/year&gt;&lt;pub-dates&gt;&lt;date&gt;2014/09/01&lt;/date&gt;&lt;/pub-dates&gt;&lt;/dates&gt;&lt;isbn&gt;1881-1469&lt;/isbn&gt;&lt;urls&gt;&lt;related-urls&gt;&lt;url&gt;https://doi.org/10.1038/ja.2014.111&lt;/url&gt;&lt;/related-urls&gt;&lt;/urls&gt;&lt;electronic-resource-num&gt;10.1038/ja.2014.111&lt;/electronic-resource-num&gt;&lt;/record&gt;&lt;/Cite&gt;&lt;/EndNote&gt;</w:instrText>
      </w:r>
      <w:r w:rsidRPr="00D067E9">
        <w:rPr>
          <w:rFonts w:ascii="Arial" w:hAnsi="Arial" w:cs="Arial"/>
          <w:color w:val="000000" w:themeColor="text1"/>
        </w:rPr>
        <w:fldChar w:fldCharType="separate"/>
      </w:r>
      <w:r w:rsidR="007F789A" w:rsidRPr="00D067E9">
        <w:rPr>
          <w:rFonts w:ascii="Arial" w:hAnsi="Arial" w:cs="Arial"/>
          <w:noProof/>
          <w:color w:val="000000" w:themeColor="text1"/>
          <w:vertAlign w:val="superscript"/>
        </w:rPr>
        <w:t>8</w:t>
      </w:r>
      <w:r w:rsidRPr="00D067E9">
        <w:rPr>
          <w:rFonts w:ascii="Arial" w:hAnsi="Arial" w:cs="Arial"/>
          <w:color w:val="000000" w:themeColor="text1"/>
        </w:rPr>
        <w:fldChar w:fldCharType="end"/>
      </w:r>
      <w:r w:rsidRPr="00D067E9">
        <w:rPr>
          <w:rFonts w:ascii="Arial" w:hAnsi="Arial" w:cs="Arial"/>
          <w:color w:val="000000" w:themeColor="text1"/>
        </w:rPr>
        <w:t>. In addition, by comparing the phylogenetic trees of species and genes using RANGER-DTL (</w:t>
      </w:r>
      <w:r w:rsidR="00FD4057" w:rsidRPr="00D067E9">
        <w:rPr>
          <w:rFonts w:ascii="Arial" w:hAnsi="Arial" w:cs="Arial"/>
          <w:color w:val="000000" w:themeColor="text1"/>
        </w:rPr>
        <w:t>s</w:t>
      </w:r>
      <w:r w:rsidRPr="00D067E9">
        <w:rPr>
          <w:rFonts w:ascii="Arial" w:hAnsi="Arial" w:cs="Arial"/>
          <w:color w:val="000000" w:themeColor="text1"/>
        </w:rPr>
        <w:t>ee</w:t>
      </w:r>
      <w:r w:rsidRPr="00D067E9">
        <w:rPr>
          <w:rFonts w:ascii="Arial" w:hAnsi="Arial" w:cs="Arial"/>
          <w:color w:val="00B0F0"/>
        </w:rPr>
        <w:t xml:space="preserve"> </w:t>
      </w:r>
      <w:r w:rsidRPr="00D067E9">
        <w:rPr>
          <w:rFonts w:ascii="Arial" w:hAnsi="Arial" w:cs="Arial"/>
          <w:b/>
          <w:bCs/>
          <w:color w:val="0070C0"/>
        </w:rPr>
        <w:t>Methods</w:t>
      </w:r>
      <w:r w:rsidRPr="00D067E9">
        <w:rPr>
          <w:rFonts w:ascii="Arial" w:hAnsi="Arial" w:cs="Arial"/>
          <w:color w:val="000000" w:themeColor="text1"/>
        </w:rPr>
        <w:t xml:space="preserve">), we found that </w:t>
      </w:r>
      <w:r w:rsidRPr="00D067E9">
        <w:rPr>
          <w:rFonts w:ascii="Arial" w:hAnsi="Arial" w:cs="Arial"/>
          <w:i/>
          <w:iCs/>
          <w:color w:val="000000" w:themeColor="text1"/>
        </w:rPr>
        <w:t>Agathobacter</w:t>
      </w:r>
      <w:r w:rsidRPr="00D067E9">
        <w:rPr>
          <w:rFonts w:ascii="Arial" w:hAnsi="Arial" w:cs="Arial"/>
          <w:color w:val="000000" w:themeColor="text1"/>
        </w:rPr>
        <w:t xml:space="preserve"> can receive diaminopyrimidine-resistant genes from </w:t>
      </w:r>
      <w:proofErr w:type="spellStart"/>
      <w:r w:rsidRPr="00D067E9">
        <w:rPr>
          <w:rFonts w:ascii="Arial" w:hAnsi="Arial" w:cs="Arial"/>
          <w:i/>
          <w:iCs/>
          <w:color w:val="000000" w:themeColor="text1"/>
        </w:rPr>
        <w:t>Holdemanella</w:t>
      </w:r>
      <w:proofErr w:type="spellEnd"/>
      <w:r w:rsidRPr="00D067E9">
        <w:rPr>
          <w:rFonts w:ascii="Arial" w:hAnsi="Arial" w:cs="Arial"/>
          <w:color w:val="000000" w:themeColor="text1"/>
        </w:rPr>
        <w:t xml:space="preserve"> and </w:t>
      </w:r>
      <w:proofErr w:type="spellStart"/>
      <w:r w:rsidRPr="00D067E9">
        <w:rPr>
          <w:rFonts w:ascii="Arial" w:hAnsi="Arial" w:cs="Arial"/>
          <w:i/>
          <w:iCs/>
          <w:color w:val="000000" w:themeColor="text1"/>
        </w:rPr>
        <w:t>Catenibacterium</w:t>
      </w:r>
      <w:proofErr w:type="spellEnd"/>
      <w:r w:rsidRPr="00D067E9">
        <w:rPr>
          <w:rFonts w:ascii="Arial" w:hAnsi="Arial" w:cs="Arial"/>
          <w:i/>
          <w:iCs/>
          <w:color w:val="000000" w:themeColor="text1"/>
        </w:rPr>
        <w:t xml:space="preserve"> </w:t>
      </w:r>
      <w:r w:rsidRPr="00D067E9">
        <w:rPr>
          <w:rFonts w:ascii="Arial" w:hAnsi="Arial" w:cs="Arial"/>
          <w:color w:val="000000" w:themeColor="text1"/>
        </w:rPr>
        <w:t>(</w:t>
      </w:r>
      <w:r w:rsidRPr="00D067E9">
        <w:rPr>
          <w:rFonts w:ascii="Arial" w:hAnsi="Arial" w:cs="Arial"/>
          <w:b/>
          <w:bCs/>
          <w:color w:val="0070C0"/>
        </w:rPr>
        <w:t>Fig</w:t>
      </w:r>
      <w:r w:rsidR="00EF0078" w:rsidRPr="00D067E9">
        <w:rPr>
          <w:rFonts w:ascii="Arial" w:hAnsi="Arial" w:cs="Arial"/>
          <w:b/>
          <w:bCs/>
          <w:color w:val="0070C0"/>
        </w:rPr>
        <w:t>.</w:t>
      </w:r>
      <w:r w:rsidRPr="00D067E9">
        <w:rPr>
          <w:rFonts w:ascii="Arial" w:hAnsi="Arial" w:cs="Arial"/>
          <w:b/>
          <w:bCs/>
          <w:color w:val="0070C0"/>
        </w:rPr>
        <w:t xml:space="preserve"> S</w:t>
      </w:r>
      <w:r w:rsidR="002551A3" w:rsidRPr="00D067E9">
        <w:rPr>
          <w:rFonts w:ascii="Arial" w:hAnsi="Arial" w:cs="Arial"/>
          <w:b/>
          <w:bCs/>
          <w:color w:val="0070C0"/>
        </w:rPr>
        <w:t>4</w:t>
      </w:r>
      <w:r w:rsidRPr="00D067E9">
        <w:rPr>
          <w:rFonts w:ascii="Arial" w:hAnsi="Arial" w:cs="Arial"/>
          <w:color w:val="000000" w:themeColor="text1"/>
        </w:rPr>
        <w:t xml:space="preserve">). </w:t>
      </w:r>
      <w:proofErr w:type="spellStart"/>
      <w:r w:rsidRPr="00D067E9">
        <w:rPr>
          <w:rFonts w:ascii="Arial" w:hAnsi="Arial" w:cs="Arial"/>
          <w:i/>
          <w:iCs/>
          <w:color w:val="000000" w:themeColor="text1"/>
        </w:rPr>
        <w:t>Agathobacter</w:t>
      </w:r>
      <w:r w:rsidRPr="00D067E9">
        <w:rPr>
          <w:rFonts w:ascii="Arial" w:hAnsi="Arial" w:cs="Arial"/>
          <w:color w:val="000000" w:themeColor="text1"/>
        </w:rPr>
        <w:t>’s</w:t>
      </w:r>
      <w:proofErr w:type="spellEnd"/>
      <w:r w:rsidRPr="00D067E9">
        <w:rPr>
          <w:rFonts w:ascii="Arial" w:hAnsi="Arial" w:cs="Arial"/>
          <w:color w:val="000000" w:themeColor="text1"/>
        </w:rPr>
        <w:t xml:space="preserve"> ability to receive ARGs from other bacteria may enable this bacterium to thrive more effectively in the gut. We also observed that tetracycline-resistant genes were recently transferred, especially the transfer between </w:t>
      </w:r>
      <w:proofErr w:type="spellStart"/>
      <w:r w:rsidRPr="00D067E9">
        <w:rPr>
          <w:rFonts w:ascii="Arial" w:hAnsi="Arial" w:cs="Arial"/>
          <w:i/>
          <w:iCs/>
          <w:color w:val="000000" w:themeColor="text1"/>
        </w:rPr>
        <w:t>Prevotella</w:t>
      </w:r>
      <w:proofErr w:type="spellEnd"/>
      <w:r w:rsidRPr="00D067E9">
        <w:rPr>
          <w:rFonts w:ascii="Arial" w:hAnsi="Arial" w:cs="Arial"/>
          <w:color w:val="000000" w:themeColor="text1"/>
        </w:rPr>
        <w:t xml:space="preserve">, </w:t>
      </w:r>
      <w:r w:rsidRPr="00D067E9">
        <w:rPr>
          <w:rFonts w:ascii="Arial" w:hAnsi="Arial" w:cs="Arial"/>
          <w:i/>
          <w:iCs/>
          <w:color w:val="000000" w:themeColor="text1"/>
        </w:rPr>
        <w:t>Bacteroides</w:t>
      </w:r>
      <w:r w:rsidRPr="00D067E9">
        <w:rPr>
          <w:rFonts w:ascii="Arial" w:hAnsi="Arial" w:cs="Arial"/>
          <w:color w:val="000000" w:themeColor="text1"/>
        </w:rPr>
        <w:t xml:space="preserve">, </w:t>
      </w:r>
      <w:proofErr w:type="spellStart"/>
      <w:r w:rsidRPr="00D067E9">
        <w:rPr>
          <w:rFonts w:ascii="Arial" w:hAnsi="Arial" w:cs="Arial"/>
          <w:i/>
          <w:iCs/>
          <w:color w:val="000000" w:themeColor="text1"/>
        </w:rPr>
        <w:t>Anaerobutyricum</w:t>
      </w:r>
      <w:proofErr w:type="spellEnd"/>
      <w:r w:rsidRPr="00D067E9">
        <w:rPr>
          <w:rFonts w:ascii="Arial" w:hAnsi="Arial" w:cs="Arial"/>
          <w:color w:val="000000" w:themeColor="text1"/>
        </w:rPr>
        <w:t xml:space="preserve">, </w:t>
      </w:r>
      <w:r w:rsidRPr="00D067E9">
        <w:rPr>
          <w:rFonts w:ascii="Arial" w:hAnsi="Arial" w:cs="Arial"/>
          <w:i/>
          <w:iCs/>
          <w:color w:val="000000" w:themeColor="text1"/>
        </w:rPr>
        <w:t>Bacteroides</w:t>
      </w:r>
      <w:r w:rsidRPr="00D067E9">
        <w:rPr>
          <w:rFonts w:ascii="Arial" w:hAnsi="Arial" w:cs="Arial"/>
          <w:color w:val="000000" w:themeColor="text1"/>
        </w:rPr>
        <w:t xml:space="preserve">, and </w:t>
      </w:r>
      <w:proofErr w:type="spellStart"/>
      <w:r w:rsidRPr="00D067E9">
        <w:rPr>
          <w:rFonts w:ascii="Arial" w:hAnsi="Arial" w:cs="Arial"/>
          <w:i/>
          <w:iCs/>
          <w:color w:val="000000" w:themeColor="text1"/>
        </w:rPr>
        <w:t>Phocaeicola</w:t>
      </w:r>
      <w:proofErr w:type="spellEnd"/>
      <w:r w:rsidRPr="00D067E9">
        <w:rPr>
          <w:rFonts w:ascii="Arial" w:hAnsi="Arial" w:cs="Arial"/>
          <w:color w:val="000000" w:themeColor="text1"/>
        </w:rPr>
        <w:t xml:space="preserve">. Their similarities </w:t>
      </w:r>
      <w:r w:rsidRPr="00D067E9">
        <w:rPr>
          <w:rFonts w:ascii="Arial" w:hAnsi="Arial" w:cs="Arial"/>
          <w:color w:val="000000" w:themeColor="text1"/>
        </w:rPr>
        <w:lastRenderedPageBreak/>
        <w:t>are 100%, suggesting this transfer happened within the last 100 years, possibly even within the host. These latter two observations reveal the potential impact of widespread recent use of diaminopyrimidine</w:t>
      </w:r>
      <w:r w:rsidRPr="00D067E9" w:rsidDel="00523634">
        <w:rPr>
          <w:rFonts w:ascii="Arial" w:hAnsi="Arial" w:cs="Arial"/>
          <w:color w:val="000000" w:themeColor="text1"/>
        </w:rPr>
        <w:t xml:space="preserve"> </w:t>
      </w:r>
      <w:r w:rsidRPr="00D067E9">
        <w:rPr>
          <w:rFonts w:ascii="Arial" w:hAnsi="Arial" w:cs="Arial"/>
          <w:color w:val="000000" w:themeColor="text1"/>
        </w:rPr>
        <w:t>and tetracycline antibiotics in humans.</w:t>
      </w:r>
    </w:p>
    <w:p w14:paraId="77B0F006" w14:textId="66D53F1C" w:rsidR="00EF2243" w:rsidRPr="00D067E9" w:rsidRDefault="00EF2243" w:rsidP="00D067E9">
      <w:pPr>
        <w:pStyle w:val="2"/>
        <w:rPr>
          <w:rFonts w:ascii="Arial" w:hAnsi="Arial" w:cs="Arial"/>
          <w:sz w:val="21"/>
          <w:szCs w:val="21"/>
        </w:rPr>
      </w:pPr>
      <w:bookmarkStart w:id="9" w:name="_Toc195882161"/>
      <w:bookmarkStart w:id="10" w:name="_Toc195882817"/>
      <w:r w:rsidRPr="00D067E9">
        <w:rPr>
          <w:rFonts w:ascii="Arial" w:hAnsi="Arial" w:cs="Arial"/>
          <w:sz w:val="21"/>
          <w:szCs w:val="21"/>
        </w:rPr>
        <w:t>Supplemental Note</w:t>
      </w:r>
      <w:r w:rsidR="00C90A08" w:rsidRPr="00D067E9">
        <w:rPr>
          <w:rFonts w:ascii="Arial" w:hAnsi="Arial" w:cs="Arial"/>
          <w:sz w:val="21"/>
          <w:szCs w:val="21"/>
        </w:rPr>
        <w:t xml:space="preserve"> </w:t>
      </w:r>
      <w:r w:rsidR="00091DB5" w:rsidRPr="00D067E9">
        <w:rPr>
          <w:rFonts w:ascii="Arial" w:hAnsi="Arial" w:cs="Arial"/>
          <w:sz w:val="21"/>
          <w:szCs w:val="21"/>
        </w:rPr>
        <w:t>4</w:t>
      </w:r>
      <w:r w:rsidRPr="00D067E9">
        <w:rPr>
          <w:rFonts w:ascii="Arial" w:hAnsi="Arial" w:cs="Arial"/>
          <w:sz w:val="21"/>
          <w:szCs w:val="21"/>
        </w:rPr>
        <w:t>. Bacteria with gelatin hydrolysis</w:t>
      </w:r>
      <w:r w:rsidR="00574060" w:rsidRPr="00D067E9">
        <w:rPr>
          <w:rFonts w:ascii="Arial" w:hAnsi="Arial" w:cs="Arial"/>
          <w:sz w:val="21"/>
          <w:szCs w:val="21"/>
        </w:rPr>
        <w:t>,</w:t>
      </w:r>
      <w:r w:rsidRPr="00D067E9">
        <w:rPr>
          <w:rFonts w:ascii="Arial" w:hAnsi="Arial" w:cs="Arial"/>
          <w:sz w:val="21"/>
          <w:szCs w:val="21"/>
        </w:rPr>
        <w:t xml:space="preserve"> motility</w:t>
      </w:r>
      <w:r w:rsidR="00574060" w:rsidRPr="00D067E9">
        <w:rPr>
          <w:rFonts w:ascii="Arial" w:hAnsi="Arial" w:cs="Arial"/>
          <w:sz w:val="21"/>
          <w:szCs w:val="21"/>
        </w:rPr>
        <w:t xml:space="preserve">, and </w:t>
      </w:r>
      <w:r w:rsidR="006109BF" w:rsidRPr="00D067E9">
        <w:rPr>
          <w:rFonts w:ascii="Arial" w:hAnsi="Arial" w:cs="Arial"/>
          <w:sz w:val="21"/>
          <w:szCs w:val="21"/>
        </w:rPr>
        <w:t>M</w:t>
      </w:r>
      <w:r w:rsidR="009F3AA2" w:rsidRPr="00D067E9">
        <w:rPr>
          <w:rFonts w:ascii="Arial" w:hAnsi="Arial" w:cs="Arial"/>
          <w:sz w:val="21"/>
          <w:szCs w:val="21"/>
        </w:rPr>
        <w:t>oaC</w:t>
      </w:r>
      <w:r w:rsidRPr="00D067E9">
        <w:rPr>
          <w:rFonts w:ascii="Arial" w:hAnsi="Arial" w:cs="Arial"/>
          <w:sz w:val="21"/>
          <w:szCs w:val="21"/>
        </w:rPr>
        <w:t xml:space="preserve"> are more likely to be involved in HGT</w:t>
      </w:r>
      <w:bookmarkEnd w:id="9"/>
      <w:bookmarkEnd w:id="10"/>
    </w:p>
    <w:p w14:paraId="59F5163B" w14:textId="72942A49" w:rsidR="00EF2243" w:rsidRPr="00D067E9" w:rsidRDefault="00EF2243" w:rsidP="00EA4F34">
      <w:pPr>
        <w:spacing w:after="120" w:line="276" w:lineRule="auto"/>
        <w:rPr>
          <w:rFonts w:ascii="Arial" w:hAnsi="Arial" w:cs="Arial"/>
          <w:color w:val="000000" w:themeColor="text1"/>
        </w:rPr>
      </w:pPr>
      <w:r w:rsidRPr="00D067E9">
        <w:rPr>
          <w:rFonts w:ascii="Arial" w:hAnsi="Arial" w:cs="Arial"/>
          <w:color w:val="000000" w:themeColor="text1"/>
        </w:rPr>
        <w:t>To characterize the phenotypic characteristics</w:t>
      </w:r>
      <w:r w:rsidRPr="00D067E9" w:rsidDel="009F5A0E">
        <w:rPr>
          <w:rFonts w:ascii="Arial" w:hAnsi="Arial" w:cs="Arial"/>
          <w:color w:val="000000" w:themeColor="text1"/>
        </w:rPr>
        <w:t xml:space="preserve"> </w:t>
      </w:r>
      <w:r w:rsidRPr="00D067E9">
        <w:rPr>
          <w:rFonts w:ascii="Arial" w:hAnsi="Arial" w:cs="Arial"/>
          <w:color w:val="000000" w:themeColor="text1"/>
        </w:rPr>
        <w:t xml:space="preserve">and roles of species in the HGT network, we predicted bacterial traits, </w:t>
      </w:r>
      <w:r w:rsidR="00887A4A" w:rsidRPr="00D067E9">
        <w:rPr>
          <w:rFonts w:ascii="Arial" w:hAnsi="Arial" w:cs="Arial"/>
          <w:color w:val="000000" w:themeColor="text1"/>
        </w:rPr>
        <w:t xml:space="preserve">ultimately </w:t>
      </w:r>
      <w:r w:rsidRPr="00D067E9">
        <w:rPr>
          <w:rFonts w:ascii="Arial" w:hAnsi="Arial" w:cs="Arial"/>
          <w:color w:val="000000" w:themeColor="text1"/>
        </w:rPr>
        <w:t>retaining 22 high-confidence traits (</w:t>
      </w:r>
      <w:r w:rsidRPr="00D067E9">
        <w:rPr>
          <w:rFonts w:ascii="Arial" w:hAnsi="Arial" w:cs="Arial"/>
          <w:color w:val="000000" w:themeColor="text1"/>
          <w:szCs w:val="21"/>
        </w:rPr>
        <w:t xml:space="preserve">&gt;90% predictive accuracy using the </w:t>
      </w:r>
      <w:proofErr w:type="spellStart"/>
      <w:r w:rsidRPr="00D067E9">
        <w:rPr>
          <w:rFonts w:ascii="Arial" w:hAnsi="Arial" w:cs="Arial"/>
          <w:color w:val="000000" w:themeColor="text1"/>
          <w:szCs w:val="21"/>
        </w:rPr>
        <w:t>phypat</w:t>
      </w:r>
      <w:proofErr w:type="spellEnd"/>
      <w:r w:rsidRPr="00D067E9">
        <w:rPr>
          <w:rFonts w:ascii="Arial" w:hAnsi="Arial" w:cs="Arial"/>
          <w:color w:val="000000" w:themeColor="text1"/>
          <w:szCs w:val="21"/>
        </w:rPr>
        <w:t xml:space="preserve"> + PGL method</w:t>
      </w:r>
      <w:r w:rsidRPr="00D067E9">
        <w:rPr>
          <w:rFonts w:ascii="Arial" w:hAnsi="Arial" w:cs="Arial"/>
          <w:color w:val="000000" w:themeColor="text1"/>
        </w:rPr>
        <w:t xml:space="preserve">) based on their pangenome, including </w:t>
      </w:r>
      <w:r w:rsidRPr="00D067E9">
        <w:rPr>
          <w:rFonts w:ascii="Arial" w:hAnsi="Arial" w:cs="Arial"/>
          <w:color w:val="000000" w:themeColor="text1"/>
          <w:szCs w:val="21"/>
        </w:rPr>
        <w:t>energy resources for growth, enzymatic activities, and morphology</w:t>
      </w:r>
      <w:r w:rsidRPr="00D067E9">
        <w:rPr>
          <w:rFonts w:ascii="Arial" w:hAnsi="Arial" w:cs="Arial"/>
          <w:color w:val="000000" w:themeColor="text1"/>
        </w:rPr>
        <w:t xml:space="preserve"> (</w:t>
      </w:r>
      <w:r w:rsidRPr="00D067E9">
        <w:rPr>
          <w:rFonts w:ascii="Arial" w:hAnsi="Arial" w:cs="Arial"/>
          <w:b/>
          <w:bCs/>
          <w:color w:val="0070C0"/>
        </w:rPr>
        <w:t>Fig</w:t>
      </w:r>
      <w:r w:rsidR="00EF0078" w:rsidRPr="00D067E9">
        <w:rPr>
          <w:rFonts w:ascii="Arial" w:hAnsi="Arial" w:cs="Arial"/>
          <w:b/>
          <w:bCs/>
          <w:color w:val="0070C0"/>
        </w:rPr>
        <w:t>.</w:t>
      </w:r>
      <w:r w:rsidRPr="00D067E9">
        <w:rPr>
          <w:rFonts w:ascii="Arial" w:hAnsi="Arial" w:cs="Arial"/>
          <w:b/>
          <w:bCs/>
          <w:color w:val="0070C0"/>
        </w:rPr>
        <w:t xml:space="preserve"> S</w:t>
      </w:r>
      <w:r w:rsidR="002551A3" w:rsidRPr="00D067E9">
        <w:rPr>
          <w:rFonts w:ascii="Arial" w:hAnsi="Arial" w:cs="Arial"/>
          <w:b/>
          <w:bCs/>
          <w:color w:val="0070C0"/>
        </w:rPr>
        <w:t>5</w:t>
      </w:r>
      <w:r w:rsidR="00EF0078" w:rsidRPr="00D067E9">
        <w:rPr>
          <w:rFonts w:ascii="Arial" w:hAnsi="Arial" w:cs="Arial"/>
          <w:b/>
          <w:bCs/>
          <w:color w:val="0070C0"/>
        </w:rPr>
        <w:t>a</w:t>
      </w:r>
      <w:r w:rsidRPr="00D067E9">
        <w:rPr>
          <w:rFonts w:ascii="Arial" w:hAnsi="Arial" w:cs="Arial"/>
          <w:color w:val="000000" w:themeColor="text1"/>
        </w:rPr>
        <w:t>, see</w:t>
      </w:r>
      <w:r w:rsidRPr="00D067E9">
        <w:rPr>
          <w:rFonts w:ascii="Arial" w:hAnsi="Arial" w:cs="Arial"/>
          <w:color w:val="00B0F0"/>
        </w:rPr>
        <w:t xml:space="preserve"> </w:t>
      </w:r>
      <w:r w:rsidRPr="00D067E9">
        <w:rPr>
          <w:rFonts w:ascii="Arial" w:hAnsi="Arial" w:cs="Arial"/>
          <w:b/>
          <w:bCs/>
          <w:color w:val="0070C0"/>
        </w:rPr>
        <w:t>Methods</w:t>
      </w:r>
      <w:r w:rsidRPr="00D067E9">
        <w:rPr>
          <w:rFonts w:ascii="Arial" w:hAnsi="Arial" w:cs="Arial"/>
          <w:color w:val="000000" w:themeColor="text1"/>
        </w:rPr>
        <w:t>).</w:t>
      </w:r>
      <w:r w:rsidR="00FD65E0" w:rsidRPr="00D067E9">
        <w:rPr>
          <w:rFonts w:ascii="Arial" w:hAnsi="Arial" w:cs="Arial"/>
        </w:rPr>
        <w:t xml:space="preserve"> </w:t>
      </w:r>
      <w:r w:rsidR="00FD65E0" w:rsidRPr="00D067E9">
        <w:rPr>
          <w:rFonts w:ascii="Arial" w:hAnsi="Arial" w:cs="Arial"/>
          <w:color w:val="000000" w:themeColor="text1"/>
        </w:rPr>
        <w:t xml:space="preserve">In addition to the predicted bacterial traits, we also integrated information on whether the species' pangenome carries the functions of MoaC, </w:t>
      </w:r>
      <w:proofErr w:type="spellStart"/>
      <w:r w:rsidR="00FD65E0" w:rsidRPr="00D067E9">
        <w:rPr>
          <w:rFonts w:ascii="Arial" w:hAnsi="Arial" w:cs="Arial"/>
          <w:color w:val="000000" w:themeColor="text1"/>
        </w:rPr>
        <w:t>MoCF</w:t>
      </w:r>
      <w:proofErr w:type="spellEnd"/>
      <w:r w:rsidR="00FD65E0" w:rsidRPr="00D067E9">
        <w:rPr>
          <w:rFonts w:ascii="Arial" w:hAnsi="Arial" w:cs="Arial"/>
          <w:color w:val="000000" w:themeColor="text1"/>
        </w:rPr>
        <w:t xml:space="preserve">, and </w:t>
      </w:r>
      <w:proofErr w:type="spellStart"/>
      <w:r w:rsidR="00FD65E0" w:rsidRPr="00D067E9">
        <w:rPr>
          <w:rFonts w:ascii="Arial" w:hAnsi="Arial" w:cs="Arial"/>
          <w:color w:val="000000" w:themeColor="text1"/>
        </w:rPr>
        <w:t>FdhD-NarQ</w:t>
      </w:r>
      <w:proofErr w:type="spellEnd"/>
      <w:r w:rsidR="00FD65E0" w:rsidRPr="00D067E9">
        <w:rPr>
          <w:rFonts w:ascii="Arial" w:hAnsi="Arial" w:cs="Arial"/>
          <w:color w:val="000000" w:themeColor="text1"/>
        </w:rPr>
        <w:t>.</w:t>
      </w:r>
      <w:r w:rsidRPr="00D067E9">
        <w:rPr>
          <w:rFonts w:ascii="Arial" w:hAnsi="Arial" w:cs="Arial"/>
          <w:color w:val="000000" w:themeColor="text1"/>
        </w:rPr>
        <w:t xml:space="preserve"> We then constructed a HGT network connecting species that had at least one HGT event between them and calculated the node (species) degree centrality and the betweenness centrality</w:t>
      </w:r>
      <w:r w:rsidR="007C54EB" w:rsidRPr="00D067E9">
        <w:rPr>
          <w:rFonts w:ascii="Arial" w:hAnsi="Arial" w:cs="Arial"/>
          <w:color w:val="000000" w:themeColor="text1"/>
        </w:rPr>
        <w:t>.</w:t>
      </w:r>
      <w:r w:rsidRPr="00D067E9">
        <w:rPr>
          <w:rFonts w:ascii="Arial" w:hAnsi="Arial" w:cs="Arial"/>
          <w:color w:val="000000" w:themeColor="text1"/>
        </w:rPr>
        <w:t xml:space="preserve"> </w:t>
      </w:r>
      <w:r w:rsidR="003E338A" w:rsidRPr="00D067E9">
        <w:rPr>
          <w:rFonts w:ascii="Arial" w:hAnsi="Arial" w:cs="Arial"/>
          <w:color w:val="000000" w:themeColor="text1"/>
        </w:rPr>
        <w:t xml:space="preserve">A species with a high degree centrality is connected to multiple other species via HGT events. This suggests that it serves as a hub capable of engaging in gene transfer with a diverse array of species. A species with a high betweenness centrality lies on many of the shortest paths between other species. This indicates that it acts as a bridge or mediator, facilitating the spread of genes across different groups of species </w:t>
      </w:r>
      <w:r w:rsidRPr="00D067E9">
        <w:rPr>
          <w:rFonts w:ascii="Arial" w:hAnsi="Arial" w:cs="Arial"/>
          <w:color w:val="000000" w:themeColor="text1"/>
        </w:rPr>
        <w:t>(</w:t>
      </w:r>
      <w:r w:rsidRPr="00D067E9">
        <w:rPr>
          <w:rFonts w:ascii="Arial" w:hAnsi="Arial" w:cs="Arial"/>
          <w:b/>
          <w:bCs/>
          <w:color w:val="0070C0"/>
        </w:rPr>
        <w:t>Fig</w:t>
      </w:r>
      <w:r w:rsidR="00EF0078" w:rsidRPr="00D067E9">
        <w:rPr>
          <w:rFonts w:ascii="Arial" w:hAnsi="Arial" w:cs="Arial"/>
          <w:b/>
          <w:bCs/>
          <w:color w:val="0070C0"/>
        </w:rPr>
        <w:t>.</w:t>
      </w:r>
      <w:r w:rsidRPr="00D067E9">
        <w:rPr>
          <w:rFonts w:ascii="Arial" w:hAnsi="Arial" w:cs="Arial"/>
          <w:b/>
          <w:bCs/>
          <w:color w:val="0070C0"/>
        </w:rPr>
        <w:t xml:space="preserve"> S</w:t>
      </w:r>
      <w:r w:rsidR="002551A3" w:rsidRPr="00D067E9">
        <w:rPr>
          <w:rFonts w:ascii="Arial" w:hAnsi="Arial" w:cs="Arial"/>
          <w:b/>
          <w:bCs/>
          <w:color w:val="0070C0"/>
        </w:rPr>
        <w:t>5</w:t>
      </w:r>
      <w:r w:rsidR="00EF0078" w:rsidRPr="00D067E9">
        <w:rPr>
          <w:rFonts w:ascii="Arial" w:hAnsi="Arial" w:cs="Arial"/>
          <w:b/>
          <w:bCs/>
          <w:color w:val="0070C0"/>
        </w:rPr>
        <w:t>b</w:t>
      </w:r>
      <w:r w:rsidRPr="00D067E9">
        <w:rPr>
          <w:rFonts w:ascii="Arial" w:hAnsi="Arial" w:cs="Arial"/>
          <w:color w:val="000000" w:themeColor="text1"/>
        </w:rPr>
        <w:t xml:space="preserve">, </w:t>
      </w:r>
      <w:r w:rsidRPr="00D067E9">
        <w:rPr>
          <w:rFonts w:ascii="Arial" w:hAnsi="Arial" w:cs="Arial"/>
          <w:b/>
          <w:bCs/>
          <w:color w:val="0070C0"/>
        </w:rPr>
        <w:t>Table S4</w:t>
      </w:r>
      <w:r w:rsidRPr="00D067E9">
        <w:rPr>
          <w:rFonts w:ascii="Arial" w:hAnsi="Arial" w:cs="Arial"/>
          <w:color w:val="000000" w:themeColor="text1"/>
        </w:rPr>
        <w:t>).</w:t>
      </w:r>
    </w:p>
    <w:p w14:paraId="2A62BF9C" w14:textId="23B09413" w:rsidR="00EF2243" w:rsidRPr="00D067E9" w:rsidRDefault="00EF2243" w:rsidP="00EA4F34">
      <w:pPr>
        <w:spacing w:line="276" w:lineRule="auto"/>
        <w:rPr>
          <w:rFonts w:ascii="Arial" w:hAnsi="Arial" w:cs="Arial"/>
          <w:color w:val="000000" w:themeColor="text1"/>
        </w:rPr>
      </w:pPr>
      <w:r w:rsidRPr="00D067E9">
        <w:rPr>
          <w:rFonts w:ascii="Arial" w:hAnsi="Arial" w:cs="Arial"/>
          <w:color w:val="000000" w:themeColor="text1"/>
        </w:rPr>
        <w:t xml:space="preserve">The HGT network centrality degree could be influenced by species abundance and species phylogenetic distance. For instance, we observed that most of the species in the center belong to </w:t>
      </w:r>
      <w:proofErr w:type="spellStart"/>
      <w:r w:rsidRPr="00D067E9">
        <w:rPr>
          <w:rFonts w:ascii="Arial" w:hAnsi="Arial" w:cs="Arial"/>
          <w:i/>
          <w:iCs/>
          <w:color w:val="000000" w:themeColor="text1"/>
        </w:rPr>
        <w:t>Firmicutes_A</w:t>
      </w:r>
      <w:proofErr w:type="spellEnd"/>
      <w:r w:rsidRPr="00D067E9">
        <w:rPr>
          <w:rFonts w:ascii="Arial" w:hAnsi="Arial" w:cs="Arial"/>
          <w:color w:val="000000" w:themeColor="text1"/>
        </w:rPr>
        <w:t xml:space="preserve"> (</w:t>
      </w:r>
      <w:r w:rsidRPr="00D067E9">
        <w:rPr>
          <w:rFonts w:ascii="Arial" w:hAnsi="Arial" w:cs="Arial"/>
          <w:b/>
          <w:bCs/>
          <w:color w:val="0070C0"/>
        </w:rPr>
        <w:t>Fig</w:t>
      </w:r>
      <w:r w:rsidR="00EF0078" w:rsidRPr="00D067E9">
        <w:rPr>
          <w:rFonts w:ascii="Arial" w:hAnsi="Arial" w:cs="Arial"/>
          <w:b/>
          <w:bCs/>
          <w:color w:val="0070C0"/>
        </w:rPr>
        <w:t>.</w:t>
      </w:r>
      <w:r w:rsidRPr="00D067E9">
        <w:rPr>
          <w:rFonts w:ascii="Arial" w:hAnsi="Arial" w:cs="Arial"/>
          <w:b/>
          <w:bCs/>
          <w:color w:val="0070C0"/>
        </w:rPr>
        <w:t xml:space="preserve"> S</w:t>
      </w:r>
      <w:r w:rsidR="002551A3" w:rsidRPr="00D067E9">
        <w:rPr>
          <w:rFonts w:ascii="Arial" w:hAnsi="Arial" w:cs="Arial"/>
          <w:b/>
          <w:bCs/>
          <w:color w:val="0070C0"/>
        </w:rPr>
        <w:t>5</w:t>
      </w:r>
      <w:r w:rsidR="00EF0078" w:rsidRPr="00D067E9">
        <w:rPr>
          <w:rFonts w:ascii="Arial" w:hAnsi="Arial" w:cs="Arial"/>
          <w:b/>
          <w:bCs/>
          <w:color w:val="0070C0"/>
        </w:rPr>
        <w:t>b</w:t>
      </w:r>
      <w:r w:rsidRPr="00D067E9">
        <w:rPr>
          <w:rFonts w:ascii="Arial" w:hAnsi="Arial" w:cs="Arial"/>
          <w:color w:val="000000" w:themeColor="text1"/>
        </w:rPr>
        <w:t>). Previous studies have found that abundant species have higher HGT rates and are more likely to be the donors in the transfer</w:t>
      </w:r>
      <w:r w:rsidRPr="00D067E9">
        <w:rPr>
          <w:rFonts w:ascii="Arial" w:hAnsi="Arial" w:cs="Arial"/>
          <w:color w:val="000000" w:themeColor="text1"/>
        </w:rPr>
        <w:fldChar w:fldCharType="begin">
          <w:fldData xml:space="preserve">PEVuZE5vdGU+PENpdGU+PEF1dGhvcj5Ic3U8L0F1dGhvcj48WWVhcj4yMDIzPC9ZZWFyPjxSZWNO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</w:fldData>
        </w:fldChar>
      </w:r>
      <w:r w:rsidR="007F789A" w:rsidRPr="00D067E9">
        <w:rPr>
          <w:rFonts w:ascii="Arial" w:hAnsi="Arial" w:cs="Arial"/>
          <w:color w:val="000000" w:themeColor="text1"/>
        </w:rPr>
        <w:instrText xml:space="preserve"> ADDIN EN.CITE </w:instrText>
      </w:r>
      <w:r w:rsidR="007F789A" w:rsidRPr="00D067E9">
        <w:rPr>
          <w:rFonts w:ascii="Arial" w:hAnsi="Arial" w:cs="Arial"/>
          <w:color w:val="000000" w:themeColor="text1"/>
        </w:rPr>
        <w:fldChar w:fldCharType="begin">
          <w:fldData xml:space="preserve">PEVuZE5vdGU+PENpdGU+PEF1dGhvcj5Ic3U8L0F1dGhvcj48WWVhcj4yMDIzPC9ZZWFyPjxSZWNO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</w:fldData>
        </w:fldChar>
      </w:r>
      <w:r w:rsidR="007F789A" w:rsidRPr="00D067E9">
        <w:rPr>
          <w:rFonts w:ascii="Arial" w:hAnsi="Arial" w:cs="Arial"/>
          <w:color w:val="000000" w:themeColor="text1"/>
        </w:rPr>
        <w:instrText xml:space="preserve"> ADDIN EN.CITE.DATA </w:instrText>
      </w:r>
      <w:r w:rsidR="007F789A" w:rsidRPr="00D067E9">
        <w:rPr>
          <w:rFonts w:ascii="Arial" w:hAnsi="Arial" w:cs="Arial"/>
          <w:color w:val="000000" w:themeColor="text1"/>
        </w:rPr>
      </w:r>
      <w:r w:rsidR="007F789A" w:rsidRPr="00D067E9">
        <w:rPr>
          <w:rFonts w:ascii="Arial" w:hAnsi="Arial" w:cs="Arial"/>
          <w:color w:val="000000" w:themeColor="text1"/>
        </w:rPr>
        <w:fldChar w:fldCharType="end"/>
      </w:r>
      <w:r w:rsidRPr="00D067E9">
        <w:rPr>
          <w:rFonts w:ascii="Arial" w:hAnsi="Arial" w:cs="Arial"/>
          <w:color w:val="000000" w:themeColor="text1"/>
        </w:rPr>
      </w:r>
      <w:r w:rsidRPr="00D067E9">
        <w:rPr>
          <w:rFonts w:ascii="Arial" w:hAnsi="Arial" w:cs="Arial"/>
          <w:color w:val="000000" w:themeColor="text1"/>
        </w:rPr>
        <w:fldChar w:fldCharType="separate"/>
      </w:r>
      <w:r w:rsidR="007F789A" w:rsidRPr="00D067E9">
        <w:rPr>
          <w:rFonts w:ascii="Arial" w:hAnsi="Arial" w:cs="Arial"/>
          <w:noProof/>
          <w:color w:val="000000" w:themeColor="text1"/>
          <w:vertAlign w:val="superscript"/>
        </w:rPr>
        <w:t>9,10</w:t>
      </w:r>
      <w:r w:rsidRPr="00D067E9">
        <w:rPr>
          <w:rFonts w:ascii="Arial" w:hAnsi="Arial" w:cs="Arial"/>
          <w:color w:val="000000" w:themeColor="text1"/>
        </w:rPr>
        <w:fldChar w:fldCharType="end"/>
      </w:r>
      <w:r w:rsidRPr="00D067E9">
        <w:rPr>
          <w:rFonts w:ascii="Arial" w:hAnsi="Arial" w:cs="Arial"/>
          <w:color w:val="000000" w:themeColor="text1"/>
        </w:rPr>
        <w:t xml:space="preserve">. In our approach, highly abundant species were more likely to assemble high-quality </w:t>
      </w:r>
      <w:proofErr w:type="gramStart"/>
      <w:r w:rsidRPr="00D067E9">
        <w:rPr>
          <w:rFonts w:ascii="Arial" w:hAnsi="Arial" w:cs="Arial"/>
          <w:color w:val="000000" w:themeColor="text1"/>
        </w:rPr>
        <w:t>genomes</w:t>
      </w:r>
      <w:proofErr w:type="gramEnd"/>
      <w:r w:rsidRPr="00D067E9">
        <w:rPr>
          <w:rFonts w:ascii="Arial" w:hAnsi="Arial" w:cs="Arial"/>
          <w:color w:val="000000" w:themeColor="text1"/>
        </w:rPr>
        <w:t xml:space="preserve"> and phylogenetically close bacteria </w:t>
      </w:r>
      <w:r w:rsidR="007121B0" w:rsidRPr="00D067E9">
        <w:rPr>
          <w:rFonts w:ascii="Arial" w:hAnsi="Arial" w:cs="Arial"/>
          <w:color w:val="000000" w:themeColor="text1"/>
        </w:rPr>
        <w:t xml:space="preserve">could </w:t>
      </w:r>
      <w:r w:rsidRPr="00D067E9">
        <w:rPr>
          <w:rFonts w:ascii="Arial" w:hAnsi="Arial" w:cs="Arial"/>
          <w:color w:val="000000" w:themeColor="text1"/>
        </w:rPr>
        <w:t>also share traits. We therefore adjusted the bacterial abundance and phylogeny using a linear mixed model fit for the influence of bacteria</w:t>
      </w:r>
      <w:r w:rsidR="00321BCB" w:rsidRPr="00D067E9">
        <w:rPr>
          <w:rFonts w:ascii="Arial" w:hAnsi="Arial" w:cs="Arial"/>
          <w:color w:val="000000" w:themeColor="text1"/>
        </w:rPr>
        <w:t>l</w:t>
      </w:r>
      <w:r w:rsidRPr="00D067E9">
        <w:rPr>
          <w:rFonts w:ascii="Arial" w:hAnsi="Arial" w:cs="Arial"/>
          <w:color w:val="000000" w:themeColor="text1"/>
        </w:rPr>
        <w:t xml:space="preserve"> traits (independent variable) on HGT network centrality (dependent variable) (see</w:t>
      </w:r>
      <w:r w:rsidRPr="00D067E9">
        <w:rPr>
          <w:rFonts w:ascii="Arial" w:hAnsi="Arial" w:cs="Arial"/>
          <w:color w:val="00B0F0"/>
        </w:rPr>
        <w:t xml:space="preserve"> </w:t>
      </w:r>
      <w:r w:rsidRPr="00D067E9">
        <w:rPr>
          <w:rFonts w:ascii="Arial" w:hAnsi="Arial" w:cs="Arial"/>
          <w:b/>
          <w:bCs/>
          <w:color w:val="0070C0"/>
        </w:rPr>
        <w:t>Methods</w:t>
      </w:r>
      <w:r w:rsidRPr="00D067E9">
        <w:rPr>
          <w:rFonts w:ascii="Arial" w:hAnsi="Arial" w:cs="Arial"/>
          <w:color w:val="000000" w:themeColor="text1"/>
        </w:rPr>
        <w:t xml:space="preserve">). The </w:t>
      </w:r>
      <w:r w:rsidR="007121B0" w:rsidRPr="00D067E9">
        <w:rPr>
          <w:rFonts w:ascii="Arial" w:hAnsi="Arial" w:cs="Arial"/>
          <w:color w:val="000000" w:themeColor="text1"/>
        </w:rPr>
        <w:t xml:space="preserve">model </w:t>
      </w:r>
      <w:r w:rsidRPr="00D067E9">
        <w:rPr>
          <w:rFonts w:ascii="Arial" w:hAnsi="Arial" w:cs="Arial"/>
          <w:color w:val="000000" w:themeColor="text1"/>
        </w:rPr>
        <w:t xml:space="preserve">results showed that bacteria capable of gelatin hydrolysis were more likely to hold key network positions, both in terms of centrality (Likelihood-ratio test (LRT), </w:t>
      </w:r>
      <w:r w:rsidR="008A600F" w:rsidRPr="00D067E9">
        <w:rPr>
          <w:rFonts w:ascii="Arial" w:hAnsi="Arial" w:cs="Arial"/>
          <w:i/>
          <w:iCs/>
          <w:color w:val="000000" w:themeColor="text1"/>
        </w:rPr>
        <w:t>p</w:t>
      </w:r>
      <w:r w:rsidR="008A600F" w:rsidRPr="00D067E9">
        <w:rPr>
          <w:rFonts w:ascii="Arial" w:hAnsi="Arial" w:cs="Arial"/>
          <w:color w:val="000000" w:themeColor="text1"/>
        </w:rPr>
        <w:t>-value</w:t>
      </w:r>
      <w:r w:rsidRPr="00D067E9">
        <w:rPr>
          <w:rFonts w:ascii="Arial" w:hAnsi="Arial" w:cs="Arial"/>
          <w:color w:val="000000" w:themeColor="text1"/>
        </w:rPr>
        <w:t xml:space="preserve"> = </w:t>
      </w:r>
      <w:r w:rsidR="001C42EF" w:rsidRPr="00D067E9">
        <w:rPr>
          <w:rFonts w:ascii="Arial" w:hAnsi="Arial" w:cs="Arial"/>
          <w:color w:val="000000" w:themeColor="text1"/>
        </w:rPr>
        <w:t>1.48</w:t>
      </w:r>
      <w:r w:rsidR="00720B13" w:rsidRPr="00D067E9">
        <w:rPr>
          <w:rFonts w:ascii="Arial" w:hAnsi="Arial" w:cs="Arial"/>
          <w:color w:val="000000" w:themeColor="text1"/>
        </w:rPr>
        <w:t>x10</w:t>
      </w:r>
      <w:r w:rsidR="00720B13" w:rsidRPr="00D067E9">
        <w:rPr>
          <w:rFonts w:ascii="Arial" w:hAnsi="Arial" w:cs="Arial"/>
          <w:color w:val="000000" w:themeColor="text1"/>
          <w:vertAlign w:val="superscript"/>
        </w:rPr>
        <w:t>-6</w:t>
      </w:r>
      <w:r w:rsidRPr="00D067E9">
        <w:rPr>
          <w:rFonts w:ascii="Arial" w:hAnsi="Arial" w:cs="Arial"/>
          <w:color w:val="000000" w:themeColor="text1"/>
        </w:rPr>
        <w:t xml:space="preserve">) and as connectors between other species (LRT, </w:t>
      </w:r>
      <w:r w:rsidR="008A600F" w:rsidRPr="00D067E9">
        <w:rPr>
          <w:rFonts w:ascii="Arial" w:hAnsi="Arial" w:cs="Arial"/>
          <w:i/>
          <w:iCs/>
          <w:color w:val="000000" w:themeColor="text1"/>
        </w:rPr>
        <w:t>p</w:t>
      </w:r>
      <w:r w:rsidR="008A600F" w:rsidRPr="00D067E9">
        <w:rPr>
          <w:rFonts w:ascii="Arial" w:hAnsi="Arial" w:cs="Arial"/>
          <w:color w:val="000000" w:themeColor="text1"/>
        </w:rPr>
        <w:t xml:space="preserve">-value </w:t>
      </w:r>
      <w:r w:rsidRPr="00D067E9">
        <w:rPr>
          <w:rFonts w:ascii="Arial" w:hAnsi="Arial" w:cs="Arial"/>
          <w:color w:val="000000" w:themeColor="text1"/>
        </w:rPr>
        <w:t xml:space="preserve">= </w:t>
      </w:r>
      <w:r w:rsidR="004D0FF3" w:rsidRPr="00D067E9">
        <w:rPr>
          <w:rFonts w:ascii="Arial" w:hAnsi="Arial" w:cs="Arial"/>
          <w:color w:val="000000" w:themeColor="text1"/>
        </w:rPr>
        <w:t>2.38</w:t>
      </w:r>
      <w:r w:rsidR="00720B13" w:rsidRPr="00D067E9">
        <w:rPr>
          <w:rFonts w:ascii="Arial" w:hAnsi="Arial" w:cs="Arial"/>
          <w:color w:val="000000" w:themeColor="text1"/>
        </w:rPr>
        <w:t>x10</w:t>
      </w:r>
      <w:r w:rsidR="00720B13" w:rsidRPr="00D067E9">
        <w:rPr>
          <w:rFonts w:ascii="Arial" w:hAnsi="Arial" w:cs="Arial"/>
          <w:color w:val="000000" w:themeColor="text1"/>
          <w:vertAlign w:val="superscript"/>
        </w:rPr>
        <w:t>-4</w:t>
      </w:r>
      <w:r w:rsidRPr="00D067E9">
        <w:rPr>
          <w:rFonts w:ascii="Arial" w:hAnsi="Arial" w:cs="Arial"/>
          <w:color w:val="000000" w:themeColor="text1"/>
        </w:rPr>
        <w:t>)</w:t>
      </w:r>
      <w:r w:rsidRPr="00D067E9">
        <w:rPr>
          <w:rFonts w:ascii="Arial" w:hAnsi="Arial" w:cs="Arial"/>
        </w:rPr>
        <w:t xml:space="preserve"> </w:t>
      </w:r>
      <w:r w:rsidRPr="00D067E9">
        <w:rPr>
          <w:rFonts w:ascii="Arial" w:hAnsi="Arial" w:cs="Arial"/>
          <w:color w:val="000000" w:themeColor="text1"/>
        </w:rPr>
        <w:t>(</w:t>
      </w:r>
      <w:r w:rsidRPr="00D067E9">
        <w:rPr>
          <w:rFonts w:ascii="Arial" w:hAnsi="Arial" w:cs="Arial"/>
          <w:b/>
          <w:bCs/>
          <w:color w:val="0070C0"/>
        </w:rPr>
        <w:t>Fig</w:t>
      </w:r>
      <w:r w:rsidR="00EF0078" w:rsidRPr="00D067E9">
        <w:rPr>
          <w:rFonts w:ascii="Arial" w:hAnsi="Arial" w:cs="Arial"/>
          <w:b/>
          <w:bCs/>
          <w:color w:val="0070C0"/>
        </w:rPr>
        <w:t>.</w:t>
      </w:r>
      <w:r w:rsidRPr="00D067E9">
        <w:rPr>
          <w:rFonts w:ascii="Arial" w:hAnsi="Arial" w:cs="Arial"/>
          <w:b/>
          <w:bCs/>
          <w:color w:val="0070C0"/>
        </w:rPr>
        <w:t xml:space="preserve"> </w:t>
      </w:r>
      <w:r w:rsidR="00E83263" w:rsidRPr="00D067E9">
        <w:rPr>
          <w:rFonts w:ascii="Arial" w:hAnsi="Arial" w:cs="Arial"/>
          <w:b/>
          <w:bCs/>
          <w:color w:val="0070C0"/>
        </w:rPr>
        <w:t>S</w:t>
      </w:r>
      <w:r w:rsidR="002551A3" w:rsidRPr="00D067E9">
        <w:rPr>
          <w:rFonts w:ascii="Arial" w:hAnsi="Arial" w:cs="Arial"/>
          <w:b/>
          <w:bCs/>
          <w:color w:val="0070C0"/>
        </w:rPr>
        <w:t>5</w:t>
      </w:r>
      <w:r w:rsidR="00EF0078" w:rsidRPr="00D067E9">
        <w:rPr>
          <w:rFonts w:ascii="Arial" w:hAnsi="Arial" w:cs="Arial"/>
          <w:b/>
          <w:bCs/>
          <w:color w:val="0070C0"/>
        </w:rPr>
        <w:t>c</w:t>
      </w:r>
      <w:r w:rsidRPr="00D067E9">
        <w:rPr>
          <w:rFonts w:ascii="Arial" w:hAnsi="Arial" w:cs="Arial"/>
          <w:color w:val="000000" w:themeColor="text1"/>
        </w:rPr>
        <w:t xml:space="preserve">). This suggests that bacteria that can efficiently utilize proteins derived from undigested dietary proteins have a greater survival advantage and are therefore more likely to mediate recent transfers. Interestingly, </w:t>
      </w:r>
      <w:r w:rsidR="000342C1" w:rsidRPr="00D067E9">
        <w:rPr>
          <w:rFonts w:ascii="Arial" w:hAnsi="Arial" w:cs="Arial"/>
          <w:color w:val="000000" w:themeColor="text1"/>
        </w:rPr>
        <w:t>b</w:t>
      </w:r>
      <w:r w:rsidRPr="00D067E9">
        <w:rPr>
          <w:rFonts w:ascii="Arial" w:hAnsi="Arial" w:cs="Arial"/>
          <w:color w:val="000000" w:themeColor="text1"/>
        </w:rPr>
        <w:t>acteria</w:t>
      </w:r>
      <w:r w:rsidR="000342C1" w:rsidRPr="00D067E9">
        <w:rPr>
          <w:rFonts w:ascii="Arial" w:hAnsi="Arial" w:cs="Arial"/>
          <w:color w:val="000000" w:themeColor="text1"/>
        </w:rPr>
        <w:t xml:space="preserve"> with motile ability</w:t>
      </w:r>
      <w:r w:rsidR="008A600F" w:rsidRPr="00D067E9">
        <w:rPr>
          <w:rFonts w:ascii="Arial" w:hAnsi="Arial" w:cs="Arial"/>
          <w:color w:val="000000" w:themeColor="text1"/>
        </w:rPr>
        <w:t xml:space="preserve"> (LRT, </w:t>
      </w:r>
      <w:r w:rsidR="008A600F" w:rsidRPr="00D067E9">
        <w:rPr>
          <w:rFonts w:ascii="Arial" w:hAnsi="Arial" w:cs="Arial"/>
          <w:i/>
          <w:iCs/>
          <w:color w:val="000000" w:themeColor="text1"/>
        </w:rPr>
        <w:t>p</w:t>
      </w:r>
      <w:r w:rsidR="008A600F" w:rsidRPr="00D067E9">
        <w:rPr>
          <w:rFonts w:ascii="Arial" w:hAnsi="Arial" w:cs="Arial"/>
          <w:color w:val="000000" w:themeColor="text1"/>
        </w:rPr>
        <w:t xml:space="preserve">-value = </w:t>
      </w:r>
      <w:r w:rsidR="004D0FF3" w:rsidRPr="00D067E9">
        <w:rPr>
          <w:rFonts w:ascii="Arial" w:hAnsi="Arial" w:cs="Arial"/>
          <w:color w:val="000000" w:themeColor="text1"/>
        </w:rPr>
        <w:t>2.28</w:t>
      </w:r>
      <w:r w:rsidR="00720B13" w:rsidRPr="00D067E9">
        <w:rPr>
          <w:rFonts w:ascii="Arial" w:hAnsi="Arial" w:cs="Arial"/>
          <w:color w:val="000000" w:themeColor="text1"/>
        </w:rPr>
        <w:t>x10</w:t>
      </w:r>
      <w:r w:rsidR="00720B13" w:rsidRPr="00D067E9">
        <w:rPr>
          <w:rFonts w:ascii="Arial" w:hAnsi="Arial" w:cs="Arial"/>
          <w:color w:val="000000" w:themeColor="text1"/>
          <w:vertAlign w:val="superscript"/>
        </w:rPr>
        <w:t>-3</w:t>
      </w:r>
      <w:r w:rsidR="003D5C34" w:rsidRPr="00D067E9">
        <w:rPr>
          <w:rFonts w:ascii="Arial" w:hAnsi="Arial" w:cs="Arial"/>
          <w:color w:val="000000" w:themeColor="text1"/>
        </w:rPr>
        <w:t xml:space="preserve">) or </w:t>
      </w:r>
      <w:r w:rsidR="008A600F" w:rsidRPr="00D067E9">
        <w:rPr>
          <w:rFonts w:ascii="Arial" w:hAnsi="Arial" w:cs="Arial"/>
          <w:color w:val="000000" w:themeColor="text1"/>
        </w:rPr>
        <w:t>sucrose utilization ability</w:t>
      </w:r>
      <w:r w:rsidR="00986849" w:rsidRPr="00D067E9">
        <w:rPr>
          <w:rFonts w:ascii="Arial" w:hAnsi="Arial" w:cs="Arial"/>
          <w:color w:val="000000" w:themeColor="text1"/>
        </w:rPr>
        <w:t xml:space="preserve"> </w:t>
      </w:r>
      <w:r w:rsidR="004D0FF3" w:rsidRPr="00D067E9">
        <w:rPr>
          <w:rFonts w:ascii="Arial" w:hAnsi="Arial" w:cs="Arial"/>
          <w:color w:val="000000" w:themeColor="text1"/>
        </w:rPr>
        <w:t xml:space="preserve">(LRT, </w:t>
      </w:r>
      <w:r w:rsidR="00986849" w:rsidRPr="00D067E9">
        <w:rPr>
          <w:rFonts w:ascii="Arial" w:hAnsi="Arial" w:cs="Arial"/>
          <w:i/>
          <w:iCs/>
          <w:color w:val="000000" w:themeColor="text1"/>
        </w:rPr>
        <w:t>p</w:t>
      </w:r>
      <w:r w:rsidR="00986849" w:rsidRPr="00D067E9">
        <w:rPr>
          <w:rFonts w:ascii="Arial" w:hAnsi="Arial" w:cs="Arial"/>
          <w:color w:val="000000" w:themeColor="text1"/>
        </w:rPr>
        <w:t>-value = 0.0</w:t>
      </w:r>
      <w:r w:rsidR="004D0FF3" w:rsidRPr="00D067E9">
        <w:rPr>
          <w:rFonts w:ascii="Arial" w:hAnsi="Arial" w:cs="Arial"/>
          <w:color w:val="000000" w:themeColor="text1"/>
        </w:rPr>
        <w:t>3</w:t>
      </w:r>
      <w:r w:rsidR="00AE67A6" w:rsidRPr="00D067E9">
        <w:rPr>
          <w:rFonts w:ascii="Arial" w:hAnsi="Arial" w:cs="Arial"/>
          <w:color w:val="000000" w:themeColor="text1"/>
        </w:rPr>
        <w:t>5</w:t>
      </w:r>
      <w:r w:rsidR="00986849" w:rsidRPr="00D067E9">
        <w:rPr>
          <w:rFonts w:ascii="Arial" w:hAnsi="Arial" w:cs="Arial"/>
          <w:color w:val="000000" w:themeColor="text1"/>
        </w:rPr>
        <w:t>)</w:t>
      </w:r>
      <w:r w:rsidR="008A600F" w:rsidRPr="00D067E9">
        <w:rPr>
          <w:rFonts w:ascii="Arial" w:hAnsi="Arial" w:cs="Arial"/>
          <w:color w:val="000000" w:themeColor="text1"/>
        </w:rPr>
        <w:t xml:space="preserve"> and </w:t>
      </w:r>
      <w:r w:rsidR="003D5C34" w:rsidRPr="00D067E9">
        <w:rPr>
          <w:rFonts w:ascii="Arial" w:hAnsi="Arial" w:cs="Arial"/>
          <w:color w:val="000000" w:themeColor="text1"/>
        </w:rPr>
        <w:t xml:space="preserve">those that </w:t>
      </w:r>
      <w:r w:rsidR="008A600F" w:rsidRPr="00D067E9">
        <w:rPr>
          <w:rFonts w:ascii="Arial" w:hAnsi="Arial" w:cs="Arial"/>
          <w:color w:val="000000" w:themeColor="text1"/>
        </w:rPr>
        <w:t>carry MoaC function</w:t>
      </w:r>
      <w:r w:rsidR="004D0FF3" w:rsidRPr="00D067E9">
        <w:rPr>
          <w:rFonts w:ascii="Arial" w:hAnsi="Arial" w:cs="Arial"/>
          <w:color w:val="000000" w:themeColor="text1"/>
        </w:rPr>
        <w:t xml:space="preserve"> (LRT, </w:t>
      </w:r>
      <w:r w:rsidR="004D0FF3" w:rsidRPr="00D067E9">
        <w:rPr>
          <w:rFonts w:ascii="Arial" w:hAnsi="Arial" w:cs="Arial"/>
          <w:i/>
          <w:iCs/>
          <w:color w:val="000000" w:themeColor="text1"/>
        </w:rPr>
        <w:t>p</w:t>
      </w:r>
      <w:r w:rsidR="004D0FF3" w:rsidRPr="00D067E9">
        <w:rPr>
          <w:rFonts w:ascii="Arial" w:hAnsi="Arial" w:cs="Arial"/>
          <w:color w:val="000000" w:themeColor="text1"/>
        </w:rPr>
        <w:t>-value = 0.0</w:t>
      </w:r>
      <w:r w:rsidR="00AE67A6" w:rsidRPr="00D067E9">
        <w:rPr>
          <w:rFonts w:ascii="Arial" w:hAnsi="Arial" w:cs="Arial"/>
          <w:color w:val="000000" w:themeColor="text1"/>
        </w:rPr>
        <w:t>23</w:t>
      </w:r>
      <w:r w:rsidR="004D0FF3" w:rsidRPr="00D067E9">
        <w:rPr>
          <w:rFonts w:ascii="Arial" w:hAnsi="Arial" w:cs="Arial"/>
          <w:color w:val="000000" w:themeColor="text1"/>
        </w:rPr>
        <w:t>)</w:t>
      </w:r>
      <w:r w:rsidRPr="00D067E9">
        <w:rPr>
          <w:rFonts w:ascii="Arial" w:hAnsi="Arial" w:cs="Arial"/>
          <w:color w:val="000000" w:themeColor="text1"/>
        </w:rPr>
        <w:t xml:space="preserve"> tended to occupy more central positions in the HGT network, suggesting that their ability to move may allow them to interact more frequently with a variety of other microbes, increasing opportunities for gene transfer. These findings </w:t>
      </w:r>
      <w:r w:rsidRPr="00D067E9">
        <w:rPr>
          <w:rFonts w:ascii="Arial" w:hAnsi="Arial" w:cs="Arial"/>
          <w:color w:val="000000" w:themeColor="text1"/>
        </w:rPr>
        <w:lastRenderedPageBreak/>
        <w:t>indicate that bacterial traits like protein utilization and motility</w:t>
      </w:r>
      <w:r w:rsidRPr="00D067E9" w:rsidDel="001E4139">
        <w:rPr>
          <w:rFonts w:ascii="Arial" w:hAnsi="Arial" w:cs="Arial"/>
          <w:color w:val="000000" w:themeColor="text1"/>
        </w:rPr>
        <w:t xml:space="preserve"> </w:t>
      </w:r>
      <w:r w:rsidRPr="00D067E9">
        <w:rPr>
          <w:rFonts w:ascii="Arial" w:hAnsi="Arial" w:cs="Arial"/>
          <w:color w:val="000000" w:themeColor="text1"/>
        </w:rPr>
        <w:t>promote gene exchange across different species.</w:t>
      </w:r>
    </w:p>
    <w:p w14:paraId="3FAAE51A" w14:textId="77777777" w:rsidR="00EF2243" w:rsidRPr="00D067E9" w:rsidRDefault="00EF2243" w:rsidP="00EA4F34">
      <w:pPr>
        <w:spacing w:line="276" w:lineRule="auto"/>
        <w:rPr>
          <w:rFonts w:ascii="Arial" w:hAnsi="Arial" w:cs="Arial"/>
          <w:i/>
          <w:iCs/>
          <w:color w:val="000000" w:themeColor="text1"/>
          <w:szCs w:val="21"/>
        </w:rPr>
        <w:sectPr w:rsidR="00EF2243" w:rsidRPr="00D067E9">
          <w:pgSz w:w="11906" w:h="16838"/>
          <w:pgMar w:top="1440" w:right="1800" w:bottom="1440" w:left="1800" w:header="851" w:footer="992" w:gutter="0"/>
          <w:cols w:space="425"/>
          <w:docGrid w:type="lines" w:linePitch="312"/>
        </w:sectPr>
      </w:pPr>
    </w:p>
    <w:p w14:paraId="44016A36" w14:textId="781D1853" w:rsidR="000951D3" w:rsidRPr="00D067E9" w:rsidRDefault="006228E6" w:rsidP="00D067E9">
      <w:pPr>
        <w:pStyle w:val="1"/>
        <w:rPr>
          <w:rFonts w:ascii="Arial" w:hAnsi="Arial" w:cs="Arial"/>
          <w:sz w:val="24"/>
          <w:szCs w:val="24"/>
        </w:rPr>
      </w:pPr>
      <w:bookmarkStart w:id="11" w:name="_Toc195882162"/>
      <w:bookmarkStart w:id="12" w:name="_Toc195882818"/>
      <w:r w:rsidRPr="00D067E9">
        <w:rPr>
          <w:rFonts w:ascii="Arial" w:hAnsi="Arial" w:cs="Arial"/>
          <w:sz w:val="24"/>
          <w:szCs w:val="24"/>
        </w:rPr>
        <w:lastRenderedPageBreak/>
        <w:t>Supplemental Figure</w:t>
      </w:r>
      <w:r w:rsidR="000951D3" w:rsidRPr="00D067E9">
        <w:rPr>
          <w:rFonts w:ascii="Arial" w:hAnsi="Arial" w:cs="Arial"/>
          <w:sz w:val="24"/>
          <w:szCs w:val="24"/>
        </w:rPr>
        <w:t xml:space="preserve"> Legends</w:t>
      </w:r>
      <w:bookmarkEnd w:id="11"/>
      <w:bookmarkEnd w:id="12"/>
    </w:p>
    <w:p w14:paraId="652EA90D" w14:textId="77777777" w:rsidR="00470666" w:rsidRDefault="00BA11B9" w:rsidP="00EA4F34">
      <w:pPr>
        <w:spacing w:line="276" w:lineRule="auto"/>
        <w:rPr>
          <w:rStyle w:val="20"/>
          <w:rFonts w:ascii="Arial" w:hAnsi="Arial" w:cs="Arial"/>
          <w:sz w:val="21"/>
          <w:szCs w:val="21"/>
        </w:rPr>
      </w:pPr>
      <w:r w:rsidRPr="00D067E9">
        <w:rPr>
          <w:rFonts w:ascii="Arial" w:hAnsi="Arial" w:cs="Arial"/>
          <w:i/>
          <w:iCs/>
          <w:noProof/>
          <w:color w:val="000000" w:themeColor="text1"/>
          <w:szCs w:val="21"/>
        </w:rPr>
        <w:drawing>
          <wp:inline distT="0" distB="0" distL="0" distR="0" wp14:anchorId="39F6D274" wp14:editId="6D82F7EB">
            <wp:extent cx="5274310" cy="6478270"/>
            <wp:effectExtent l="0" t="0" r="0" b="0"/>
            <wp:docPr id="524167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67246" name="图片 524167246"/>
                    <pic:cNvPicPr/>
                  </pic:nvPicPr>
                  <pic:blipFill>
                    <a:blip r:embed="rId11"/>
                    <a:stretch>
                      <a:fillRect/>
                    </a:stretch>
                  </pic:blipFill>
                  <pic:spPr>
                    <a:xfrm>
                      <a:off x="0" y="0"/>
                      <a:ext cx="5274310" cy="6478270"/>
                    </a:xfrm>
                    <a:prstGeom prst="rect">
                      <a:avLst/>
                    </a:prstGeom>
                  </pic:spPr>
                </pic:pic>
              </a:graphicData>
            </a:graphic>
          </wp:inline>
        </w:drawing>
      </w:r>
    </w:p>
    <w:p w14:paraId="7520A696" w14:textId="4A1843C5" w:rsidR="00FB52D0" w:rsidRDefault="000D1D93" w:rsidP="00EA4F34">
      <w:pPr>
        <w:spacing w:line="276" w:lineRule="auto"/>
        <w:rPr>
          <w:rStyle w:val="20"/>
          <w:rFonts w:ascii="Arial" w:hAnsi="Arial" w:cs="Arial"/>
          <w:sz w:val="21"/>
          <w:szCs w:val="21"/>
        </w:rPr>
      </w:pPr>
      <w:bookmarkStart w:id="13" w:name="_Toc195882819"/>
      <w:r w:rsidRPr="00FB52D0">
        <w:rPr>
          <w:rStyle w:val="20"/>
          <w:rFonts w:ascii="Arial" w:hAnsi="Arial" w:cs="Arial"/>
          <w:sz w:val="21"/>
          <w:szCs w:val="21"/>
        </w:rPr>
        <w:t>Fig</w:t>
      </w:r>
      <w:r w:rsidR="00EF0078" w:rsidRPr="00FB52D0">
        <w:rPr>
          <w:rStyle w:val="20"/>
          <w:rFonts w:ascii="Arial" w:hAnsi="Arial" w:cs="Arial"/>
          <w:sz w:val="21"/>
          <w:szCs w:val="21"/>
        </w:rPr>
        <w:t>.</w:t>
      </w:r>
      <w:r w:rsidRPr="00FB52D0">
        <w:rPr>
          <w:rStyle w:val="20"/>
          <w:rFonts w:ascii="Arial" w:hAnsi="Arial" w:cs="Arial"/>
          <w:sz w:val="21"/>
          <w:szCs w:val="21"/>
        </w:rPr>
        <w:t xml:space="preserve"> S</w:t>
      </w:r>
      <w:r w:rsidR="00313264" w:rsidRPr="00FB52D0">
        <w:rPr>
          <w:rStyle w:val="20"/>
          <w:rFonts w:ascii="Arial" w:hAnsi="Arial" w:cs="Arial"/>
          <w:sz w:val="21"/>
          <w:szCs w:val="21"/>
        </w:rPr>
        <w:t>1</w:t>
      </w:r>
      <w:r w:rsidRPr="00FB52D0">
        <w:rPr>
          <w:rStyle w:val="20"/>
          <w:rFonts w:ascii="Arial" w:hAnsi="Arial" w:cs="Arial"/>
          <w:sz w:val="21"/>
          <w:szCs w:val="21"/>
        </w:rPr>
        <w:t xml:space="preserve">. Overview of the </w:t>
      </w:r>
      <w:r w:rsidR="00FA347D" w:rsidRPr="00FB52D0">
        <w:rPr>
          <w:rStyle w:val="20"/>
          <w:rFonts w:ascii="Arial" w:hAnsi="Arial" w:cs="Arial"/>
          <w:sz w:val="21"/>
          <w:szCs w:val="21"/>
        </w:rPr>
        <w:t>HDMI</w:t>
      </w:r>
      <w:r w:rsidRPr="00FB52D0">
        <w:rPr>
          <w:rStyle w:val="20"/>
          <w:rFonts w:ascii="Arial" w:hAnsi="Arial" w:cs="Arial"/>
          <w:sz w:val="21"/>
          <w:szCs w:val="21"/>
        </w:rPr>
        <w:t xml:space="preserve"> </w:t>
      </w:r>
      <w:r w:rsidR="00FA347D" w:rsidRPr="00FB52D0">
        <w:rPr>
          <w:rStyle w:val="20"/>
          <w:rFonts w:ascii="Arial" w:hAnsi="Arial" w:cs="Arial"/>
          <w:sz w:val="21"/>
          <w:szCs w:val="21"/>
        </w:rPr>
        <w:t>workflow</w:t>
      </w:r>
      <w:r w:rsidR="00025E8C" w:rsidRPr="00FB52D0">
        <w:rPr>
          <w:rStyle w:val="20"/>
          <w:rFonts w:ascii="Arial" w:hAnsi="Arial" w:cs="Arial"/>
          <w:sz w:val="21"/>
          <w:szCs w:val="21"/>
        </w:rPr>
        <w:t>.</w:t>
      </w:r>
      <w:bookmarkEnd w:id="13"/>
    </w:p>
    <w:p w14:paraId="05E167C1" w14:textId="05E31EC9" w:rsidR="000D1D93" w:rsidRPr="00FB52D0" w:rsidRDefault="002D4BE8" w:rsidP="00EA4F34">
      <w:pPr>
        <w:spacing w:line="276" w:lineRule="auto"/>
        <w:rPr>
          <w:rFonts w:ascii="Arial" w:hAnsi="Arial" w:cs="Arial"/>
          <w:i/>
          <w:iCs/>
          <w:color w:val="000000" w:themeColor="text1"/>
          <w:szCs w:val="21"/>
        </w:rPr>
      </w:pPr>
      <w:r w:rsidRPr="00D067E9">
        <w:rPr>
          <w:rFonts w:ascii="Arial" w:hAnsi="Arial" w:cs="Arial"/>
          <w:color w:val="000000" w:themeColor="text1"/>
        </w:rPr>
        <w:t xml:space="preserve">The </w:t>
      </w:r>
      <w:r w:rsidR="00EF7530" w:rsidRPr="00D067E9">
        <w:rPr>
          <w:rFonts w:ascii="Arial" w:hAnsi="Arial" w:cs="Arial"/>
          <w:color w:val="000000" w:themeColor="text1"/>
        </w:rPr>
        <w:t xml:space="preserve">HDMI </w:t>
      </w:r>
      <w:r w:rsidR="008A5680" w:rsidRPr="00D067E9">
        <w:rPr>
          <w:rFonts w:ascii="Arial" w:hAnsi="Arial" w:cs="Arial"/>
          <w:color w:val="000000" w:themeColor="text1"/>
        </w:rPr>
        <w:t xml:space="preserve">workflow first identified putatively transferred DNA within </w:t>
      </w:r>
      <w:r w:rsidR="00010292" w:rsidRPr="00D067E9">
        <w:rPr>
          <w:rFonts w:ascii="Arial" w:hAnsi="Arial" w:cs="Arial"/>
          <w:color w:val="000000" w:themeColor="text1"/>
        </w:rPr>
        <w:t xml:space="preserve">the </w:t>
      </w:r>
      <w:r w:rsidR="008A5680" w:rsidRPr="00D067E9">
        <w:rPr>
          <w:rFonts w:ascii="Arial" w:hAnsi="Arial" w:cs="Arial"/>
          <w:color w:val="000000" w:themeColor="text1"/>
        </w:rPr>
        <w:t>genomes of different species</w:t>
      </w:r>
      <w:r w:rsidRPr="00D067E9">
        <w:rPr>
          <w:rFonts w:ascii="Arial" w:hAnsi="Arial" w:cs="Arial"/>
          <w:color w:val="000000" w:themeColor="text1"/>
        </w:rPr>
        <w:t xml:space="preserve"> that</w:t>
      </w:r>
      <w:r w:rsidR="008A5680" w:rsidRPr="00D067E9">
        <w:rPr>
          <w:rFonts w:ascii="Arial" w:hAnsi="Arial" w:cs="Arial"/>
          <w:color w:val="000000" w:themeColor="text1"/>
        </w:rPr>
        <w:t xml:space="preserve"> exhibit</w:t>
      </w:r>
      <w:r w:rsidR="00CE0A04" w:rsidRPr="00D067E9">
        <w:rPr>
          <w:rFonts w:ascii="Arial" w:hAnsi="Arial" w:cs="Arial"/>
          <w:color w:val="000000" w:themeColor="text1"/>
        </w:rPr>
        <w:t>ed</w:t>
      </w:r>
      <w:r w:rsidR="008A5680" w:rsidRPr="00D067E9">
        <w:rPr>
          <w:rFonts w:ascii="Arial" w:hAnsi="Arial" w:cs="Arial"/>
          <w:color w:val="000000" w:themeColor="text1"/>
        </w:rPr>
        <w:t xml:space="preserve"> high homology in these segments across various species' genomes and little homology with the flanking DNA</w:t>
      </w:r>
      <w:r w:rsidRPr="00D067E9">
        <w:rPr>
          <w:rFonts w:ascii="Arial" w:hAnsi="Arial" w:cs="Arial"/>
          <w:color w:val="000000" w:themeColor="text1"/>
        </w:rPr>
        <w:t>. S</w:t>
      </w:r>
      <w:r w:rsidR="008A5680" w:rsidRPr="00D067E9">
        <w:rPr>
          <w:rFonts w:ascii="Arial" w:hAnsi="Arial" w:cs="Arial"/>
          <w:color w:val="000000" w:themeColor="text1"/>
        </w:rPr>
        <w:t>econd, we search</w:t>
      </w:r>
      <w:r w:rsidRPr="00D067E9">
        <w:rPr>
          <w:rFonts w:ascii="Arial" w:hAnsi="Arial" w:cs="Arial"/>
          <w:color w:val="000000" w:themeColor="text1"/>
        </w:rPr>
        <w:t>ed</w:t>
      </w:r>
      <w:r w:rsidR="008A5680" w:rsidRPr="00D067E9">
        <w:rPr>
          <w:rFonts w:ascii="Arial" w:hAnsi="Arial" w:cs="Arial"/>
          <w:color w:val="000000" w:themeColor="text1"/>
        </w:rPr>
        <w:t xml:space="preserve"> for two types of reads that partially map to the same transferred DNA and different flanking DNAs</w:t>
      </w:r>
      <w:r w:rsidR="00982A31" w:rsidRPr="00D067E9">
        <w:rPr>
          <w:rFonts w:ascii="Arial" w:hAnsi="Arial" w:cs="Arial"/>
          <w:color w:val="000000" w:themeColor="text1"/>
        </w:rPr>
        <w:t>,</w:t>
      </w:r>
      <w:r w:rsidR="008A5680" w:rsidRPr="00D067E9">
        <w:rPr>
          <w:rFonts w:ascii="Arial" w:hAnsi="Arial" w:cs="Arial"/>
          <w:color w:val="000000" w:themeColor="text1"/>
        </w:rPr>
        <w:t xml:space="preserve"> to suggest true HGT events</w:t>
      </w:r>
      <w:r w:rsidRPr="00D067E9">
        <w:rPr>
          <w:rFonts w:ascii="Arial" w:hAnsi="Arial" w:cs="Arial"/>
          <w:color w:val="000000" w:themeColor="text1"/>
        </w:rPr>
        <w:t>. T</w:t>
      </w:r>
      <w:r w:rsidR="008A5680" w:rsidRPr="00D067E9">
        <w:rPr>
          <w:rFonts w:ascii="Arial" w:hAnsi="Arial" w:cs="Arial"/>
          <w:color w:val="000000" w:themeColor="text1"/>
        </w:rPr>
        <w:t xml:space="preserve">hird, inspired by the detection of differential alternative splicing </w:t>
      </w:r>
      <w:r w:rsidR="008A5680" w:rsidRPr="00D067E9">
        <w:rPr>
          <w:rFonts w:ascii="Arial" w:hAnsi="Arial" w:cs="Arial"/>
          <w:color w:val="000000" w:themeColor="text1"/>
        </w:rPr>
        <w:lastRenderedPageBreak/>
        <w:t>events in transcriptomes, we infer</w:t>
      </w:r>
      <w:r w:rsidRPr="00D067E9">
        <w:rPr>
          <w:rFonts w:ascii="Arial" w:hAnsi="Arial" w:cs="Arial"/>
          <w:color w:val="000000" w:themeColor="text1"/>
        </w:rPr>
        <w:t>red</w:t>
      </w:r>
      <w:r w:rsidR="008A5680" w:rsidRPr="00D067E9">
        <w:rPr>
          <w:rFonts w:ascii="Arial" w:hAnsi="Arial" w:cs="Arial"/>
          <w:color w:val="000000" w:themeColor="text1"/>
        </w:rPr>
        <w:t xml:space="preserve"> whether each HGT in the sample is inserted and</w:t>
      </w:r>
      <w:r w:rsidR="00982A31" w:rsidRPr="00D067E9">
        <w:rPr>
          <w:rFonts w:ascii="Arial" w:hAnsi="Arial" w:cs="Arial"/>
          <w:color w:val="000000" w:themeColor="text1"/>
        </w:rPr>
        <w:t xml:space="preserve"> </w:t>
      </w:r>
      <w:r w:rsidR="00321BCB" w:rsidRPr="00D067E9">
        <w:rPr>
          <w:rFonts w:ascii="Arial" w:hAnsi="Arial" w:cs="Arial"/>
          <w:color w:val="000000" w:themeColor="text1"/>
        </w:rPr>
        <w:t>established</w:t>
      </w:r>
      <w:r w:rsidR="008A5680" w:rsidRPr="00D067E9">
        <w:rPr>
          <w:rFonts w:ascii="Arial" w:hAnsi="Arial" w:cs="Arial"/>
          <w:color w:val="000000" w:themeColor="text1"/>
        </w:rPr>
        <w:t xml:space="preserve"> the ratio of insertion to non-insertion by </w:t>
      </w:r>
      <w:r w:rsidRPr="00D067E9">
        <w:rPr>
          <w:rFonts w:ascii="Arial" w:hAnsi="Arial" w:cs="Arial"/>
          <w:color w:val="000000" w:themeColor="text1"/>
        </w:rPr>
        <w:t xml:space="preserve">calculating </w:t>
      </w:r>
      <w:r w:rsidR="008A5680" w:rsidRPr="00D067E9">
        <w:rPr>
          <w:rFonts w:ascii="Arial" w:hAnsi="Arial" w:cs="Arial"/>
          <w:color w:val="000000" w:themeColor="text1"/>
        </w:rPr>
        <w:t>the number of reads mapping to the split sites of sequences with HGT insertion and</w:t>
      </w:r>
      <w:r w:rsidR="00197FBA" w:rsidRPr="00D067E9">
        <w:rPr>
          <w:rFonts w:ascii="Arial" w:hAnsi="Arial" w:cs="Arial"/>
          <w:color w:val="000000" w:themeColor="text1"/>
        </w:rPr>
        <w:t xml:space="preserve"> the</w:t>
      </w:r>
      <w:r w:rsidR="008A5680" w:rsidRPr="00D067E9">
        <w:rPr>
          <w:rFonts w:ascii="Arial" w:hAnsi="Arial" w:cs="Arial"/>
          <w:color w:val="000000" w:themeColor="text1"/>
        </w:rPr>
        <w:t xml:space="preserve"> junction site with no HGT insertion</w:t>
      </w:r>
      <w:r w:rsidR="00197FBA" w:rsidRPr="00D067E9">
        <w:rPr>
          <w:rFonts w:ascii="Arial" w:hAnsi="Arial" w:cs="Arial"/>
          <w:color w:val="000000" w:themeColor="text1"/>
        </w:rPr>
        <w:t>.</w:t>
      </w:r>
    </w:p>
    <w:p w14:paraId="2E635287" w14:textId="77777777" w:rsidR="00470666" w:rsidRDefault="00EF0078" w:rsidP="00EA4F34">
      <w:pPr>
        <w:spacing w:line="276" w:lineRule="auto"/>
        <w:rPr>
          <w:rStyle w:val="20"/>
          <w:rFonts w:ascii="Arial" w:hAnsi="Arial" w:cs="Arial"/>
          <w:sz w:val="21"/>
          <w:szCs w:val="21"/>
        </w:rPr>
      </w:pPr>
      <w:r w:rsidRPr="00D067E9">
        <w:rPr>
          <w:rFonts w:ascii="Arial" w:hAnsi="Arial" w:cs="Arial"/>
          <w:noProof/>
          <w:color w:val="000000" w:themeColor="text1"/>
          <w:szCs w:val="21"/>
        </w:rPr>
        <w:drawing>
          <wp:inline distT="0" distB="0" distL="0" distR="0" wp14:anchorId="6A3A36C2" wp14:editId="0EFA0973">
            <wp:extent cx="5274310" cy="2440940"/>
            <wp:effectExtent l="0" t="0" r="0" b="0"/>
            <wp:docPr id="684525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25268" name="图片 684525268"/>
                    <pic:cNvPicPr/>
                  </pic:nvPicPr>
                  <pic:blipFill>
                    <a:blip r:embed="rId12"/>
                    <a:stretch>
                      <a:fillRect/>
                    </a:stretch>
                  </pic:blipFill>
                  <pic:spPr>
                    <a:xfrm>
                      <a:off x="0" y="0"/>
                      <a:ext cx="5274310" cy="2440940"/>
                    </a:xfrm>
                    <a:prstGeom prst="rect">
                      <a:avLst/>
                    </a:prstGeom>
                  </pic:spPr>
                </pic:pic>
              </a:graphicData>
            </a:graphic>
          </wp:inline>
        </w:drawing>
      </w:r>
    </w:p>
    <w:p w14:paraId="35489530" w14:textId="77777777" w:rsidR="00470666" w:rsidRDefault="00004E78" w:rsidP="00EA4F34">
      <w:pPr>
        <w:spacing w:line="276" w:lineRule="auto"/>
        <w:rPr>
          <w:rStyle w:val="20"/>
          <w:rFonts w:ascii="Arial" w:hAnsi="Arial" w:cs="Arial"/>
          <w:sz w:val="21"/>
          <w:szCs w:val="21"/>
        </w:rPr>
      </w:pPr>
      <w:bookmarkStart w:id="14" w:name="_Toc195882820"/>
      <w:r w:rsidRPr="00FB52D0">
        <w:rPr>
          <w:rStyle w:val="20"/>
          <w:rFonts w:ascii="Arial" w:hAnsi="Arial" w:cs="Arial"/>
          <w:sz w:val="21"/>
          <w:szCs w:val="21"/>
        </w:rPr>
        <w:t>Fig</w:t>
      </w:r>
      <w:r w:rsidR="00EF0078" w:rsidRPr="00FB52D0">
        <w:rPr>
          <w:rStyle w:val="20"/>
          <w:rFonts w:ascii="Arial" w:hAnsi="Arial" w:cs="Arial"/>
          <w:sz w:val="21"/>
          <w:szCs w:val="21"/>
        </w:rPr>
        <w:t>.</w:t>
      </w:r>
      <w:r w:rsidRPr="00FB52D0">
        <w:rPr>
          <w:rStyle w:val="20"/>
          <w:rFonts w:ascii="Arial" w:hAnsi="Arial" w:cs="Arial"/>
          <w:sz w:val="21"/>
          <w:szCs w:val="21"/>
        </w:rPr>
        <w:t xml:space="preserve"> S</w:t>
      </w:r>
      <w:r w:rsidR="00313264" w:rsidRPr="00FB52D0">
        <w:rPr>
          <w:rStyle w:val="20"/>
          <w:rFonts w:ascii="Arial" w:hAnsi="Arial" w:cs="Arial"/>
          <w:sz w:val="21"/>
          <w:szCs w:val="21"/>
        </w:rPr>
        <w:t>2</w:t>
      </w:r>
      <w:r w:rsidR="00B3479F" w:rsidRPr="00FB52D0">
        <w:rPr>
          <w:rStyle w:val="20"/>
          <w:rFonts w:ascii="Arial" w:hAnsi="Arial" w:cs="Arial"/>
          <w:sz w:val="21"/>
          <w:szCs w:val="21"/>
        </w:rPr>
        <w:t>.</w:t>
      </w:r>
      <w:r w:rsidRPr="00FB52D0">
        <w:rPr>
          <w:rStyle w:val="20"/>
          <w:rFonts w:ascii="Arial" w:hAnsi="Arial" w:cs="Arial"/>
          <w:sz w:val="21"/>
          <w:szCs w:val="21"/>
        </w:rPr>
        <w:t xml:space="preserve"> </w:t>
      </w:r>
      <w:r w:rsidR="000F17AA" w:rsidRPr="00FB52D0">
        <w:rPr>
          <w:rStyle w:val="20"/>
          <w:rFonts w:ascii="Arial" w:hAnsi="Arial" w:cs="Arial"/>
          <w:sz w:val="21"/>
          <w:szCs w:val="21"/>
        </w:rPr>
        <w:t>Benchmark</w:t>
      </w:r>
      <w:r w:rsidR="00321BCB" w:rsidRPr="00FB52D0">
        <w:rPr>
          <w:rStyle w:val="20"/>
          <w:rFonts w:ascii="Arial" w:hAnsi="Arial" w:cs="Arial"/>
          <w:sz w:val="21"/>
          <w:szCs w:val="21"/>
        </w:rPr>
        <w:t>ing</w:t>
      </w:r>
      <w:r w:rsidR="000F17AA" w:rsidRPr="00FB52D0">
        <w:rPr>
          <w:rStyle w:val="20"/>
          <w:rFonts w:ascii="Arial" w:hAnsi="Arial" w:cs="Arial"/>
          <w:sz w:val="21"/>
          <w:szCs w:val="21"/>
        </w:rPr>
        <w:t xml:space="preserve"> HDMI.</w:t>
      </w:r>
      <w:bookmarkEnd w:id="14"/>
      <w:r w:rsidR="00D9202F" w:rsidRPr="00FB52D0">
        <w:rPr>
          <w:rStyle w:val="20"/>
          <w:rFonts w:ascii="Arial" w:hAnsi="Arial" w:cs="Arial"/>
          <w:sz w:val="21"/>
          <w:szCs w:val="21"/>
        </w:rPr>
        <w:t xml:space="preserve"> </w:t>
      </w:r>
    </w:p>
    <w:p w14:paraId="587C8CCD" w14:textId="5349121C" w:rsidR="00EF0078" w:rsidRPr="00470666" w:rsidRDefault="00EF0078" w:rsidP="00EA4F34">
      <w:pPr>
        <w:spacing w:line="276" w:lineRule="auto"/>
        <w:rPr>
          <w:rFonts w:ascii="Arial" w:eastAsiaTheme="majorEastAsia" w:hAnsi="Arial" w:cs="Arial"/>
          <w:b/>
          <w:bCs/>
          <w:szCs w:val="21"/>
        </w:rPr>
      </w:pPr>
      <w:proofErr w:type="gramStart"/>
      <w:r w:rsidRPr="00D067E9">
        <w:rPr>
          <w:rFonts w:ascii="Arial" w:hAnsi="Arial" w:cs="Arial"/>
          <w:b/>
          <w:bCs/>
          <w:color w:val="000000" w:themeColor="text1"/>
          <w:szCs w:val="21"/>
        </w:rPr>
        <w:t>a</w:t>
      </w:r>
      <w:r w:rsidRPr="00D067E9">
        <w:rPr>
          <w:rFonts w:ascii="Arial" w:hAnsi="Arial" w:cs="Arial"/>
          <w:color w:val="000000" w:themeColor="text1"/>
          <w:szCs w:val="21"/>
        </w:rPr>
        <w:t>,</w:t>
      </w:r>
      <w:proofErr w:type="gramEnd"/>
      <w:r w:rsidR="006B6AD3" w:rsidRPr="00D067E9">
        <w:rPr>
          <w:rFonts w:ascii="Arial" w:hAnsi="Arial" w:cs="Arial"/>
          <w:color w:val="000000" w:themeColor="text1"/>
          <w:szCs w:val="21"/>
        </w:rPr>
        <w:t xml:space="preserve"> HDMI’s performance in recovering HGT events introduced between genomes in simulated metagenomic sequencing data at 6X, 9X, and 12X coverage.</w:t>
      </w:r>
      <w:r w:rsidR="007769D9" w:rsidRPr="00D067E9">
        <w:rPr>
          <w:rFonts w:ascii="Arial" w:hAnsi="Arial" w:cs="Arial"/>
          <w:color w:val="000000" w:themeColor="text1"/>
          <w:szCs w:val="21"/>
        </w:rPr>
        <w:t xml:space="preserve"> </w:t>
      </w:r>
    </w:p>
    <w:p w14:paraId="42762D01" w14:textId="3B9183DD" w:rsidR="0029368A" w:rsidRPr="00D067E9" w:rsidRDefault="00EF0078" w:rsidP="00EA4F34">
      <w:pPr>
        <w:spacing w:line="276" w:lineRule="auto"/>
        <w:rPr>
          <w:rFonts w:ascii="Arial" w:hAnsi="Arial" w:cs="Arial"/>
          <w:color w:val="000000" w:themeColor="text1"/>
          <w:szCs w:val="21"/>
        </w:rPr>
        <w:sectPr w:rsidR="0029368A" w:rsidRPr="00D067E9">
          <w:pgSz w:w="11906" w:h="16838"/>
          <w:pgMar w:top="1440" w:right="1800" w:bottom="1440" w:left="1800" w:header="851" w:footer="992" w:gutter="0"/>
          <w:cols w:space="425"/>
          <w:docGrid w:type="lines" w:linePitch="312"/>
        </w:sectPr>
      </w:pPr>
      <w:r w:rsidRPr="00D067E9">
        <w:rPr>
          <w:rFonts w:ascii="Arial" w:hAnsi="Arial" w:cs="Arial"/>
          <w:b/>
          <w:bCs/>
          <w:color w:val="000000" w:themeColor="text1"/>
          <w:szCs w:val="21"/>
        </w:rPr>
        <w:t>b</w:t>
      </w:r>
      <w:r w:rsidRPr="00D067E9">
        <w:rPr>
          <w:rFonts w:ascii="Arial" w:hAnsi="Arial" w:cs="Arial"/>
          <w:color w:val="000000" w:themeColor="text1"/>
          <w:szCs w:val="21"/>
        </w:rPr>
        <w:t>,</w:t>
      </w:r>
      <w:r w:rsidR="006B6AD3" w:rsidRPr="00D067E9">
        <w:rPr>
          <w:rFonts w:ascii="Arial" w:hAnsi="Arial" w:cs="Arial"/>
          <w:color w:val="000000" w:themeColor="text1"/>
          <w:szCs w:val="21"/>
        </w:rPr>
        <w:t xml:space="preserve"> Comparison </w:t>
      </w:r>
      <w:r w:rsidR="00982A31" w:rsidRPr="00D067E9">
        <w:rPr>
          <w:rFonts w:ascii="Arial" w:hAnsi="Arial" w:cs="Arial"/>
          <w:color w:val="000000" w:themeColor="text1"/>
          <w:szCs w:val="21"/>
        </w:rPr>
        <w:t xml:space="preserve">of HDMI and </w:t>
      </w:r>
      <w:r w:rsidR="006B6AD3" w:rsidRPr="00D067E9">
        <w:rPr>
          <w:rFonts w:ascii="Arial" w:hAnsi="Arial" w:cs="Arial"/>
          <w:color w:val="000000" w:themeColor="text1"/>
          <w:szCs w:val="21"/>
        </w:rPr>
        <w:t>WAAFLE</w:t>
      </w:r>
      <w:r w:rsidR="00982A31" w:rsidRPr="00D067E9">
        <w:rPr>
          <w:rFonts w:ascii="Arial" w:hAnsi="Arial" w:cs="Arial"/>
          <w:color w:val="000000" w:themeColor="text1"/>
          <w:szCs w:val="21"/>
        </w:rPr>
        <w:t xml:space="preserve"> results showing </w:t>
      </w:r>
      <w:r w:rsidR="006B6AD3" w:rsidRPr="00D067E9">
        <w:rPr>
          <w:rFonts w:ascii="Arial" w:hAnsi="Arial" w:cs="Arial"/>
          <w:color w:val="000000" w:themeColor="text1"/>
          <w:szCs w:val="21"/>
        </w:rPr>
        <w:t xml:space="preserve">the percentage of gene transfers recovered by WAAFLE after assembly of simulated reads </w:t>
      </w:r>
      <w:r w:rsidR="000D26BF" w:rsidRPr="00D067E9">
        <w:rPr>
          <w:rFonts w:ascii="Arial" w:hAnsi="Arial" w:cs="Arial"/>
          <w:color w:val="000000" w:themeColor="text1"/>
          <w:szCs w:val="21"/>
        </w:rPr>
        <w:t xml:space="preserve">and </w:t>
      </w:r>
      <w:r w:rsidR="00321BCB" w:rsidRPr="00D067E9">
        <w:rPr>
          <w:rFonts w:ascii="Arial" w:hAnsi="Arial" w:cs="Arial"/>
          <w:color w:val="000000" w:themeColor="text1"/>
          <w:szCs w:val="21"/>
        </w:rPr>
        <w:t xml:space="preserve">the </w:t>
      </w:r>
      <w:r w:rsidR="000D26BF" w:rsidRPr="00D067E9">
        <w:rPr>
          <w:rFonts w:ascii="Arial" w:hAnsi="Arial" w:cs="Arial"/>
          <w:color w:val="000000" w:themeColor="text1"/>
          <w:szCs w:val="21"/>
        </w:rPr>
        <w:t xml:space="preserve">percentage </w:t>
      </w:r>
      <w:r w:rsidR="006B6AD3" w:rsidRPr="00D067E9">
        <w:rPr>
          <w:rFonts w:ascii="Arial" w:hAnsi="Arial" w:cs="Arial"/>
          <w:color w:val="000000" w:themeColor="text1"/>
          <w:szCs w:val="21"/>
        </w:rPr>
        <w:t>recovered by HDMI after genome binning.</w:t>
      </w:r>
    </w:p>
    <w:p w14:paraId="1EDCCDC6" w14:textId="7E343151" w:rsidR="000D1D93" w:rsidRPr="00D067E9" w:rsidRDefault="00EF0078" w:rsidP="00EA4F34">
      <w:pPr>
        <w:spacing w:line="276" w:lineRule="auto"/>
        <w:rPr>
          <w:rFonts w:ascii="Arial" w:hAnsi="Arial" w:cs="Arial"/>
          <w:color w:val="000000" w:themeColor="text1"/>
          <w:szCs w:val="21"/>
        </w:rPr>
      </w:pPr>
      <w:r w:rsidRPr="00D067E9">
        <w:rPr>
          <w:rFonts w:ascii="Arial" w:hAnsi="Arial" w:cs="Arial"/>
          <w:noProof/>
          <w:color w:val="000000" w:themeColor="text1"/>
          <w:szCs w:val="21"/>
        </w:rPr>
        <w:lastRenderedPageBreak/>
        <w:drawing>
          <wp:inline distT="0" distB="0" distL="0" distR="0" wp14:anchorId="3354F101" wp14:editId="5341BDFC">
            <wp:extent cx="5274310" cy="4946650"/>
            <wp:effectExtent l="0" t="0" r="0" b="6350"/>
            <wp:docPr id="7459744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74455" name="图片 745974455"/>
                    <pic:cNvPicPr/>
                  </pic:nvPicPr>
                  <pic:blipFill>
                    <a:blip r:embed="rId13"/>
                    <a:stretch>
                      <a:fillRect/>
                    </a:stretch>
                  </pic:blipFill>
                  <pic:spPr>
                    <a:xfrm>
                      <a:off x="0" y="0"/>
                      <a:ext cx="5274310" cy="4946650"/>
                    </a:xfrm>
                    <a:prstGeom prst="rect">
                      <a:avLst/>
                    </a:prstGeom>
                  </pic:spPr>
                </pic:pic>
              </a:graphicData>
            </a:graphic>
          </wp:inline>
        </w:drawing>
      </w:r>
    </w:p>
    <w:p w14:paraId="54C75FB6" w14:textId="77777777" w:rsidR="00FB52D0" w:rsidRDefault="0076496A" w:rsidP="00FB52D0">
      <w:pPr>
        <w:rPr>
          <w:rStyle w:val="20"/>
          <w:rFonts w:ascii="Arial" w:hAnsi="Arial" w:cs="Arial"/>
          <w:sz w:val="21"/>
          <w:szCs w:val="21"/>
        </w:rPr>
      </w:pPr>
      <w:bookmarkStart w:id="15" w:name="_Toc195882821"/>
      <w:r w:rsidRPr="00FB52D0">
        <w:rPr>
          <w:rStyle w:val="20"/>
          <w:rFonts w:ascii="Arial" w:hAnsi="Arial" w:cs="Arial"/>
          <w:sz w:val="21"/>
          <w:szCs w:val="21"/>
        </w:rPr>
        <w:t>Fig</w:t>
      </w:r>
      <w:r w:rsidR="00EF0078" w:rsidRPr="00FB52D0">
        <w:rPr>
          <w:rStyle w:val="20"/>
          <w:rFonts w:ascii="Arial" w:hAnsi="Arial" w:cs="Arial"/>
          <w:sz w:val="21"/>
          <w:szCs w:val="21"/>
        </w:rPr>
        <w:t>.</w:t>
      </w:r>
      <w:r w:rsidRPr="00FB52D0">
        <w:rPr>
          <w:rStyle w:val="20"/>
          <w:rFonts w:ascii="Arial" w:hAnsi="Arial" w:cs="Arial"/>
          <w:sz w:val="21"/>
          <w:szCs w:val="21"/>
        </w:rPr>
        <w:t xml:space="preserve"> S</w:t>
      </w:r>
      <w:r w:rsidR="00313264" w:rsidRPr="00FB52D0">
        <w:rPr>
          <w:rStyle w:val="20"/>
          <w:rFonts w:ascii="Arial" w:hAnsi="Arial" w:cs="Arial"/>
          <w:sz w:val="21"/>
          <w:szCs w:val="21"/>
        </w:rPr>
        <w:t>3</w:t>
      </w:r>
      <w:r w:rsidR="00AA13D1" w:rsidRPr="00FB52D0">
        <w:rPr>
          <w:rStyle w:val="20"/>
          <w:rFonts w:ascii="Arial" w:hAnsi="Arial" w:cs="Arial"/>
          <w:sz w:val="21"/>
          <w:szCs w:val="21"/>
        </w:rPr>
        <w:t>.</w:t>
      </w:r>
      <w:r w:rsidRPr="00FB52D0">
        <w:rPr>
          <w:rStyle w:val="20"/>
          <w:rFonts w:ascii="Arial" w:hAnsi="Arial" w:cs="Arial"/>
          <w:sz w:val="21"/>
          <w:szCs w:val="21"/>
        </w:rPr>
        <w:t xml:space="preserve"> </w:t>
      </w:r>
      <w:r w:rsidR="00E45F92" w:rsidRPr="00FB52D0">
        <w:rPr>
          <w:rStyle w:val="20"/>
          <w:rFonts w:ascii="Arial" w:hAnsi="Arial" w:cs="Arial"/>
          <w:sz w:val="21"/>
          <w:szCs w:val="21"/>
        </w:rPr>
        <w:t>HGT transfer across multiple species</w:t>
      </w:r>
      <w:r w:rsidR="00D26543" w:rsidRPr="00FB52D0">
        <w:rPr>
          <w:rStyle w:val="20"/>
          <w:rFonts w:ascii="Arial" w:hAnsi="Arial" w:cs="Arial"/>
          <w:sz w:val="21"/>
          <w:szCs w:val="21"/>
        </w:rPr>
        <w:t>/genera/families</w:t>
      </w:r>
      <w:r w:rsidR="00946C20" w:rsidRPr="00FB52D0">
        <w:rPr>
          <w:rStyle w:val="20"/>
          <w:rFonts w:ascii="Arial" w:hAnsi="Arial" w:cs="Arial"/>
          <w:sz w:val="21"/>
          <w:szCs w:val="21"/>
        </w:rPr>
        <w:t>.</w:t>
      </w:r>
      <w:bookmarkEnd w:id="15"/>
      <w:r w:rsidR="00946C20" w:rsidRPr="00FB52D0">
        <w:rPr>
          <w:rStyle w:val="20"/>
          <w:rFonts w:ascii="Arial" w:hAnsi="Arial" w:cs="Arial"/>
          <w:sz w:val="21"/>
          <w:szCs w:val="21"/>
        </w:rPr>
        <w:t xml:space="preserve"> </w:t>
      </w:r>
    </w:p>
    <w:p w14:paraId="20AE5480" w14:textId="1618E9A0" w:rsidR="00EF0078" w:rsidRPr="00FB52D0" w:rsidRDefault="00EF0078" w:rsidP="00FB52D0">
      <w:pPr>
        <w:rPr>
          <w:shd w:val="clear" w:color="auto" w:fill="FFFFFF"/>
        </w:rPr>
      </w:pPr>
      <w:r w:rsidRPr="00D067E9">
        <w:rPr>
          <w:rFonts w:ascii="Arial" w:hAnsi="Arial" w:cs="Arial"/>
          <w:b/>
          <w:bCs/>
          <w:color w:val="0D0D0D"/>
          <w:shd w:val="clear" w:color="auto" w:fill="FFFFFF"/>
        </w:rPr>
        <w:t>a-c</w:t>
      </w:r>
      <w:r w:rsidRPr="00D067E9">
        <w:rPr>
          <w:rFonts w:ascii="Arial" w:hAnsi="Arial" w:cs="Arial"/>
          <w:color w:val="0D0D0D"/>
          <w:shd w:val="clear" w:color="auto" w:fill="FFFFFF"/>
        </w:rPr>
        <w:t>,</w:t>
      </w:r>
      <w:r w:rsidR="00270156" w:rsidRPr="00D067E9">
        <w:rPr>
          <w:rFonts w:ascii="Arial" w:hAnsi="Arial" w:cs="Arial"/>
          <w:color w:val="0D0D0D"/>
          <w:shd w:val="clear" w:color="auto" w:fill="FFFFFF"/>
        </w:rPr>
        <w:t xml:space="preserve"> </w:t>
      </w:r>
      <w:proofErr w:type="gramStart"/>
      <w:r w:rsidR="00AA4C9C" w:rsidRPr="00D067E9">
        <w:rPr>
          <w:rFonts w:ascii="Arial" w:hAnsi="Arial" w:cs="Arial"/>
          <w:color w:val="0D0D0D"/>
          <w:shd w:val="clear" w:color="auto" w:fill="FFFFFF"/>
        </w:rPr>
        <w:t>T</w:t>
      </w:r>
      <w:r w:rsidR="00492F9D" w:rsidRPr="00D067E9">
        <w:rPr>
          <w:rFonts w:ascii="Arial" w:hAnsi="Arial" w:cs="Arial"/>
          <w:color w:val="0D0D0D"/>
          <w:shd w:val="clear" w:color="auto" w:fill="FFFFFF"/>
        </w:rPr>
        <w:t>he</w:t>
      </w:r>
      <w:proofErr w:type="gramEnd"/>
      <w:r w:rsidR="00270156" w:rsidRPr="00D067E9">
        <w:rPr>
          <w:rFonts w:ascii="Arial" w:hAnsi="Arial" w:cs="Arial"/>
          <w:color w:val="0D0D0D"/>
          <w:shd w:val="clear" w:color="auto" w:fill="FFFFFF"/>
        </w:rPr>
        <w:t xml:space="preserve"> number of </w:t>
      </w:r>
      <w:r w:rsidR="00424AA7" w:rsidRPr="00D067E9">
        <w:rPr>
          <w:rFonts w:ascii="Arial" w:hAnsi="Arial" w:cs="Arial"/>
          <w:color w:val="0D0D0D"/>
          <w:shd w:val="clear" w:color="auto" w:fill="FFFFFF"/>
        </w:rPr>
        <w:t xml:space="preserve">(A) </w:t>
      </w:r>
      <w:r w:rsidR="00AA13D1" w:rsidRPr="00D067E9">
        <w:rPr>
          <w:rFonts w:ascii="Arial" w:hAnsi="Arial" w:cs="Arial"/>
          <w:color w:val="0D0D0D"/>
          <w:shd w:val="clear" w:color="auto" w:fill="FFFFFF"/>
        </w:rPr>
        <w:t>species</w:t>
      </w:r>
      <w:r w:rsidR="00BB5459" w:rsidRPr="00D067E9">
        <w:rPr>
          <w:rFonts w:ascii="Arial" w:hAnsi="Arial" w:cs="Arial"/>
          <w:color w:val="0D0D0D"/>
          <w:shd w:val="clear" w:color="auto" w:fill="FFFFFF"/>
        </w:rPr>
        <w:t xml:space="preserve">, </w:t>
      </w:r>
      <w:r w:rsidR="00424AA7" w:rsidRPr="00D067E9">
        <w:rPr>
          <w:rFonts w:ascii="Arial" w:hAnsi="Arial" w:cs="Arial"/>
          <w:color w:val="0D0D0D"/>
          <w:shd w:val="clear" w:color="auto" w:fill="FFFFFF"/>
        </w:rPr>
        <w:t>(</w:t>
      </w:r>
      <w:r w:rsidRPr="00D067E9">
        <w:rPr>
          <w:rFonts w:ascii="Arial" w:hAnsi="Arial" w:cs="Arial"/>
          <w:b/>
          <w:bCs/>
          <w:color w:val="0D0D0D"/>
          <w:shd w:val="clear" w:color="auto" w:fill="FFFFFF"/>
        </w:rPr>
        <w:t>b</w:t>
      </w:r>
      <w:r w:rsidR="00424AA7" w:rsidRPr="00D067E9">
        <w:rPr>
          <w:rFonts w:ascii="Arial" w:hAnsi="Arial" w:cs="Arial"/>
          <w:color w:val="0D0D0D"/>
          <w:shd w:val="clear" w:color="auto" w:fill="FFFFFF"/>
        </w:rPr>
        <w:t xml:space="preserve">) </w:t>
      </w:r>
      <w:r w:rsidR="00AA13D1" w:rsidRPr="00D067E9">
        <w:rPr>
          <w:rFonts w:ascii="Arial" w:hAnsi="Arial" w:cs="Arial"/>
          <w:color w:val="0D0D0D"/>
          <w:shd w:val="clear" w:color="auto" w:fill="FFFFFF"/>
        </w:rPr>
        <w:t>genera</w:t>
      </w:r>
      <w:r w:rsidR="00A9706F" w:rsidRPr="00D067E9">
        <w:rPr>
          <w:rFonts w:ascii="Arial" w:hAnsi="Arial" w:cs="Arial"/>
          <w:color w:val="0D0D0D"/>
          <w:shd w:val="clear" w:color="auto" w:fill="FFFFFF"/>
        </w:rPr>
        <w:t>,</w:t>
      </w:r>
      <w:r w:rsidR="00BB5459" w:rsidRPr="00D067E9">
        <w:rPr>
          <w:rFonts w:ascii="Arial" w:hAnsi="Arial" w:cs="Arial"/>
          <w:color w:val="0D0D0D"/>
          <w:shd w:val="clear" w:color="auto" w:fill="FFFFFF"/>
        </w:rPr>
        <w:t xml:space="preserve"> and </w:t>
      </w:r>
      <w:r w:rsidR="00424AA7" w:rsidRPr="00D067E9">
        <w:rPr>
          <w:rFonts w:ascii="Arial" w:hAnsi="Arial" w:cs="Arial"/>
          <w:color w:val="0D0D0D"/>
          <w:shd w:val="clear" w:color="auto" w:fill="FFFFFF"/>
        </w:rPr>
        <w:t>(</w:t>
      </w:r>
      <w:r w:rsidRPr="00D067E9">
        <w:rPr>
          <w:rFonts w:ascii="Arial" w:hAnsi="Arial" w:cs="Arial"/>
          <w:b/>
          <w:bCs/>
          <w:color w:val="0D0D0D"/>
          <w:shd w:val="clear" w:color="auto" w:fill="FFFFFF"/>
        </w:rPr>
        <w:t>c</w:t>
      </w:r>
      <w:r w:rsidR="00424AA7" w:rsidRPr="00D067E9">
        <w:rPr>
          <w:rFonts w:ascii="Arial" w:hAnsi="Arial" w:cs="Arial"/>
          <w:color w:val="0D0D0D"/>
          <w:shd w:val="clear" w:color="auto" w:fill="FFFFFF"/>
        </w:rPr>
        <w:t xml:space="preserve">) </w:t>
      </w:r>
      <w:r w:rsidR="00AA13D1" w:rsidRPr="00D067E9">
        <w:rPr>
          <w:rFonts w:ascii="Arial" w:hAnsi="Arial" w:cs="Arial"/>
          <w:color w:val="0D0D0D"/>
          <w:shd w:val="clear" w:color="auto" w:fill="FFFFFF"/>
        </w:rPr>
        <w:t xml:space="preserve">families </w:t>
      </w:r>
      <w:r w:rsidR="00424AA7" w:rsidRPr="00D067E9">
        <w:rPr>
          <w:rFonts w:ascii="Arial" w:hAnsi="Arial" w:cs="Arial"/>
          <w:color w:val="0D0D0D"/>
          <w:shd w:val="clear" w:color="auto" w:fill="FFFFFF"/>
        </w:rPr>
        <w:t>shared</w:t>
      </w:r>
      <w:r w:rsidR="00424AA7" w:rsidRPr="00D067E9" w:rsidDel="00424AA7">
        <w:rPr>
          <w:rFonts w:ascii="Arial" w:hAnsi="Arial" w:cs="Arial"/>
          <w:color w:val="0D0D0D"/>
          <w:shd w:val="clear" w:color="auto" w:fill="FFFFFF"/>
        </w:rPr>
        <w:t xml:space="preserve"> </w:t>
      </w:r>
      <w:r w:rsidR="00424AA7" w:rsidRPr="00D067E9">
        <w:rPr>
          <w:rFonts w:ascii="Arial" w:hAnsi="Arial" w:cs="Arial"/>
          <w:color w:val="0D0D0D"/>
          <w:shd w:val="clear" w:color="auto" w:fill="FFFFFF"/>
        </w:rPr>
        <w:t>by</w:t>
      </w:r>
      <w:r w:rsidR="00AA13D1" w:rsidRPr="00D067E9">
        <w:rPr>
          <w:rFonts w:ascii="Arial" w:hAnsi="Arial" w:cs="Arial"/>
          <w:color w:val="0D0D0D"/>
          <w:shd w:val="clear" w:color="auto" w:fill="FFFFFF"/>
        </w:rPr>
        <w:t xml:space="preserve"> </w:t>
      </w:r>
      <w:r w:rsidR="00270156" w:rsidRPr="00D067E9">
        <w:rPr>
          <w:rFonts w:ascii="Arial" w:hAnsi="Arial" w:cs="Arial"/>
          <w:color w:val="0D0D0D"/>
          <w:shd w:val="clear" w:color="auto" w:fill="FFFFFF"/>
        </w:rPr>
        <w:t>each HGT segment</w:t>
      </w:r>
      <w:r w:rsidR="00BB5459" w:rsidRPr="00D067E9">
        <w:rPr>
          <w:rFonts w:ascii="Arial" w:hAnsi="Arial" w:cs="Arial"/>
          <w:color w:val="0D0D0D"/>
          <w:shd w:val="clear" w:color="auto" w:fill="FFFFFF"/>
        </w:rPr>
        <w:t>.</w:t>
      </w:r>
      <w:r w:rsidR="00EF0597" w:rsidRPr="00D067E9">
        <w:rPr>
          <w:rFonts w:ascii="Arial" w:hAnsi="Arial" w:cs="Arial"/>
          <w:color w:val="0D0D0D"/>
          <w:shd w:val="clear" w:color="auto" w:fill="FFFFFF"/>
        </w:rPr>
        <w:t xml:space="preserve"> </w:t>
      </w:r>
      <w:r w:rsidR="00A9706F" w:rsidRPr="00D067E9">
        <w:rPr>
          <w:rFonts w:ascii="Arial" w:hAnsi="Arial" w:cs="Arial"/>
          <w:color w:val="0D0D0D"/>
          <w:shd w:val="clear" w:color="auto" w:fill="FFFFFF"/>
        </w:rPr>
        <w:t>S</w:t>
      </w:r>
      <w:r w:rsidR="00EF0597" w:rsidRPr="00D067E9">
        <w:rPr>
          <w:rFonts w:ascii="Arial" w:hAnsi="Arial" w:cs="Arial"/>
          <w:color w:val="0D0D0D"/>
          <w:shd w:val="clear" w:color="auto" w:fill="FFFFFF"/>
        </w:rPr>
        <w:t xml:space="preserve">egments </w:t>
      </w:r>
      <w:r w:rsidR="00AA13D1" w:rsidRPr="00D067E9">
        <w:rPr>
          <w:rFonts w:ascii="Arial" w:hAnsi="Arial" w:cs="Arial"/>
          <w:color w:val="0D0D0D"/>
          <w:shd w:val="clear" w:color="auto" w:fill="FFFFFF"/>
        </w:rPr>
        <w:t>encoding</w:t>
      </w:r>
      <w:r w:rsidR="00EF0597" w:rsidRPr="00D067E9">
        <w:rPr>
          <w:rFonts w:ascii="Arial" w:hAnsi="Arial" w:cs="Arial"/>
          <w:color w:val="0D0D0D"/>
          <w:shd w:val="clear" w:color="auto" w:fill="FFFFFF"/>
        </w:rPr>
        <w:t xml:space="preserve"> recombinase </w:t>
      </w:r>
      <w:r w:rsidR="00AA13D1" w:rsidRPr="00D067E9">
        <w:rPr>
          <w:rFonts w:ascii="Arial" w:hAnsi="Arial" w:cs="Arial"/>
          <w:color w:val="0D0D0D"/>
          <w:shd w:val="clear" w:color="auto" w:fill="FFFFFF"/>
        </w:rPr>
        <w:t xml:space="preserve">are </w:t>
      </w:r>
      <w:r w:rsidR="00EF0597" w:rsidRPr="00D067E9">
        <w:rPr>
          <w:rFonts w:ascii="Arial" w:hAnsi="Arial" w:cs="Arial"/>
          <w:color w:val="0D0D0D"/>
          <w:shd w:val="clear" w:color="auto" w:fill="FFFFFF"/>
        </w:rPr>
        <w:t xml:space="preserve">highlighted in </w:t>
      </w:r>
      <w:r w:rsidR="008861EF" w:rsidRPr="00D067E9">
        <w:rPr>
          <w:rFonts w:ascii="Arial" w:hAnsi="Arial" w:cs="Arial"/>
          <w:color w:val="0D0D0D"/>
          <w:shd w:val="clear" w:color="auto" w:fill="FFFFFF"/>
        </w:rPr>
        <w:t>blue</w:t>
      </w:r>
      <w:r w:rsidR="00C54913" w:rsidRPr="00D067E9">
        <w:rPr>
          <w:rFonts w:ascii="Arial" w:hAnsi="Arial" w:cs="Arial"/>
          <w:color w:val="0D0D0D"/>
          <w:shd w:val="clear" w:color="auto" w:fill="FFFFFF"/>
        </w:rPr>
        <w:t xml:space="preserve">. </w:t>
      </w:r>
      <w:r w:rsidR="00A9706F" w:rsidRPr="00D067E9">
        <w:rPr>
          <w:rFonts w:ascii="Arial" w:hAnsi="Arial" w:cs="Arial"/>
          <w:color w:val="0D0D0D"/>
          <w:shd w:val="clear" w:color="auto" w:fill="FFFFFF"/>
        </w:rPr>
        <w:t>S</w:t>
      </w:r>
      <w:r w:rsidR="00C54913" w:rsidRPr="00D067E9">
        <w:rPr>
          <w:rFonts w:ascii="Arial" w:hAnsi="Arial" w:cs="Arial"/>
          <w:color w:val="0D0D0D"/>
          <w:shd w:val="clear" w:color="auto" w:fill="FFFFFF"/>
        </w:rPr>
        <w:t xml:space="preserve">egments </w:t>
      </w:r>
      <w:r w:rsidR="00AA13D1" w:rsidRPr="00D067E9">
        <w:rPr>
          <w:rFonts w:ascii="Arial" w:hAnsi="Arial" w:cs="Arial"/>
          <w:color w:val="0D0D0D"/>
          <w:shd w:val="clear" w:color="auto" w:fill="FFFFFF"/>
        </w:rPr>
        <w:t xml:space="preserve">encoding </w:t>
      </w:r>
      <w:r w:rsidR="008861EF" w:rsidRPr="00D067E9">
        <w:rPr>
          <w:rFonts w:ascii="Arial" w:hAnsi="Arial" w:cs="Arial"/>
          <w:color w:val="0D0D0D"/>
          <w:shd w:val="clear" w:color="auto" w:fill="FFFFFF"/>
        </w:rPr>
        <w:t xml:space="preserve">phage integrase </w:t>
      </w:r>
      <w:r w:rsidR="00AA13D1" w:rsidRPr="00D067E9">
        <w:rPr>
          <w:rFonts w:ascii="Arial" w:hAnsi="Arial" w:cs="Arial"/>
          <w:color w:val="0D0D0D"/>
          <w:shd w:val="clear" w:color="auto" w:fill="FFFFFF"/>
        </w:rPr>
        <w:t xml:space="preserve">are </w:t>
      </w:r>
      <w:r w:rsidR="008861EF" w:rsidRPr="00D067E9">
        <w:rPr>
          <w:rFonts w:ascii="Arial" w:hAnsi="Arial" w:cs="Arial"/>
          <w:color w:val="0D0D0D"/>
          <w:shd w:val="clear" w:color="auto" w:fill="FFFFFF"/>
        </w:rPr>
        <w:t>highlighted in yellow.</w:t>
      </w:r>
      <w:r w:rsidR="00100FD1" w:rsidRPr="00D067E9">
        <w:rPr>
          <w:rFonts w:ascii="Arial" w:hAnsi="Arial" w:cs="Arial"/>
          <w:color w:val="0D0D0D"/>
          <w:shd w:val="clear" w:color="auto" w:fill="FFFFFF"/>
        </w:rPr>
        <w:t xml:space="preserve"> </w:t>
      </w:r>
    </w:p>
    <w:p w14:paraId="72C84C95" w14:textId="23557676" w:rsidR="00946C20" w:rsidRPr="00D067E9" w:rsidRDefault="00EF0078" w:rsidP="00EA4F34">
      <w:pPr>
        <w:spacing w:line="276" w:lineRule="auto"/>
        <w:rPr>
          <w:rFonts w:ascii="Arial" w:hAnsi="Arial" w:cs="Arial"/>
          <w:color w:val="0D0D0D"/>
          <w:shd w:val="clear" w:color="auto" w:fill="FFFFFF"/>
        </w:rPr>
      </w:pPr>
      <w:r w:rsidRPr="00D067E9">
        <w:rPr>
          <w:rFonts w:ascii="Arial" w:hAnsi="Arial" w:cs="Arial"/>
          <w:b/>
          <w:bCs/>
          <w:color w:val="0D0D0D"/>
          <w:shd w:val="clear" w:color="auto" w:fill="FFFFFF"/>
        </w:rPr>
        <w:t>d</w:t>
      </w:r>
      <w:r w:rsidR="00AA13D1" w:rsidRPr="00D067E9">
        <w:rPr>
          <w:rFonts w:ascii="Arial" w:hAnsi="Arial" w:cs="Arial"/>
          <w:color w:val="0D0D0D"/>
          <w:shd w:val="clear" w:color="auto" w:fill="FFFFFF"/>
        </w:rPr>
        <w:t>–</w:t>
      </w:r>
      <w:r w:rsidRPr="00D067E9">
        <w:rPr>
          <w:rFonts w:ascii="Arial" w:hAnsi="Arial" w:cs="Arial"/>
          <w:b/>
          <w:bCs/>
          <w:color w:val="0D0D0D"/>
          <w:shd w:val="clear" w:color="auto" w:fill="FFFFFF"/>
        </w:rPr>
        <w:t>g</w:t>
      </w:r>
      <w:r w:rsidRPr="00D067E9">
        <w:rPr>
          <w:rFonts w:ascii="Arial" w:hAnsi="Arial" w:cs="Arial"/>
          <w:color w:val="0D0D0D"/>
          <w:shd w:val="clear" w:color="auto" w:fill="FFFFFF"/>
        </w:rPr>
        <w:t>,</w:t>
      </w:r>
      <w:r w:rsidR="00D655EA" w:rsidRPr="00D067E9">
        <w:rPr>
          <w:rFonts w:ascii="Arial" w:hAnsi="Arial" w:cs="Arial"/>
          <w:color w:val="0D0D0D"/>
          <w:shd w:val="clear" w:color="auto" w:fill="FFFFFF"/>
        </w:rPr>
        <w:t xml:space="preserve"> </w:t>
      </w:r>
      <w:r w:rsidR="008861EF" w:rsidRPr="00D067E9">
        <w:rPr>
          <w:rFonts w:ascii="Arial" w:hAnsi="Arial" w:cs="Arial"/>
          <w:color w:val="0D0D0D"/>
          <w:shd w:val="clear" w:color="auto" w:fill="FFFFFF"/>
        </w:rPr>
        <w:t xml:space="preserve">The HGT segment </w:t>
      </w:r>
      <w:r w:rsidR="00D655EA" w:rsidRPr="00D067E9">
        <w:rPr>
          <w:rFonts w:ascii="Arial" w:hAnsi="Arial" w:cs="Arial"/>
          <w:color w:val="0D0D0D"/>
          <w:shd w:val="clear" w:color="auto" w:fill="FFFFFF"/>
        </w:rPr>
        <w:t xml:space="preserve">transfer </w:t>
      </w:r>
      <w:r w:rsidR="008861EF" w:rsidRPr="00D067E9">
        <w:rPr>
          <w:rFonts w:ascii="Arial" w:hAnsi="Arial" w:cs="Arial"/>
          <w:color w:val="0D0D0D"/>
          <w:shd w:val="clear" w:color="auto" w:fill="FFFFFF"/>
        </w:rPr>
        <w:t>pattern</w:t>
      </w:r>
      <w:r w:rsidR="00064C3C" w:rsidRPr="00D067E9">
        <w:rPr>
          <w:rFonts w:ascii="Arial" w:hAnsi="Arial" w:cs="Arial"/>
          <w:color w:val="0D0D0D"/>
          <w:shd w:val="clear" w:color="auto" w:fill="FFFFFF"/>
        </w:rPr>
        <w:t xml:space="preserve"> of </w:t>
      </w:r>
      <w:r w:rsidR="00145FB1" w:rsidRPr="00D067E9">
        <w:rPr>
          <w:rFonts w:ascii="Arial" w:hAnsi="Arial" w:cs="Arial"/>
          <w:color w:val="0D0D0D"/>
          <w:shd w:val="clear" w:color="auto" w:fill="FFFFFF"/>
        </w:rPr>
        <w:t>(</w:t>
      </w:r>
      <w:r w:rsidRPr="00D067E9">
        <w:rPr>
          <w:rFonts w:ascii="Arial" w:hAnsi="Arial" w:cs="Arial"/>
          <w:b/>
          <w:bCs/>
          <w:color w:val="0D0D0D"/>
          <w:shd w:val="clear" w:color="auto" w:fill="FFFFFF"/>
        </w:rPr>
        <w:t>d</w:t>
      </w:r>
      <w:r w:rsidR="00145FB1" w:rsidRPr="00D067E9">
        <w:rPr>
          <w:rFonts w:ascii="Arial" w:hAnsi="Arial" w:cs="Arial"/>
          <w:color w:val="0D0D0D"/>
          <w:shd w:val="clear" w:color="auto" w:fill="FFFFFF"/>
        </w:rPr>
        <w:t xml:space="preserve">) </w:t>
      </w:r>
      <w:r w:rsidR="00064C3C" w:rsidRPr="00D067E9">
        <w:rPr>
          <w:rFonts w:ascii="Arial" w:hAnsi="Arial" w:cs="Arial"/>
          <w:color w:val="0D0D0D"/>
          <w:shd w:val="clear" w:color="auto" w:fill="FFFFFF"/>
        </w:rPr>
        <w:t>HGT segment 236 at species level</w:t>
      </w:r>
      <w:r w:rsidR="00AA43D9" w:rsidRPr="00D067E9">
        <w:rPr>
          <w:rFonts w:ascii="Arial" w:hAnsi="Arial" w:cs="Arial"/>
          <w:color w:val="0D0D0D"/>
          <w:shd w:val="clear" w:color="auto" w:fill="FFFFFF"/>
        </w:rPr>
        <w:t xml:space="preserve">, </w:t>
      </w:r>
      <w:r w:rsidR="00AE5344" w:rsidRPr="00D067E9">
        <w:rPr>
          <w:rFonts w:ascii="Arial" w:hAnsi="Arial" w:cs="Arial"/>
          <w:color w:val="0D0D0D"/>
          <w:shd w:val="clear" w:color="auto" w:fill="FFFFFF"/>
        </w:rPr>
        <w:t>(</w:t>
      </w:r>
      <w:r w:rsidRPr="00D067E9">
        <w:rPr>
          <w:rFonts w:ascii="Arial" w:hAnsi="Arial" w:cs="Arial"/>
          <w:b/>
          <w:bCs/>
          <w:color w:val="0D0D0D"/>
          <w:shd w:val="clear" w:color="auto" w:fill="FFFFFF"/>
        </w:rPr>
        <w:t>e</w:t>
      </w:r>
      <w:r w:rsidR="00AE5344" w:rsidRPr="00D067E9">
        <w:rPr>
          <w:rFonts w:ascii="Arial" w:hAnsi="Arial" w:cs="Arial"/>
          <w:color w:val="0D0D0D"/>
          <w:shd w:val="clear" w:color="auto" w:fill="FFFFFF"/>
        </w:rPr>
        <w:t xml:space="preserve">) </w:t>
      </w:r>
      <w:r w:rsidR="00064C3C" w:rsidRPr="00D067E9">
        <w:rPr>
          <w:rFonts w:ascii="Arial" w:hAnsi="Arial" w:cs="Arial"/>
          <w:color w:val="0D0D0D"/>
          <w:shd w:val="clear" w:color="auto" w:fill="FFFFFF"/>
        </w:rPr>
        <w:t>HGT segment 152</w:t>
      </w:r>
      <w:r w:rsidR="00AA43D9" w:rsidRPr="00D067E9">
        <w:rPr>
          <w:rFonts w:ascii="Arial" w:hAnsi="Arial" w:cs="Arial"/>
          <w:color w:val="0D0D0D"/>
          <w:shd w:val="clear" w:color="auto" w:fill="FFFFFF"/>
        </w:rPr>
        <w:t xml:space="preserve"> </w:t>
      </w:r>
      <w:r w:rsidR="00064C3C" w:rsidRPr="00D067E9">
        <w:rPr>
          <w:rFonts w:ascii="Arial" w:hAnsi="Arial" w:cs="Arial"/>
          <w:color w:val="0D0D0D"/>
          <w:shd w:val="clear" w:color="auto" w:fill="FFFFFF"/>
        </w:rPr>
        <w:t>at genus level</w:t>
      </w:r>
      <w:r w:rsidR="00AA43D9" w:rsidRPr="00D067E9">
        <w:rPr>
          <w:rFonts w:ascii="Arial" w:hAnsi="Arial" w:cs="Arial"/>
          <w:color w:val="0D0D0D"/>
          <w:shd w:val="clear" w:color="auto" w:fill="FFFFFF"/>
        </w:rPr>
        <w:t>,</w:t>
      </w:r>
      <w:r w:rsidR="00AE5344" w:rsidRPr="00D067E9">
        <w:rPr>
          <w:rFonts w:ascii="Arial" w:hAnsi="Arial" w:cs="Arial"/>
          <w:color w:val="0D0D0D"/>
          <w:shd w:val="clear" w:color="auto" w:fill="FFFFFF"/>
        </w:rPr>
        <w:t xml:space="preserve"> (</w:t>
      </w:r>
      <w:r w:rsidRPr="00D067E9">
        <w:rPr>
          <w:rFonts w:ascii="Arial" w:hAnsi="Arial" w:cs="Arial"/>
          <w:b/>
          <w:bCs/>
          <w:color w:val="0D0D0D"/>
          <w:shd w:val="clear" w:color="auto" w:fill="FFFFFF"/>
        </w:rPr>
        <w:t>f</w:t>
      </w:r>
      <w:r w:rsidR="00AE5344" w:rsidRPr="00D067E9">
        <w:rPr>
          <w:rFonts w:ascii="Arial" w:hAnsi="Arial" w:cs="Arial"/>
          <w:color w:val="0D0D0D"/>
          <w:shd w:val="clear" w:color="auto" w:fill="FFFFFF"/>
        </w:rPr>
        <w:t>) HGT segment 355 at genus level</w:t>
      </w:r>
      <w:r w:rsidR="00ED1CA7" w:rsidRPr="00D067E9">
        <w:rPr>
          <w:rFonts w:ascii="Arial" w:hAnsi="Arial" w:cs="Arial"/>
          <w:color w:val="0D0D0D"/>
          <w:shd w:val="clear" w:color="auto" w:fill="FFFFFF"/>
        </w:rPr>
        <w:t>,</w:t>
      </w:r>
      <w:r w:rsidR="00AA43D9" w:rsidRPr="00D067E9">
        <w:rPr>
          <w:rFonts w:ascii="Arial" w:hAnsi="Arial" w:cs="Arial"/>
          <w:color w:val="0D0D0D"/>
          <w:shd w:val="clear" w:color="auto" w:fill="FFFFFF"/>
        </w:rPr>
        <w:t xml:space="preserve"> and </w:t>
      </w:r>
      <w:r w:rsidR="00AE5344" w:rsidRPr="00D067E9">
        <w:rPr>
          <w:rFonts w:ascii="Arial" w:hAnsi="Arial" w:cs="Arial"/>
          <w:color w:val="0D0D0D"/>
          <w:shd w:val="clear" w:color="auto" w:fill="FFFFFF"/>
        </w:rPr>
        <w:t>(</w:t>
      </w:r>
      <w:r w:rsidRPr="00D067E9">
        <w:rPr>
          <w:rFonts w:ascii="Arial" w:hAnsi="Arial" w:cs="Arial"/>
          <w:b/>
          <w:bCs/>
          <w:color w:val="0D0D0D"/>
          <w:shd w:val="clear" w:color="auto" w:fill="FFFFFF"/>
        </w:rPr>
        <w:t>g</w:t>
      </w:r>
      <w:r w:rsidR="00AE5344" w:rsidRPr="00D067E9">
        <w:rPr>
          <w:rFonts w:ascii="Arial" w:hAnsi="Arial" w:cs="Arial"/>
          <w:color w:val="0D0D0D"/>
          <w:shd w:val="clear" w:color="auto" w:fill="FFFFFF"/>
        </w:rPr>
        <w:t xml:space="preserve">) </w:t>
      </w:r>
      <w:r w:rsidR="00AA43D9" w:rsidRPr="00D067E9">
        <w:rPr>
          <w:rFonts w:ascii="Arial" w:hAnsi="Arial" w:cs="Arial"/>
          <w:color w:val="0D0D0D"/>
          <w:shd w:val="clear" w:color="auto" w:fill="FFFFFF"/>
        </w:rPr>
        <w:t xml:space="preserve">HGT segment 497 at family </w:t>
      </w:r>
      <w:r w:rsidR="007244FC" w:rsidRPr="00D067E9">
        <w:rPr>
          <w:rFonts w:ascii="Arial" w:hAnsi="Arial" w:cs="Arial"/>
          <w:color w:val="0D0D0D"/>
          <w:shd w:val="clear" w:color="auto" w:fill="FFFFFF"/>
        </w:rPr>
        <w:t>level.</w:t>
      </w:r>
      <w:r w:rsidR="008861EF" w:rsidRPr="00D067E9">
        <w:rPr>
          <w:rFonts w:ascii="Arial" w:hAnsi="Arial" w:cs="Arial"/>
          <w:color w:val="0D0D0D"/>
          <w:shd w:val="clear" w:color="auto" w:fill="FFFFFF"/>
        </w:rPr>
        <w:t xml:space="preserve"> </w:t>
      </w:r>
      <w:r w:rsidR="00100FD1" w:rsidRPr="00D067E9">
        <w:rPr>
          <w:rFonts w:ascii="Arial" w:hAnsi="Arial" w:cs="Arial"/>
          <w:color w:val="0D0D0D"/>
          <w:shd w:val="clear" w:color="auto" w:fill="FFFFFF"/>
        </w:rPr>
        <w:t xml:space="preserve">Each node represents a </w:t>
      </w:r>
      <w:r w:rsidR="00F4373E" w:rsidRPr="00D067E9">
        <w:rPr>
          <w:rFonts w:ascii="Arial" w:hAnsi="Arial" w:cs="Arial"/>
          <w:color w:val="0D0D0D"/>
          <w:shd w:val="clear" w:color="auto" w:fill="FFFFFF"/>
        </w:rPr>
        <w:t>genome</w:t>
      </w:r>
      <w:r w:rsidR="00100FD1" w:rsidRPr="00D067E9">
        <w:rPr>
          <w:rFonts w:ascii="Arial" w:hAnsi="Arial" w:cs="Arial"/>
          <w:color w:val="0D0D0D"/>
          <w:shd w:val="clear" w:color="auto" w:fill="FFFFFF"/>
        </w:rPr>
        <w:t xml:space="preserve">, with </w:t>
      </w:r>
      <w:r w:rsidR="00B221F2" w:rsidRPr="00D067E9">
        <w:rPr>
          <w:rFonts w:ascii="Arial" w:hAnsi="Arial" w:cs="Arial"/>
          <w:color w:val="0D0D0D"/>
          <w:shd w:val="clear" w:color="auto" w:fill="FFFFFF"/>
        </w:rPr>
        <w:t xml:space="preserve">the </w:t>
      </w:r>
      <w:r w:rsidR="00100FD1" w:rsidRPr="00D067E9">
        <w:rPr>
          <w:rFonts w:ascii="Arial" w:hAnsi="Arial" w:cs="Arial"/>
          <w:color w:val="0D0D0D"/>
          <w:shd w:val="clear" w:color="auto" w:fill="FFFFFF"/>
        </w:rPr>
        <w:t xml:space="preserve">corresponding taxonomy </w:t>
      </w:r>
      <w:r w:rsidR="00E44778" w:rsidRPr="00D067E9">
        <w:rPr>
          <w:rFonts w:ascii="Arial" w:hAnsi="Arial" w:cs="Arial"/>
          <w:color w:val="0D0D0D"/>
          <w:shd w:val="clear" w:color="auto" w:fill="FFFFFF"/>
        </w:rPr>
        <w:t>classification</w:t>
      </w:r>
      <w:r w:rsidR="00100FD1" w:rsidRPr="00D067E9">
        <w:rPr>
          <w:rFonts w:ascii="Arial" w:hAnsi="Arial" w:cs="Arial"/>
          <w:color w:val="0D0D0D"/>
          <w:shd w:val="clear" w:color="auto" w:fill="FFFFFF"/>
        </w:rPr>
        <w:t xml:space="preserve"> </w:t>
      </w:r>
      <w:r w:rsidR="00B221F2" w:rsidRPr="00D067E9">
        <w:rPr>
          <w:rFonts w:ascii="Arial" w:hAnsi="Arial" w:cs="Arial"/>
          <w:color w:val="0D0D0D"/>
          <w:shd w:val="clear" w:color="auto" w:fill="FFFFFF"/>
        </w:rPr>
        <w:t>indicated by color</w:t>
      </w:r>
      <w:r w:rsidR="00100FD1" w:rsidRPr="00D067E9">
        <w:rPr>
          <w:rFonts w:ascii="Arial" w:hAnsi="Arial" w:cs="Arial"/>
          <w:color w:val="0D0D0D"/>
          <w:shd w:val="clear" w:color="auto" w:fill="FFFFFF"/>
        </w:rPr>
        <w:t xml:space="preserve">. </w:t>
      </w:r>
      <w:r w:rsidR="00F4373E" w:rsidRPr="00D067E9">
        <w:rPr>
          <w:rFonts w:ascii="Arial" w:hAnsi="Arial" w:cs="Arial"/>
          <w:color w:val="0D0D0D"/>
          <w:shd w:val="clear" w:color="auto" w:fill="FFFFFF"/>
        </w:rPr>
        <w:t>Each</w:t>
      </w:r>
      <w:r w:rsidR="00D655EA" w:rsidRPr="00D067E9">
        <w:rPr>
          <w:rFonts w:ascii="Arial" w:hAnsi="Arial" w:cs="Arial"/>
          <w:color w:val="0D0D0D"/>
          <w:shd w:val="clear" w:color="auto" w:fill="FFFFFF"/>
        </w:rPr>
        <w:t xml:space="preserve"> edge represent</w:t>
      </w:r>
      <w:r w:rsidR="00F4373E" w:rsidRPr="00D067E9">
        <w:rPr>
          <w:rFonts w:ascii="Arial" w:hAnsi="Arial" w:cs="Arial"/>
          <w:color w:val="0D0D0D"/>
          <w:shd w:val="clear" w:color="auto" w:fill="FFFFFF"/>
        </w:rPr>
        <w:t>s</w:t>
      </w:r>
      <w:r w:rsidR="00D655EA" w:rsidRPr="00D067E9">
        <w:rPr>
          <w:rFonts w:ascii="Arial" w:hAnsi="Arial" w:cs="Arial"/>
          <w:color w:val="0D0D0D"/>
          <w:shd w:val="clear" w:color="auto" w:fill="FFFFFF"/>
        </w:rPr>
        <w:t xml:space="preserve"> </w:t>
      </w:r>
      <w:r w:rsidR="00F4373E" w:rsidRPr="00D067E9">
        <w:rPr>
          <w:rFonts w:ascii="Arial" w:hAnsi="Arial" w:cs="Arial"/>
          <w:color w:val="0D0D0D"/>
          <w:shd w:val="clear" w:color="auto" w:fill="FFFFFF"/>
        </w:rPr>
        <w:t>a</w:t>
      </w:r>
      <w:r w:rsidR="00D655EA" w:rsidRPr="00D067E9">
        <w:rPr>
          <w:rFonts w:ascii="Arial" w:hAnsi="Arial" w:cs="Arial"/>
          <w:color w:val="0D0D0D"/>
          <w:shd w:val="clear" w:color="auto" w:fill="FFFFFF"/>
        </w:rPr>
        <w:t xml:space="preserve"> HGT</w:t>
      </w:r>
      <w:r w:rsidR="00F4373E" w:rsidRPr="00D067E9">
        <w:rPr>
          <w:rFonts w:ascii="Arial" w:hAnsi="Arial" w:cs="Arial"/>
          <w:color w:val="0D0D0D"/>
          <w:shd w:val="clear" w:color="auto" w:fill="FFFFFF"/>
        </w:rPr>
        <w:t xml:space="preserve"> </w:t>
      </w:r>
      <w:r w:rsidR="00D655EA" w:rsidRPr="00D067E9">
        <w:rPr>
          <w:rFonts w:ascii="Arial" w:hAnsi="Arial" w:cs="Arial"/>
          <w:color w:val="0D0D0D"/>
          <w:shd w:val="clear" w:color="auto" w:fill="FFFFFF"/>
        </w:rPr>
        <w:t>observed</w:t>
      </w:r>
      <w:r w:rsidR="00F4373E" w:rsidRPr="00D067E9">
        <w:rPr>
          <w:rFonts w:ascii="Arial" w:hAnsi="Arial" w:cs="Arial"/>
          <w:color w:val="0D0D0D"/>
          <w:shd w:val="clear" w:color="auto" w:fill="FFFFFF"/>
        </w:rPr>
        <w:t xml:space="preserve"> between these two genomes. </w:t>
      </w:r>
      <w:r w:rsidR="0018050E" w:rsidRPr="00D067E9">
        <w:rPr>
          <w:rFonts w:ascii="Arial" w:hAnsi="Arial" w:cs="Arial"/>
          <w:color w:val="0D0D0D"/>
          <w:shd w:val="clear" w:color="auto" w:fill="FFFFFF"/>
        </w:rPr>
        <w:t xml:space="preserve">The identity of the HGT </w:t>
      </w:r>
      <w:r w:rsidR="006137DF" w:rsidRPr="00D067E9">
        <w:rPr>
          <w:rFonts w:ascii="Arial" w:hAnsi="Arial" w:cs="Arial"/>
          <w:color w:val="0D0D0D"/>
          <w:shd w:val="clear" w:color="auto" w:fill="FFFFFF"/>
        </w:rPr>
        <w:t xml:space="preserve">is </w:t>
      </w:r>
      <w:r w:rsidR="0018050E" w:rsidRPr="00D067E9">
        <w:rPr>
          <w:rFonts w:ascii="Arial" w:hAnsi="Arial" w:cs="Arial"/>
          <w:color w:val="0D0D0D"/>
          <w:shd w:val="clear" w:color="auto" w:fill="FFFFFF"/>
        </w:rPr>
        <w:t>label</w:t>
      </w:r>
      <w:r w:rsidR="00EF79A6" w:rsidRPr="00D067E9">
        <w:rPr>
          <w:rFonts w:ascii="Arial" w:hAnsi="Arial" w:cs="Arial"/>
          <w:color w:val="0D0D0D"/>
          <w:shd w:val="clear" w:color="auto" w:fill="FFFFFF"/>
        </w:rPr>
        <w:t>ed</w:t>
      </w:r>
      <w:r w:rsidR="0018050E" w:rsidRPr="00D067E9">
        <w:rPr>
          <w:rFonts w:ascii="Arial" w:hAnsi="Arial" w:cs="Arial"/>
          <w:color w:val="0D0D0D"/>
          <w:shd w:val="clear" w:color="auto" w:fill="FFFFFF"/>
        </w:rPr>
        <w:t xml:space="preserve"> at the edge. The </w:t>
      </w:r>
      <w:proofErr w:type="spellStart"/>
      <w:r w:rsidR="0018050E" w:rsidRPr="00D067E9">
        <w:rPr>
          <w:rFonts w:ascii="Arial" w:hAnsi="Arial" w:cs="Arial"/>
          <w:color w:val="0D0D0D"/>
          <w:shd w:val="clear" w:color="auto" w:fill="FFFFFF"/>
        </w:rPr>
        <w:t>Pfam</w:t>
      </w:r>
      <w:proofErr w:type="spellEnd"/>
      <w:r w:rsidR="0018050E" w:rsidRPr="00D067E9">
        <w:rPr>
          <w:rFonts w:ascii="Arial" w:hAnsi="Arial" w:cs="Arial"/>
          <w:color w:val="0D0D0D"/>
          <w:shd w:val="clear" w:color="auto" w:fill="FFFFFF"/>
        </w:rPr>
        <w:t xml:space="preserve"> domain</w:t>
      </w:r>
      <w:r w:rsidR="00AE1C6B" w:rsidRPr="00D067E9">
        <w:rPr>
          <w:rFonts w:ascii="Arial" w:hAnsi="Arial" w:cs="Arial"/>
          <w:color w:val="0D0D0D"/>
          <w:shd w:val="clear" w:color="auto" w:fill="FFFFFF"/>
        </w:rPr>
        <w:t>s</w:t>
      </w:r>
      <w:r w:rsidR="0018050E" w:rsidRPr="00D067E9">
        <w:rPr>
          <w:rFonts w:ascii="Arial" w:hAnsi="Arial" w:cs="Arial"/>
          <w:color w:val="0D0D0D"/>
          <w:shd w:val="clear" w:color="auto" w:fill="FFFFFF"/>
        </w:rPr>
        <w:t xml:space="preserve"> carried in the </w:t>
      </w:r>
      <w:r w:rsidR="00AE1C6B" w:rsidRPr="00D067E9">
        <w:rPr>
          <w:rFonts w:ascii="Arial" w:hAnsi="Arial" w:cs="Arial"/>
          <w:color w:val="0D0D0D"/>
          <w:shd w:val="clear" w:color="auto" w:fill="FFFFFF"/>
        </w:rPr>
        <w:t>HGT</w:t>
      </w:r>
      <w:r w:rsidR="0018050E" w:rsidRPr="00D067E9">
        <w:rPr>
          <w:rFonts w:ascii="Arial" w:hAnsi="Arial" w:cs="Arial"/>
          <w:color w:val="0D0D0D"/>
          <w:shd w:val="clear" w:color="auto" w:fill="FFFFFF"/>
        </w:rPr>
        <w:t xml:space="preserve"> segment </w:t>
      </w:r>
      <w:r w:rsidR="00AE1C6B" w:rsidRPr="00D067E9">
        <w:rPr>
          <w:rFonts w:ascii="Arial" w:hAnsi="Arial" w:cs="Arial"/>
          <w:color w:val="0D0D0D"/>
          <w:shd w:val="clear" w:color="auto" w:fill="FFFFFF"/>
        </w:rPr>
        <w:t xml:space="preserve">are </w:t>
      </w:r>
      <w:r w:rsidR="00B221F2" w:rsidRPr="00D067E9">
        <w:rPr>
          <w:rFonts w:ascii="Arial" w:hAnsi="Arial" w:cs="Arial"/>
          <w:color w:val="0D0D0D"/>
          <w:shd w:val="clear" w:color="auto" w:fill="FFFFFF"/>
        </w:rPr>
        <w:t>shown</w:t>
      </w:r>
      <w:r w:rsidR="0018050E" w:rsidRPr="00D067E9">
        <w:rPr>
          <w:rFonts w:ascii="Arial" w:hAnsi="Arial" w:cs="Arial"/>
          <w:color w:val="0D0D0D"/>
          <w:shd w:val="clear" w:color="auto" w:fill="FFFFFF"/>
        </w:rPr>
        <w:t>.</w:t>
      </w:r>
    </w:p>
    <w:p w14:paraId="2D570FE4" w14:textId="77777777" w:rsidR="00482351" w:rsidRPr="00D067E9" w:rsidRDefault="00482351" w:rsidP="00EA4F34">
      <w:pPr>
        <w:spacing w:line="276" w:lineRule="auto"/>
        <w:rPr>
          <w:rFonts w:ascii="Arial" w:hAnsi="Arial" w:cs="Arial"/>
          <w:color w:val="0D0D0D"/>
          <w:shd w:val="clear" w:color="auto" w:fill="FFFFFF"/>
        </w:rPr>
      </w:pPr>
    </w:p>
    <w:p w14:paraId="7656D3FD" w14:textId="77777777" w:rsidR="00946C20" w:rsidRPr="00D067E9" w:rsidRDefault="00946C20" w:rsidP="00EA4F34">
      <w:pPr>
        <w:spacing w:line="276" w:lineRule="auto"/>
        <w:rPr>
          <w:rFonts w:ascii="Arial" w:hAnsi="Arial" w:cs="Arial"/>
          <w:color w:val="000000" w:themeColor="text1"/>
          <w:szCs w:val="21"/>
        </w:rPr>
      </w:pPr>
    </w:p>
    <w:p w14:paraId="5275AB7B" w14:textId="77777777" w:rsidR="00703363" w:rsidRPr="00D067E9" w:rsidRDefault="00703363" w:rsidP="00EA4F34">
      <w:pPr>
        <w:spacing w:line="276" w:lineRule="auto"/>
        <w:rPr>
          <w:rFonts w:ascii="Arial" w:hAnsi="Arial" w:cs="Arial"/>
          <w:color w:val="000000" w:themeColor="text1"/>
          <w:szCs w:val="21"/>
        </w:rPr>
      </w:pPr>
    </w:p>
    <w:p w14:paraId="494F43CC" w14:textId="77777777" w:rsidR="00AE66CD" w:rsidRPr="00D067E9" w:rsidRDefault="00AE66CD" w:rsidP="00EA4F34">
      <w:pPr>
        <w:spacing w:line="276" w:lineRule="auto"/>
        <w:rPr>
          <w:rFonts w:ascii="Arial" w:hAnsi="Arial" w:cs="Arial"/>
          <w:color w:val="000000" w:themeColor="text1"/>
          <w:szCs w:val="21"/>
        </w:rPr>
        <w:sectPr w:rsidR="00AE66CD" w:rsidRPr="00D067E9">
          <w:pgSz w:w="11906" w:h="16838"/>
          <w:pgMar w:top="1440" w:right="1800" w:bottom="1440" w:left="1800" w:header="851" w:footer="992" w:gutter="0"/>
          <w:cols w:space="425"/>
          <w:docGrid w:type="lines" w:linePitch="312"/>
        </w:sectPr>
      </w:pPr>
    </w:p>
    <w:p w14:paraId="0B49B182" w14:textId="4CFC0E81" w:rsidR="00703363" w:rsidRPr="00D067E9" w:rsidRDefault="00131303" w:rsidP="00EA4F34">
      <w:pPr>
        <w:spacing w:line="276" w:lineRule="auto"/>
        <w:rPr>
          <w:rFonts w:ascii="Arial" w:hAnsi="Arial" w:cs="Arial"/>
          <w:color w:val="000000" w:themeColor="text1"/>
          <w:szCs w:val="21"/>
        </w:rPr>
      </w:pPr>
      <w:r w:rsidRPr="00D067E9">
        <w:rPr>
          <w:rFonts w:ascii="Arial" w:hAnsi="Arial" w:cs="Arial"/>
          <w:noProof/>
          <w:color w:val="000000" w:themeColor="text1"/>
          <w:szCs w:val="21"/>
        </w:rPr>
        <w:lastRenderedPageBreak/>
        <w:drawing>
          <wp:inline distT="0" distB="0" distL="0" distR="0" wp14:anchorId="2BACAFA5" wp14:editId="0337326B">
            <wp:extent cx="5274310" cy="3687445"/>
            <wp:effectExtent l="0" t="0" r="0" b="0"/>
            <wp:docPr id="9092209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20970" name="图片 909220970"/>
                    <pic:cNvPicPr/>
                  </pic:nvPicPr>
                  <pic:blipFill>
                    <a:blip r:embed="rId14">
                      <a:extLst>
                        <a:ext uri="{28A0092B-C50C-407E-A947-70E740481C1C}">
                          <a14:useLocalDpi xmlns:a14="http://schemas.microsoft.com/office/drawing/2010/main" val="0"/>
                        </a:ext>
                      </a:extLst>
                    </a:blip>
                    <a:stretch>
                      <a:fillRect/>
                    </a:stretch>
                  </pic:blipFill>
                  <pic:spPr>
                    <a:xfrm>
                      <a:off x="0" y="0"/>
                      <a:ext cx="5274310" cy="3687445"/>
                    </a:xfrm>
                    <a:prstGeom prst="rect">
                      <a:avLst/>
                    </a:prstGeom>
                  </pic:spPr>
                </pic:pic>
              </a:graphicData>
            </a:graphic>
          </wp:inline>
        </w:drawing>
      </w:r>
    </w:p>
    <w:p w14:paraId="66BE6B8A" w14:textId="7863BD94" w:rsidR="00C83A90" w:rsidRPr="00D067E9" w:rsidRDefault="00AA43D9" w:rsidP="00D067E9">
      <w:pPr>
        <w:pStyle w:val="af4"/>
        <w:rPr>
          <w:rFonts w:ascii="Arial" w:hAnsi="Arial" w:cs="Arial"/>
        </w:rPr>
      </w:pPr>
      <w:bookmarkStart w:id="16" w:name="_Toc195882822"/>
      <w:r w:rsidRPr="00FB52D0">
        <w:rPr>
          <w:rStyle w:val="20"/>
          <w:rFonts w:ascii="Arial" w:hAnsi="Arial" w:cs="Arial"/>
          <w:sz w:val="21"/>
          <w:szCs w:val="21"/>
        </w:rPr>
        <w:t>Fig</w:t>
      </w:r>
      <w:r w:rsidR="00EF0078" w:rsidRPr="00FB52D0">
        <w:rPr>
          <w:rStyle w:val="20"/>
          <w:rFonts w:ascii="Arial" w:hAnsi="Arial" w:cs="Arial"/>
          <w:sz w:val="21"/>
          <w:szCs w:val="21"/>
        </w:rPr>
        <w:t>.</w:t>
      </w:r>
      <w:r w:rsidRPr="00FB52D0">
        <w:rPr>
          <w:rStyle w:val="20"/>
          <w:rFonts w:ascii="Arial" w:hAnsi="Arial" w:cs="Arial"/>
          <w:sz w:val="21"/>
          <w:szCs w:val="21"/>
        </w:rPr>
        <w:t xml:space="preserve"> S</w:t>
      </w:r>
      <w:r w:rsidR="00313264" w:rsidRPr="00FB52D0">
        <w:rPr>
          <w:rStyle w:val="20"/>
          <w:rFonts w:ascii="Arial" w:hAnsi="Arial" w:cs="Arial"/>
          <w:sz w:val="21"/>
          <w:szCs w:val="21"/>
        </w:rPr>
        <w:t>4</w:t>
      </w:r>
      <w:r w:rsidRPr="00FB52D0">
        <w:rPr>
          <w:rStyle w:val="20"/>
          <w:rFonts w:ascii="Arial" w:hAnsi="Arial" w:cs="Arial"/>
          <w:sz w:val="21"/>
          <w:szCs w:val="21"/>
        </w:rPr>
        <w:t>. Recent transfer contributes to the spread of antibiotic resistance genes (ARGs).</w:t>
      </w:r>
      <w:bookmarkEnd w:id="16"/>
      <w:r w:rsidRPr="00D067E9">
        <w:rPr>
          <w:rFonts w:ascii="Arial" w:hAnsi="Arial" w:cs="Arial"/>
          <w:color w:val="0D0D0D"/>
          <w:shd w:val="clear" w:color="auto" w:fill="FFFFFF"/>
        </w:rPr>
        <w:t xml:space="preserve"> ARG transfer network. Edge width and label reflect the HGT event's identities. Dots are colored by genus classification. Clusters encoding the same ARG are circled and labeled with their antibiotic names.</w:t>
      </w:r>
    </w:p>
    <w:p w14:paraId="19630CE3" w14:textId="77777777" w:rsidR="009009C3" w:rsidRPr="00D067E9" w:rsidRDefault="009009C3" w:rsidP="00EA4F34">
      <w:pPr>
        <w:spacing w:line="276" w:lineRule="auto"/>
        <w:rPr>
          <w:rFonts w:ascii="Arial" w:hAnsi="Arial" w:cs="Arial"/>
        </w:rPr>
        <w:sectPr w:rsidR="009009C3" w:rsidRPr="00D067E9">
          <w:pgSz w:w="11906" w:h="16838"/>
          <w:pgMar w:top="1440" w:right="1800" w:bottom="1440" w:left="1800" w:header="851" w:footer="992" w:gutter="0"/>
          <w:cols w:space="425"/>
          <w:docGrid w:type="lines" w:linePitch="312"/>
        </w:sectPr>
      </w:pPr>
    </w:p>
    <w:p w14:paraId="41D48D4B" w14:textId="2FD96B34" w:rsidR="00FD31B6" w:rsidRPr="00D067E9" w:rsidRDefault="00EF0078" w:rsidP="00EA4F34">
      <w:pPr>
        <w:spacing w:line="276" w:lineRule="auto"/>
        <w:rPr>
          <w:rFonts w:ascii="Arial" w:hAnsi="Arial" w:cs="Arial"/>
        </w:rPr>
      </w:pPr>
      <w:r w:rsidRPr="00D067E9">
        <w:rPr>
          <w:rFonts w:ascii="Arial" w:hAnsi="Arial" w:cs="Arial"/>
          <w:noProof/>
        </w:rPr>
        <w:lastRenderedPageBreak/>
        <w:drawing>
          <wp:inline distT="0" distB="0" distL="0" distR="0" wp14:anchorId="42F266A8" wp14:editId="734B5794">
            <wp:extent cx="5274310" cy="4065905"/>
            <wp:effectExtent l="0" t="0" r="0" b="0"/>
            <wp:docPr id="12308777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77722" name="图片 1230877722"/>
                    <pic:cNvPicPr/>
                  </pic:nvPicPr>
                  <pic:blipFill>
                    <a:blip r:embed="rId15"/>
                    <a:stretch>
                      <a:fillRect/>
                    </a:stretch>
                  </pic:blipFill>
                  <pic:spPr>
                    <a:xfrm>
                      <a:off x="0" y="0"/>
                      <a:ext cx="5274310" cy="4065905"/>
                    </a:xfrm>
                    <a:prstGeom prst="rect">
                      <a:avLst/>
                    </a:prstGeom>
                  </pic:spPr>
                </pic:pic>
              </a:graphicData>
            </a:graphic>
          </wp:inline>
        </w:drawing>
      </w:r>
    </w:p>
    <w:p w14:paraId="593DBA28" w14:textId="77777777" w:rsidR="00FB52D0" w:rsidRDefault="00FD31B6" w:rsidP="00FB52D0">
      <w:pPr>
        <w:rPr>
          <w:rStyle w:val="20"/>
          <w:rFonts w:ascii="Arial" w:hAnsi="Arial" w:cs="Arial"/>
          <w:sz w:val="21"/>
          <w:szCs w:val="21"/>
        </w:rPr>
      </w:pPr>
      <w:bookmarkStart w:id="17" w:name="_Toc195882823"/>
      <w:r w:rsidRPr="00FB52D0">
        <w:rPr>
          <w:rStyle w:val="20"/>
          <w:rFonts w:ascii="Arial" w:hAnsi="Arial" w:cs="Arial"/>
          <w:sz w:val="21"/>
          <w:szCs w:val="21"/>
        </w:rPr>
        <w:t>Fig</w:t>
      </w:r>
      <w:r w:rsidR="00EF0078" w:rsidRPr="00FB52D0">
        <w:rPr>
          <w:rStyle w:val="20"/>
          <w:rFonts w:ascii="Arial" w:hAnsi="Arial" w:cs="Arial"/>
          <w:sz w:val="21"/>
          <w:szCs w:val="21"/>
        </w:rPr>
        <w:t>.</w:t>
      </w:r>
      <w:r w:rsidRPr="00FB52D0">
        <w:rPr>
          <w:rStyle w:val="20"/>
          <w:rFonts w:ascii="Arial" w:hAnsi="Arial" w:cs="Arial"/>
          <w:sz w:val="21"/>
          <w:szCs w:val="21"/>
        </w:rPr>
        <w:t xml:space="preserve"> S</w:t>
      </w:r>
      <w:r w:rsidR="00313264" w:rsidRPr="00FB52D0">
        <w:rPr>
          <w:rStyle w:val="20"/>
          <w:rFonts w:ascii="Arial" w:hAnsi="Arial" w:cs="Arial"/>
          <w:sz w:val="21"/>
          <w:szCs w:val="21"/>
        </w:rPr>
        <w:t>5</w:t>
      </w:r>
      <w:r w:rsidRPr="00FB52D0">
        <w:rPr>
          <w:rStyle w:val="20"/>
          <w:rFonts w:ascii="Arial" w:hAnsi="Arial" w:cs="Arial"/>
          <w:sz w:val="21"/>
          <w:szCs w:val="21"/>
        </w:rPr>
        <w:t>. Bacteria with high survival ability and motility are more involved in HGT.</w:t>
      </w:r>
      <w:bookmarkEnd w:id="17"/>
      <w:r w:rsidRPr="00FB52D0">
        <w:rPr>
          <w:rStyle w:val="20"/>
          <w:rFonts w:ascii="Arial" w:hAnsi="Arial" w:cs="Arial"/>
          <w:sz w:val="21"/>
          <w:szCs w:val="21"/>
        </w:rPr>
        <w:t xml:space="preserve"> </w:t>
      </w:r>
    </w:p>
    <w:p w14:paraId="0CD956CB" w14:textId="5422E1D0" w:rsidR="00EF0078" w:rsidRPr="00FB52D0" w:rsidRDefault="00EF0078" w:rsidP="00FB52D0">
      <w:proofErr w:type="gramStart"/>
      <w:r w:rsidRPr="00D067E9">
        <w:rPr>
          <w:rFonts w:ascii="Arial" w:hAnsi="Arial" w:cs="Arial"/>
          <w:b/>
          <w:bCs/>
          <w:color w:val="000000" w:themeColor="text1"/>
          <w:szCs w:val="21"/>
        </w:rPr>
        <w:t>a</w:t>
      </w:r>
      <w:r w:rsidRPr="00D067E9">
        <w:rPr>
          <w:rFonts w:ascii="Arial" w:hAnsi="Arial" w:cs="Arial"/>
          <w:color w:val="000000" w:themeColor="text1"/>
          <w:szCs w:val="21"/>
        </w:rPr>
        <w:t>,</w:t>
      </w:r>
      <w:proofErr w:type="gramEnd"/>
      <w:r w:rsidR="00FD31B6" w:rsidRPr="00D067E9">
        <w:rPr>
          <w:rFonts w:ascii="Arial" w:hAnsi="Arial" w:cs="Arial"/>
          <w:color w:val="000000" w:themeColor="text1"/>
          <w:szCs w:val="21"/>
        </w:rPr>
        <w:t xml:space="preserve"> </w:t>
      </w:r>
      <w:r w:rsidR="00FD31B6" w:rsidRPr="00D067E9">
        <w:rPr>
          <w:rFonts w:ascii="Arial" w:hAnsi="Arial" w:cs="Arial"/>
          <w:i/>
          <w:iCs/>
        </w:rPr>
        <w:t xml:space="preserve">Species </w:t>
      </w:r>
      <w:r w:rsidR="00FD31B6" w:rsidRPr="00D067E9">
        <w:rPr>
          <w:rFonts w:ascii="Arial" w:hAnsi="Arial" w:cs="Arial"/>
          <w:i/>
          <w:iCs/>
          <w:color w:val="000000" w:themeColor="text1"/>
          <w:szCs w:val="21"/>
        </w:rPr>
        <w:t>traits</w:t>
      </w:r>
      <w:r w:rsidR="00FD31B6" w:rsidRPr="00D067E9">
        <w:rPr>
          <w:rFonts w:ascii="Arial" w:hAnsi="Arial" w:cs="Arial"/>
          <w:i/>
          <w:iCs/>
        </w:rPr>
        <w:t xml:space="preserve"> annotation.</w:t>
      </w:r>
      <w:r w:rsidR="00FD31B6" w:rsidRPr="00D067E9">
        <w:rPr>
          <w:rFonts w:ascii="Arial" w:hAnsi="Arial" w:cs="Arial"/>
        </w:rPr>
        <w:t xml:space="preserve"> The 22 </w:t>
      </w:r>
      <w:r w:rsidR="00FD31B6" w:rsidRPr="00D067E9">
        <w:rPr>
          <w:rFonts w:ascii="Arial" w:hAnsi="Arial" w:cs="Arial"/>
          <w:color w:val="000000" w:themeColor="text1"/>
          <w:szCs w:val="21"/>
        </w:rPr>
        <w:t>traits</w:t>
      </w:r>
      <w:r w:rsidR="00FD31B6" w:rsidRPr="00D067E9">
        <w:rPr>
          <w:rFonts w:ascii="Arial" w:hAnsi="Arial" w:cs="Arial"/>
        </w:rPr>
        <w:t xml:space="preserve"> for all species participating in least one HGT event were predicted, </w:t>
      </w:r>
      <w:r w:rsidR="00FD31B6" w:rsidRPr="00D067E9">
        <w:rPr>
          <w:rFonts w:ascii="Arial" w:hAnsi="Arial" w:cs="Arial"/>
          <w:color w:val="000000" w:themeColor="text1"/>
          <w:szCs w:val="21"/>
        </w:rPr>
        <w:t xml:space="preserve">including energy resources for growth, enzymatic activities, and morphology. Each species is listed alongside its assigned group number. Predictions are encoded as: 0 represents a negative prediction and 1 indicates the prediction validated by both classifiers. Details of the species' classification within their respective phyla are annotated at upper right. Trait categories are annotated at lower right. </w:t>
      </w:r>
    </w:p>
    <w:p w14:paraId="4D31BF87" w14:textId="77777777" w:rsidR="00EF0078" w:rsidRPr="00D067E9" w:rsidRDefault="00EF0078" w:rsidP="00EA4F34">
      <w:pPr>
        <w:spacing w:line="276" w:lineRule="auto"/>
        <w:rPr>
          <w:rFonts w:ascii="Arial" w:hAnsi="Arial" w:cs="Arial"/>
          <w:color w:val="000000" w:themeColor="text1"/>
          <w:szCs w:val="21"/>
        </w:rPr>
      </w:pPr>
      <w:r w:rsidRPr="00D067E9">
        <w:rPr>
          <w:rFonts w:ascii="Arial" w:hAnsi="Arial" w:cs="Arial"/>
          <w:b/>
          <w:bCs/>
          <w:color w:val="000000" w:themeColor="text1"/>
          <w:szCs w:val="21"/>
        </w:rPr>
        <w:t>b</w:t>
      </w:r>
      <w:r w:rsidRPr="00D067E9">
        <w:rPr>
          <w:rFonts w:ascii="Arial" w:hAnsi="Arial" w:cs="Arial"/>
          <w:color w:val="000000" w:themeColor="text1"/>
          <w:szCs w:val="21"/>
        </w:rPr>
        <w:t>,</w:t>
      </w:r>
      <w:r w:rsidR="00FD31B6" w:rsidRPr="00D067E9">
        <w:rPr>
          <w:rFonts w:ascii="Arial" w:hAnsi="Arial" w:cs="Arial"/>
          <w:color w:val="000000" w:themeColor="text1"/>
          <w:szCs w:val="21"/>
        </w:rPr>
        <w:t xml:space="preserve"> </w:t>
      </w:r>
      <w:r w:rsidR="00FD31B6" w:rsidRPr="00D067E9">
        <w:rPr>
          <w:rFonts w:ascii="Arial" w:hAnsi="Arial" w:cs="Arial"/>
          <w:i/>
          <w:iCs/>
          <w:color w:val="000000" w:themeColor="text1"/>
          <w:szCs w:val="21"/>
        </w:rPr>
        <w:t>HGT network.</w:t>
      </w:r>
      <w:r w:rsidR="00FD31B6" w:rsidRPr="00D067E9">
        <w:rPr>
          <w:rFonts w:ascii="Arial" w:hAnsi="Arial" w:cs="Arial"/>
          <w:color w:val="000000" w:themeColor="text1"/>
          <w:szCs w:val="21"/>
        </w:rPr>
        <w:t xml:space="preserve"> An inter-species HGT network is built based on at least one HGT event in two species. </w:t>
      </w:r>
      <w:r w:rsidR="00FD31B6" w:rsidRPr="00D067E9">
        <w:rPr>
          <w:rFonts w:ascii="Calibri" w:hAnsi="Calibri" w:cs="Calibri"/>
          <w:color w:val="000000" w:themeColor="text1"/>
          <w:szCs w:val="21"/>
        </w:rPr>
        <w:t>﻿</w:t>
      </w:r>
      <w:r w:rsidR="00FD31B6" w:rsidRPr="00D067E9">
        <w:rPr>
          <w:rFonts w:ascii="Arial" w:hAnsi="Arial" w:cs="Arial"/>
          <w:color w:val="000000" w:themeColor="text1"/>
          <w:szCs w:val="21"/>
        </w:rPr>
        <w:t>Nodes are colored by phylum, sized by betweenness centrality, and labeled by species clade number corresponding to panel A. Species traits are annotated by shapes (motile: down-triangle, none: circle). The nodes of species with gelatin hydrolysis</w:t>
      </w:r>
      <w:r w:rsidR="00FD31B6" w:rsidRPr="00D067E9" w:rsidDel="004B582B">
        <w:rPr>
          <w:rFonts w:ascii="Arial" w:hAnsi="Arial" w:cs="Arial"/>
          <w:color w:val="000000" w:themeColor="text1"/>
          <w:szCs w:val="21"/>
        </w:rPr>
        <w:t xml:space="preserve"> </w:t>
      </w:r>
      <w:r w:rsidR="00FD31B6" w:rsidRPr="00D067E9">
        <w:rPr>
          <w:rFonts w:ascii="Arial" w:hAnsi="Arial" w:cs="Arial"/>
          <w:color w:val="000000" w:themeColor="text1"/>
          <w:szCs w:val="21"/>
        </w:rPr>
        <w:t xml:space="preserve">ability are highlighted in red. </w:t>
      </w:r>
    </w:p>
    <w:p w14:paraId="53857B63" w14:textId="088D88AB" w:rsidR="005F5D8A" w:rsidRPr="00D067E9" w:rsidRDefault="00EF0078" w:rsidP="00EA4F34">
      <w:pPr>
        <w:spacing w:line="276" w:lineRule="auto"/>
        <w:rPr>
          <w:rStyle w:val="normaltextrun"/>
          <w:rFonts w:ascii="Arial" w:hAnsi="Arial" w:cs="Arial"/>
          <w:color w:val="000000"/>
          <w:szCs w:val="21"/>
          <w:shd w:val="clear" w:color="auto" w:fill="FFFFFF"/>
        </w:rPr>
      </w:pPr>
      <w:r w:rsidRPr="00D067E9">
        <w:rPr>
          <w:rFonts w:ascii="Arial" w:hAnsi="Arial" w:cs="Arial"/>
          <w:b/>
          <w:bCs/>
          <w:color w:val="000000" w:themeColor="text1"/>
          <w:szCs w:val="21"/>
        </w:rPr>
        <w:t>c</w:t>
      </w:r>
      <w:r w:rsidRPr="00D067E9">
        <w:rPr>
          <w:rStyle w:val="normaltextrun"/>
          <w:rFonts w:ascii="Arial" w:hAnsi="Arial" w:cs="Arial"/>
          <w:color w:val="000000"/>
          <w:szCs w:val="21"/>
          <w:shd w:val="clear" w:color="auto" w:fill="FFFFFF"/>
        </w:rPr>
        <w:t>,</w:t>
      </w:r>
      <w:r w:rsidR="00EE18A3" w:rsidRPr="00D067E9">
        <w:rPr>
          <w:rStyle w:val="normaltextrun"/>
          <w:rFonts w:ascii="Arial" w:hAnsi="Arial" w:cs="Arial"/>
          <w:color w:val="000000"/>
          <w:szCs w:val="21"/>
          <w:shd w:val="clear" w:color="auto" w:fill="FFFFFF"/>
        </w:rPr>
        <w:t xml:space="preserve"> Association between bacteria</w:t>
      </w:r>
      <w:r w:rsidR="00805ACD" w:rsidRPr="00D067E9">
        <w:rPr>
          <w:rStyle w:val="normaltextrun"/>
          <w:rFonts w:ascii="Arial" w:hAnsi="Arial" w:cs="Arial"/>
          <w:color w:val="000000"/>
          <w:szCs w:val="21"/>
          <w:shd w:val="clear" w:color="auto" w:fill="FFFFFF"/>
        </w:rPr>
        <w:t>l</w:t>
      </w:r>
      <w:r w:rsidR="00EE18A3" w:rsidRPr="00D067E9">
        <w:rPr>
          <w:rStyle w:val="normaltextrun"/>
          <w:rFonts w:ascii="Arial" w:hAnsi="Arial" w:cs="Arial"/>
          <w:color w:val="000000"/>
          <w:szCs w:val="21"/>
          <w:shd w:val="clear" w:color="auto" w:fill="FFFFFF"/>
        </w:rPr>
        <w:t xml:space="preserve"> traits and HGT network degree and betweenness centrality. </w:t>
      </w:r>
      <w:r w:rsidR="00260D0D" w:rsidRPr="00D067E9">
        <w:rPr>
          <w:rStyle w:val="normaltextrun"/>
          <w:rFonts w:ascii="Arial" w:hAnsi="Arial" w:cs="Arial"/>
          <w:color w:val="000000"/>
          <w:szCs w:val="21"/>
          <w:shd w:val="clear" w:color="auto" w:fill="FFFFFF"/>
        </w:rPr>
        <w:t xml:space="preserve">A </w:t>
      </w:r>
      <w:r w:rsidR="00EE18A3" w:rsidRPr="00D067E9">
        <w:rPr>
          <w:rStyle w:val="normaltextrun"/>
          <w:rFonts w:ascii="Arial" w:hAnsi="Arial" w:cs="Arial"/>
          <w:color w:val="000000"/>
          <w:szCs w:val="21"/>
          <w:shd w:val="clear" w:color="auto" w:fill="FFFFFF"/>
        </w:rPr>
        <w:t xml:space="preserve">linear </w:t>
      </w:r>
      <w:r w:rsidR="00DD42B3" w:rsidRPr="00D067E9">
        <w:rPr>
          <w:rStyle w:val="normaltextrun"/>
          <w:rFonts w:ascii="Arial" w:hAnsi="Arial" w:cs="Arial"/>
          <w:color w:val="000000"/>
          <w:szCs w:val="21"/>
          <w:shd w:val="clear" w:color="auto" w:fill="FFFFFF"/>
        </w:rPr>
        <w:t xml:space="preserve">mixed </w:t>
      </w:r>
      <w:r w:rsidR="00EE18A3" w:rsidRPr="00D067E9">
        <w:rPr>
          <w:rStyle w:val="normaltextrun"/>
          <w:rFonts w:ascii="Arial" w:hAnsi="Arial" w:cs="Arial"/>
          <w:color w:val="000000"/>
          <w:szCs w:val="21"/>
          <w:shd w:val="clear" w:color="auto" w:fill="FFFFFF"/>
        </w:rPr>
        <w:t xml:space="preserve">model </w:t>
      </w:r>
      <w:r w:rsidR="00260D0D" w:rsidRPr="00D067E9">
        <w:rPr>
          <w:rStyle w:val="normaltextrun"/>
          <w:rFonts w:ascii="Arial" w:hAnsi="Arial" w:cs="Arial"/>
          <w:color w:val="000000"/>
          <w:szCs w:val="21"/>
          <w:shd w:val="clear" w:color="auto" w:fill="FFFFFF"/>
        </w:rPr>
        <w:t xml:space="preserve">was </w:t>
      </w:r>
      <w:r w:rsidR="00EE18A3" w:rsidRPr="00D067E9">
        <w:rPr>
          <w:rStyle w:val="normaltextrun"/>
          <w:rFonts w:ascii="Arial" w:hAnsi="Arial" w:cs="Arial"/>
          <w:color w:val="000000"/>
          <w:szCs w:val="21"/>
          <w:shd w:val="clear" w:color="auto" w:fill="FFFFFF"/>
        </w:rPr>
        <w:t xml:space="preserve">used to measure the effect of species traits on inter-species HGT network centrality. </w:t>
      </w:r>
      <w:r w:rsidR="00260D0D" w:rsidRPr="00D067E9">
        <w:rPr>
          <w:rStyle w:val="normaltextrun"/>
          <w:rFonts w:ascii="Arial" w:hAnsi="Arial" w:cs="Arial"/>
          <w:color w:val="000000"/>
          <w:szCs w:val="21"/>
          <w:shd w:val="clear" w:color="auto" w:fill="FFFFFF"/>
        </w:rPr>
        <w:t xml:space="preserve">In the model fit, species </w:t>
      </w:r>
      <w:r w:rsidR="00EE18A3" w:rsidRPr="00D067E9">
        <w:rPr>
          <w:rStyle w:val="normaltextrun"/>
          <w:rFonts w:ascii="Arial" w:hAnsi="Arial" w:cs="Arial"/>
          <w:color w:val="000000"/>
          <w:szCs w:val="21"/>
          <w:shd w:val="clear" w:color="auto" w:fill="FFFFFF"/>
        </w:rPr>
        <w:t xml:space="preserve">abundance and phylogeny </w:t>
      </w:r>
      <w:r w:rsidR="00260D0D" w:rsidRPr="00D067E9">
        <w:rPr>
          <w:rStyle w:val="normaltextrun"/>
          <w:rFonts w:ascii="Arial" w:hAnsi="Arial" w:cs="Arial"/>
          <w:color w:val="000000"/>
          <w:szCs w:val="21"/>
          <w:shd w:val="clear" w:color="auto" w:fill="FFFFFF"/>
        </w:rPr>
        <w:t xml:space="preserve">are </w:t>
      </w:r>
      <w:r w:rsidR="00EE18A3" w:rsidRPr="00D067E9">
        <w:rPr>
          <w:rStyle w:val="normaltextrun"/>
          <w:rFonts w:ascii="Arial" w:hAnsi="Arial" w:cs="Arial"/>
          <w:color w:val="000000"/>
          <w:szCs w:val="21"/>
          <w:shd w:val="clear" w:color="auto" w:fill="FFFFFF"/>
        </w:rPr>
        <w:t>corrected for the influence of bacteria</w:t>
      </w:r>
      <w:r w:rsidR="00805ACD" w:rsidRPr="00D067E9">
        <w:rPr>
          <w:rStyle w:val="normaltextrun"/>
          <w:rFonts w:ascii="Arial" w:hAnsi="Arial" w:cs="Arial"/>
          <w:color w:val="000000"/>
          <w:szCs w:val="21"/>
          <w:shd w:val="clear" w:color="auto" w:fill="FFFFFF"/>
        </w:rPr>
        <w:t>l</w:t>
      </w:r>
      <w:r w:rsidR="00EE18A3" w:rsidRPr="00D067E9">
        <w:rPr>
          <w:rStyle w:val="normaltextrun"/>
          <w:rFonts w:ascii="Arial" w:hAnsi="Arial" w:cs="Arial"/>
          <w:color w:val="000000"/>
          <w:szCs w:val="21"/>
          <w:shd w:val="clear" w:color="auto" w:fill="FFFFFF"/>
        </w:rPr>
        <w:t xml:space="preserve"> traits on HGT network centrality (see Methods</w:t>
      </w:r>
      <w:r w:rsidR="00D30840" w:rsidRPr="00D067E9">
        <w:rPr>
          <w:rStyle w:val="normaltextrun"/>
          <w:rFonts w:ascii="Arial" w:hAnsi="Arial" w:cs="Arial"/>
          <w:color w:val="000000"/>
          <w:szCs w:val="21"/>
          <w:shd w:val="clear" w:color="auto" w:fill="FFFFFF"/>
        </w:rPr>
        <w:t xml:space="preserve">, </w:t>
      </w:r>
      <w:r w:rsidR="00EE18A3" w:rsidRPr="00D067E9">
        <w:rPr>
          <w:rStyle w:val="normaltextrun"/>
          <w:rFonts w:ascii="Arial" w:hAnsi="Arial" w:cs="Arial"/>
          <w:color w:val="000000"/>
          <w:szCs w:val="21"/>
          <w:shd w:val="clear" w:color="auto" w:fill="FFFFFF"/>
        </w:rPr>
        <w:t xml:space="preserve">Significance ** </w:t>
      </w:r>
      <w:r w:rsidR="00EE18A3" w:rsidRPr="00D067E9">
        <w:rPr>
          <w:rStyle w:val="normaltextrun"/>
          <w:rFonts w:ascii="Arial" w:hAnsi="Arial" w:cs="Arial"/>
          <w:i/>
          <w:iCs/>
          <w:color w:val="000000"/>
          <w:szCs w:val="21"/>
          <w:shd w:val="clear" w:color="auto" w:fill="FFFFFF"/>
        </w:rPr>
        <w:t>p</w:t>
      </w:r>
      <w:r w:rsidR="00EE18A3" w:rsidRPr="00D067E9">
        <w:rPr>
          <w:rStyle w:val="normaltextrun"/>
          <w:rFonts w:ascii="Arial" w:hAnsi="Arial" w:cs="Arial"/>
          <w:color w:val="000000"/>
          <w:szCs w:val="21"/>
          <w:shd w:val="clear" w:color="auto" w:fill="FFFFFF"/>
        </w:rPr>
        <w:t xml:space="preserve">-value &lt; 0.01, * </w:t>
      </w:r>
      <w:r w:rsidR="00EE18A3" w:rsidRPr="00D067E9">
        <w:rPr>
          <w:rStyle w:val="normaltextrun"/>
          <w:rFonts w:ascii="Arial" w:hAnsi="Arial" w:cs="Arial"/>
          <w:i/>
          <w:iCs/>
          <w:color w:val="000000"/>
          <w:szCs w:val="21"/>
          <w:shd w:val="clear" w:color="auto" w:fill="FFFFFF"/>
        </w:rPr>
        <w:t>p</w:t>
      </w:r>
      <w:r w:rsidR="00EE18A3" w:rsidRPr="00D067E9">
        <w:rPr>
          <w:rStyle w:val="normaltextrun"/>
          <w:rFonts w:ascii="Arial" w:hAnsi="Arial" w:cs="Arial"/>
          <w:color w:val="000000"/>
          <w:szCs w:val="21"/>
          <w:shd w:val="clear" w:color="auto" w:fill="FFFFFF"/>
        </w:rPr>
        <w:t>-value &lt; 0.05)</w:t>
      </w:r>
      <w:r w:rsidR="00260D0D" w:rsidRPr="00D067E9">
        <w:rPr>
          <w:rStyle w:val="normaltextrun"/>
          <w:rFonts w:ascii="Arial" w:hAnsi="Arial" w:cs="Arial"/>
          <w:color w:val="000000"/>
          <w:szCs w:val="21"/>
          <w:shd w:val="clear" w:color="auto" w:fill="FFFFFF"/>
        </w:rPr>
        <w:t>.</w:t>
      </w:r>
    </w:p>
    <w:p w14:paraId="3DBCBBAA" w14:textId="334CAC9F" w:rsidR="009009C3" w:rsidRPr="00D067E9" w:rsidRDefault="00BA11B9" w:rsidP="00EA4F34">
      <w:pPr>
        <w:spacing w:line="276" w:lineRule="auto"/>
        <w:rPr>
          <w:rFonts w:ascii="Arial" w:hAnsi="Arial" w:cs="Arial"/>
          <w:b/>
          <w:bCs/>
        </w:rPr>
      </w:pPr>
      <w:r w:rsidRPr="00D067E9">
        <w:rPr>
          <w:rFonts w:ascii="Arial" w:hAnsi="Arial" w:cs="Arial"/>
          <w:b/>
          <w:bCs/>
          <w:noProof/>
        </w:rPr>
        <w:lastRenderedPageBreak/>
        <w:drawing>
          <wp:inline distT="0" distB="0" distL="0" distR="0" wp14:anchorId="1F872D20" wp14:editId="29421524">
            <wp:extent cx="5274310" cy="5247005"/>
            <wp:effectExtent l="0" t="0" r="0" b="0"/>
            <wp:docPr id="12418740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74066" name="图片 1241874066"/>
                    <pic:cNvPicPr/>
                  </pic:nvPicPr>
                  <pic:blipFill>
                    <a:blip r:embed="rId16"/>
                    <a:stretch>
                      <a:fillRect/>
                    </a:stretch>
                  </pic:blipFill>
                  <pic:spPr>
                    <a:xfrm>
                      <a:off x="0" y="0"/>
                      <a:ext cx="5274310" cy="5247005"/>
                    </a:xfrm>
                    <a:prstGeom prst="rect">
                      <a:avLst/>
                    </a:prstGeom>
                  </pic:spPr>
                </pic:pic>
              </a:graphicData>
            </a:graphic>
          </wp:inline>
        </w:drawing>
      </w:r>
    </w:p>
    <w:p w14:paraId="65C65545" w14:textId="57A42ED4" w:rsidR="009009C3" w:rsidRPr="00D067E9" w:rsidRDefault="009009C3" w:rsidP="00D067E9">
      <w:pPr>
        <w:pStyle w:val="af4"/>
        <w:rPr>
          <w:rStyle w:val="normaltextrun"/>
          <w:rFonts w:ascii="Arial" w:hAnsi="Arial" w:cs="Arial"/>
          <w:color w:val="000000"/>
          <w:szCs w:val="21"/>
          <w:shd w:val="clear" w:color="auto" w:fill="FFFFFF"/>
        </w:rPr>
      </w:pPr>
      <w:bookmarkStart w:id="18" w:name="_Toc195882824"/>
      <w:r w:rsidRPr="00FB52D0">
        <w:rPr>
          <w:rStyle w:val="20"/>
          <w:rFonts w:ascii="Arial" w:hAnsi="Arial" w:cs="Arial"/>
          <w:sz w:val="21"/>
          <w:szCs w:val="21"/>
        </w:rPr>
        <w:t>Fig</w:t>
      </w:r>
      <w:r w:rsidR="00EF0078" w:rsidRPr="00FB52D0">
        <w:rPr>
          <w:rStyle w:val="20"/>
          <w:rFonts w:ascii="Arial" w:hAnsi="Arial" w:cs="Arial"/>
          <w:sz w:val="21"/>
          <w:szCs w:val="21"/>
        </w:rPr>
        <w:t>.</w:t>
      </w:r>
      <w:r w:rsidRPr="00FB52D0">
        <w:rPr>
          <w:rStyle w:val="20"/>
          <w:rFonts w:ascii="Arial" w:hAnsi="Arial" w:cs="Arial"/>
          <w:sz w:val="21"/>
          <w:szCs w:val="21"/>
        </w:rPr>
        <w:t xml:space="preserve"> S</w:t>
      </w:r>
      <w:r w:rsidR="00313264" w:rsidRPr="00FB52D0">
        <w:rPr>
          <w:rStyle w:val="20"/>
          <w:rFonts w:ascii="Arial" w:hAnsi="Arial" w:cs="Arial"/>
          <w:sz w:val="21"/>
          <w:szCs w:val="21"/>
        </w:rPr>
        <w:t>6</w:t>
      </w:r>
      <w:r w:rsidRPr="00FB52D0">
        <w:rPr>
          <w:rStyle w:val="20"/>
          <w:rFonts w:ascii="Arial" w:hAnsi="Arial" w:cs="Arial"/>
          <w:sz w:val="21"/>
          <w:szCs w:val="21"/>
        </w:rPr>
        <w:t>. Antimicrobial peptide resistance genes (AMPRs) and virulence factors (VFs) are enriched in closely related communities with frequent gene transfer.</w:t>
      </w:r>
      <w:bookmarkEnd w:id="18"/>
      <w:r w:rsidRPr="00FB52D0">
        <w:rPr>
          <w:rStyle w:val="20"/>
          <w:rFonts w:ascii="Arial" w:hAnsi="Arial" w:cs="Arial"/>
          <w:sz w:val="21"/>
          <w:szCs w:val="21"/>
        </w:rPr>
        <w:t xml:space="preserve"> </w:t>
      </w:r>
      <w:r w:rsidRPr="00D067E9">
        <w:rPr>
          <w:rStyle w:val="normaltextrun"/>
          <w:rFonts w:ascii="Arial" w:hAnsi="Arial" w:cs="Arial"/>
          <w:color w:val="000000"/>
          <w:szCs w:val="21"/>
          <w:shd w:val="clear" w:color="auto" w:fill="FFFFFF"/>
        </w:rPr>
        <w:t xml:space="preserve">The </w:t>
      </w:r>
      <w:r w:rsidR="00BC077F" w:rsidRPr="00D067E9">
        <w:rPr>
          <w:rStyle w:val="normaltextrun"/>
          <w:rFonts w:ascii="Arial" w:hAnsi="Arial" w:cs="Arial"/>
          <w:color w:val="000000"/>
          <w:szCs w:val="21"/>
          <w:shd w:val="clear" w:color="auto" w:fill="FFFFFF"/>
        </w:rPr>
        <w:t>heatmap</w:t>
      </w:r>
      <w:r w:rsidR="00CA52C9" w:rsidRPr="00D067E9">
        <w:rPr>
          <w:rStyle w:val="normaltextrun"/>
          <w:rFonts w:ascii="Arial" w:hAnsi="Arial" w:cs="Arial"/>
          <w:color w:val="000000"/>
          <w:szCs w:val="21"/>
          <w:shd w:val="clear" w:color="auto" w:fill="FFFFFF"/>
        </w:rPr>
        <w:t xml:space="preserve"> indicates </w:t>
      </w:r>
      <w:r w:rsidRPr="00D067E9">
        <w:rPr>
          <w:rStyle w:val="normaltextrun"/>
          <w:rFonts w:ascii="Arial" w:hAnsi="Arial" w:cs="Arial"/>
          <w:color w:val="000000"/>
          <w:szCs w:val="21"/>
          <w:shd w:val="clear" w:color="auto" w:fill="FFFFFF"/>
        </w:rPr>
        <w:t xml:space="preserve">number of ARGs, AMPs, and VFs per 1k genes and the proportion of </w:t>
      </w:r>
      <w:proofErr w:type="spellStart"/>
      <w:r w:rsidRPr="00D067E9">
        <w:rPr>
          <w:rStyle w:val="normaltextrun"/>
          <w:rFonts w:ascii="Arial" w:hAnsi="Arial" w:cs="Arial"/>
          <w:color w:val="000000"/>
          <w:szCs w:val="21"/>
          <w:shd w:val="clear" w:color="auto" w:fill="FFFFFF"/>
        </w:rPr>
        <w:t>CAZy</w:t>
      </w:r>
      <w:proofErr w:type="spellEnd"/>
      <w:r w:rsidRPr="00D067E9">
        <w:rPr>
          <w:rStyle w:val="normaltextrun"/>
          <w:rFonts w:ascii="Arial" w:hAnsi="Arial" w:cs="Arial"/>
          <w:color w:val="000000"/>
          <w:szCs w:val="21"/>
          <w:shd w:val="clear" w:color="auto" w:fill="FFFFFF"/>
        </w:rPr>
        <w:t xml:space="preserve"> function of each species</w:t>
      </w:r>
      <w:r w:rsidR="006737F6" w:rsidRPr="00D067E9">
        <w:rPr>
          <w:rStyle w:val="normaltextrun"/>
          <w:rFonts w:ascii="Arial" w:hAnsi="Arial" w:cs="Arial"/>
          <w:color w:val="000000"/>
          <w:szCs w:val="21"/>
          <w:shd w:val="clear" w:color="auto" w:fill="FFFFFF"/>
        </w:rPr>
        <w:t>’</w:t>
      </w:r>
      <w:r w:rsidRPr="00D067E9">
        <w:rPr>
          <w:rStyle w:val="normaltextrun"/>
          <w:rFonts w:ascii="Arial" w:hAnsi="Arial" w:cs="Arial"/>
          <w:color w:val="000000"/>
          <w:szCs w:val="21"/>
          <w:shd w:val="clear" w:color="auto" w:fill="FFFFFF"/>
        </w:rPr>
        <w:t xml:space="preserve"> pangenome. Rows representing species </w:t>
      </w:r>
      <w:r w:rsidR="00260D0D" w:rsidRPr="00D067E9">
        <w:rPr>
          <w:rStyle w:val="normaltextrun"/>
          <w:rFonts w:ascii="Arial" w:hAnsi="Arial" w:cs="Arial"/>
          <w:color w:val="000000"/>
          <w:szCs w:val="21"/>
          <w:shd w:val="clear" w:color="auto" w:fill="FFFFFF"/>
        </w:rPr>
        <w:t xml:space="preserve">are </w:t>
      </w:r>
      <w:r w:rsidRPr="00D067E9">
        <w:rPr>
          <w:rStyle w:val="normaltextrun"/>
          <w:rFonts w:ascii="Arial" w:hAnsi="Arial" w:cs="Arial"/>
          <w:color w:val="000000"/>
          <w:szCs w:val="21"/>
          <w:shd w:val="clear" w:color="auto" w:fill="FFFFFF"/>
        </w:rPr>
        <w:t>split by their community classification. The phylum classification is indicated at right.</w:t>
      </w:r>
    </w:p>
    <w:p w14:paraId="04C2246B" w14:textId="01B44A2F" w:rsidR="00313264" w:rsidRPr="00D067E9" w:rsidRDefault="00BA11B9" w:rsidP="00EA4F34">
      <w:pPr>
        <w:spacing w:line="276" w:lineRule="auto"/>
        <w:rPr>
          <w:rFonts w:ascii="Arial" w:hAnsi="Arial" w:cs="Arial"/>
        </w:rPr>
      </w:pPr>
      <w:r w:rsidRPr="00D067E9">
        <w:rPr>
          <w:rFonts w:ascii="Arial" w:hAnsi="Arial" w:cs="Arial"/>
          <w:noProof/>
        </w:rPr>
        <w:lastRenderedPageBreak/>
        <w:drawing>
          <wp:inline distT="0" distB="0" distL="0" distR="0" wp14:anchorId="7C8EA2B8" wp14:editId="05B31489">
            <wp:extent cx="5274310" cy="4102100"/>
            <wp:effectExtent l="0" t="0" r="0" b="0"/>
            <wp:docPr id="2810393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39398" name="图片 281039398"/>
                    <pic:cNvPicPr/>
                  </pic:nvPicPr>
                  <pic:blipFill>
                    <a:blip r:embed="rId17"/>
                    <a:stretch>
                      <a:fillRect/>
                    </a:stretch>
                  </pic:blipFill>
                  <pic:spPr>
                    <a:xfrm>
                      <a:off x="0" y="0"/>
                      <a:ext cx="5274310" cy="4102100"/>
                    </a:xfrm>
                    <a:prstGeom prst="rect">
                      <a:avLst/>
                    </a:prstGeom>
                  </pic:spPr>
                </pic:pic>
              </a:graphicData>
            </a:graphic>
          </wp:inline>
        </w:drawing>
      </w:r>
    </w:p>
    <w:p w14:paraId="1C7D1641" w14:textId="710B8EDC" w:rsidR="002C0388" w:rsidRPr="00D067E9" w:rsidRDefault="00313264" w:rsidP="00D067E9">
      <w:pPr>
        <w:pStyle w:val="af4"/>
        <w:rPr>
          <w:rFonts w:ascii="Arial" w:hAnsi="Arial" w:cs="Arial"/>
          <w:sz w:val="24"/>
        </w:rPr>
        <w:sectPr w:rsidR="002C0388" w:rsidRPr="00D067E9">
          <w:pgSz w:w="11906" w:h="16838"/>
          <w:pgMar w:top="1440" w:right="1800" w:bottom="1440" w:left="1800" w:header="851" w:footer="992" w:gutter="0"/>
          <w:cols w:space="425"/>
          <w:docGrid w:type="lines" w:linePitch="312"/>
        </w:sectPr>
      </w:pPr>
      <w:bookmarkStart w:id="19" w:name="_Toc195882825"/>
      <w:r w:rsidRPr="00FB52D0">
        <w:rPr>
          <w:rStyle w:val="20"/>
          <w:rFonts w:ascii="Arial" w:hAnsi="Arial" w:cs="Arial"/>
          <w:sz w:val="21"/>
          <w:szCs w:val="21"/>
        </w:rPr>
        <w:t>Fig</w:t>
      </w:r>
      <w:r w:rsidR="00EF0078" w:rsidRPr="00FB52D0">
        <w:rPr>
          <w:rStyle w:val="20"/>
          <w:rFonts w:ascii="Arial" w:hAnsi="Arial" w:cs="Arial"/>
          <w:sz w:val="21"/>
          <w:szCs w:val="21"/>
        </w:rPr>
        <w:t>.</w:t>
      </w:r>
      <w:r w:rsidRPr="00FB52D0">
        <w:rPr>
          <w:rStyle w:val="20"/>
          <w:rFonts w:ascii="Arial" w:hAnsi="Arial" w:cs="Arial"/>
          <w:sz w:val="21"/>
          <w:szCs w:val="21"/>
        </w:rPr>
        <w:t xml:space="preserve"> S7. </w:t>
      </w:r>
      <w:r w:rsidR="006737F6" w:rsidRPr="00FB52D0">
        <w:rPr>
          <w:rStyle w:val="20"/>
          <w:rFonts w:ascii="Arial" w:hAnsi="Arial" w:cs="Arial"/>
          <w:sz w:val="21"/>
          <w:szCs w:val="21"/>
        </w:rPr>
        <w:t xml:space="preserve">Temporal change in </w:t>
      </w:r>
      <w:r w:rsidRPr="00FB52D0">
        <w:rPr>
          <w:rStyle w:val="20"/>
          <w:rFonts w:ascii="Arial" w:hAnsi="Arial" w:cs="Arial"/>
          <w:sz w:val="21"/>
          <w:szCs w:val="21"/>
        </w:rPr>
        <w:t>HGT segments.</w:t>
      </w:r>
      <w:bookmarkEnd w:id="19"/>
      <w:r w:rsidRPr="00D067E9">
        <w:rPr>
          <w:rFonts w:ascii="Arial" w:hAnsi="Arial" w:cs="Arial"/>
        </w:rPr>
        <w:t xml:space="preserve"> </w:t>
      </w:r>
      <w:r w:rsidR="006737F6" w:rsidRPr="00D067E9">
        <w:rPr>
          <w:rFonts w:ascii="Arial" w:hAnsi="Arial" w:cs="Arial"/>
        </w:rPr>
        <w:t>Heatmap shows the g</w:t>
      </w:r>
      <w:r w:rsidRPr="00D067E9">
        <w:rPr>
          <w:rFonts w:ascii="Arial" w:hAnsi="Arial" w:cs="Arial"/>
        </w:rPr>
        <w:t xml:space="preserve">ain (orange) </w:t>
      </w:r>
      <w:r w:rsidR="006737F6" w:rsidRPr="00D067E9">
        <w:rPr>
          <w:rFonts w:ascii="Arial" w:hAnsi="Arial" w:cs="Arial"/>
        </w:rPr>
        <w:t xml:space="preserve">or </w:t>
      </w:r>
      <w:r w:rsidR="00260D0D" w:rsidRPr="00D067E9">
        <w:rPr>
          <w:rFonts w:ascii="Arial" w:hAnsi="Arial" w:cs="Arial"/>
        </w:rPr>
        <w:t xml:space="preserve">loss </w:t>
      </w:r>
      <w:r w:rsidRPr="00D067E9">
        <w:rPr>
          <w:rFonts w:ascii="Arial" w:hAnsi="Arial" w:cs="Arial"/>
        </w:rPr>
        <w:t xml:space="preserve">(blue) of HGTs in </w:t>
      </w:r>
      <w:proofErr w:type="gramStart"/>
      <w:r w:rsidRPr="00D067E9">
        <w:rPr>
          <w:rFonts w:ascii="Arial" w:hAnsi="Arial" w:cs="Arial"/>
        </w:rPr>
        <w:t>each individual</w:t>
      </w:r>
      <w:proofErr w:type="gramEnd"/>
      <w:r w:rsidRPr="00D067E9">
        <w:rPr>
          <w:rFonts w:ascii="Arial" w:hAnsi="Arial" w:cs="Arial"/>
        </w:rPr>
        <w:t xml:space="preserve"> after 4 years. White indicates no change. Gray indicates NA. Species information is annotated at right.</w:t>
      </w:r>
      <w:r w:rsidRPr="00D067E9">
        <w:rPr>
          <w:rFonts w:ascii="Arial" w:hAnsi="Arial" w:cs="Arial"/>
          <w:sz w:val="24"/>
        </w:rPr>
        <w:t xml:space="preserve"> </w:t>
      </w:r>
    </w:p>
    <w:p w14:paraId="1313C826" w14:textId="691845C6" w:rsidR="0091656D" w:rsidRPr="00D067E9" w:rsidRDefault="001E55C5" w:rsidP="00FB52D0">
      <w:pPr>
        <w:pStyle w:val="1"/>
        <w:rPr>
          <w:rFonts w:ascii="Arial" w:hAnsi="Arial" w:cs="Arial"/>
          <w:sz w:val="24"/>
        </w:rPr>
      </w:pPr>
      <w:bookmarkStart w:id="20" w:name="_Toc195882163"/>
      <w:bookmarkStart w:id="21" w:name="_Toc195882826"/>
      <w:r w:rsidRPr="00D067E9">
        <w:rPr>
          <w:rFonts w:ascii="Arial" w:hAnsi="Arial" w:cs="Arial"/>
          <w:sz w:val="24"/>
          <w:szCs w:val="24"/>
        </w:rPr>
        <w:lastRenderedPageBreak/>
        <w:t>References</w:t>
      </w:r>
      <w:bookmarkEnd w:id="20"/>
      <w:bookmarkEnd w:id="21"/>
    </w:p>
    <w:p w14:paraId="5D13E715" w14:textId="0F2A2279" w:rsidR="001A26D3" w:rsidRPr="001A26D3" w:rsidRDefault="005F5D8A" w:rsidP="001A26D3">
      <w:pPr>
        <w:pStyle w:val="EndNoteBibliography"/>
        <w:ind w:left="720" w:hanging="720"/>
        <w:rPr>
          <w:noProof/>
        </w:rPr>
      </w:pPr>
      <w:r w:rsidRPr="00D067E9">
        <w:rPr>
          <w:sz w:val="24"/>
        </w:rPr>
        <w:fldChar w:fldCharType="begin"/>
      </w:r>
      <w:r w:rsidRPr="00D067E9">
        <w:rPr>
          <w:sz w:val="24"/>
        </w:rPr>
        <w:instrText xml:space="preserve"> ADDIN EN.REFLIST </w:instrText>
      </w:r>
      <w:r w:rsidRPr="00D067E9">
        <w:rPr>
          <w:sz w:val="24"/>
        </w:rPr>
        <w:fldChar w:fldCharType="separate"/>
      </w:r>
      <w:r w:rsidR="001A26D3" w:rsidRPr="001A26D3">
        <w:rPr>
          <w:noProof/>
        </w:rPr>
        <w:t>1</w:t>
      </w:r>
      <w:r w:rsidR="001A26D3" w:rsidRPr="001A26D3">
        <w:rPr>
          <w:noProof/>
        </w:rPr>
        <w:tab/>
        <w:t xml:space="preserve">Trappe, K., Marschall, T. &amp; Renard, B. Y. Detecting horizontal gene transfer by mapping sequencing reads across species boundaries. </w:t>
      </w:r>
      <w:r w:rsidR="001A26D3" w:rsidRPr="001A26D3">
        <w:rPr>
          <w:i/>
          <w:noProof/>
        </w:rPr>
        <w:t>Bioinformatics</w:t>
      </w:r>
      <w:r w:rsidR="001A26D3" w:rsidRPr="001A26D3">
        <w:rPr>
          <w:noProof/>
        </w:rPr>
        <w:t xml:space="preserve"> </w:t>
      </w:r>
      <w:r w:rsidR="001A26D3" w:rsidRPr="001A26D3">
        <w:rPr>
          <w:b/>
          <w:noProof/>
        </w:rPr>
        <w:t>32</w:t>
      </w:r>
      <w:r w:rsidR="001A26D3" w:rsidRPr="001A26D3">
        <w:rPr>
          <w:noProof/>
        </w:rPr>
        <w:t xml:space="preserve">, i595-i604 (2016). </w:t>
      </w:r>
      <w:hyperlink r:id="rId18" w:history="1">
        <w:r w:rsidR="001A26D3" w:rsidRPr="001A26D3">
          <w:rPr>
            <w:rStyle w:val="aa"/>
            <w:noProof/>
          </w:rPr>
          <w:t>https://doi.org/10.1093/bioinformatics/btw423</w:t>
        </w:r>
      </w:hyperlink>
    </w:p>
    <w:p w14:paraId="183E1ED1" w14:textId="77777777" w:rsidR="001A26D3" w:rsidRPr="001A26D3" w:rsidRDefault="001A26D3" w:rsidP="001A26D3">
      <w:pPr>
        <w:pStyle w:val="EndNoteBibliography"/>
        <w:ind w:left="720" w:hanging="720"/>
        <w:rPr>
          <w:noProof/>
        </w:rPr>
      </w:pPr>
      <w:r w:rsidRPr="001A26D3">
        <w:rPr>
          <w:noProof/>
        </w:rPr>
        <w:t>2</w:t>
      </w:r>
      <w:r w:rsidRPr="001A26D3">
        <w:rPr>
          <w:noProof/>
        </w:rPr>
        <w:tab/>
        <w:t xml:space="preserve">Li, C., Jiang, Y. &amp; Li, S. LEMON: a method to construct the local strains at horizontal gene transfer sites in gut metagenomics. </w:t>
      </w:r>
      <w:r w:rsidRPr="001A26D3">
        <w:rPr>
          <w:i/>
          <w:noProof/>
        </w:rPr>
        <w:t>BMC bioinformatics</w:t>
      </w:r>
      <w:r w:rsidRPr="001A26D3">
        <w:rPr>
          <w:noProof/>
        </w:rPr>
        <w:t xml:space="preserve"> </w:t>
      </w:r>
      <w:r w:rsidRPr="001A26D3">
        <w:rPr>
          <w:b/>
          <w:noProof/>
        </w:rPr>
        <w:t>20</w:t>
      </w:r>
      <w:r w:rsidRPr="001A26D3">
        <w:rPr>
          <w:noProof/>
        </w:rPr>
        <w:t xml:space="preserve">, 702 (2019). </w:t>
      </w:r>
    </w:p>
    <w:p w14:paraId="0FCC2133" w14:textId="61E19EA0" w:rsidR="001A26D3" w:rsidRPr="001A26D3" w:rsidRDefault="001A26D3" w:rsidP="001A26D3">
      <w:pPr>
        <w:pStyle w:val="EndNoteBibliography"/>
        <w:ind w:left="720" w:hanging="720"/>
        <w:rPr>
          <w:noProof/>
        </w:rPr>
      </w:pPr>
      <w:r w:rsidRPr="001A26D3">
        <w:rPr>
          <w:noProof/>
        </w:rPr>
        <w:t>3</w:t>
      </w:r>
      <w:r w:rsidRPr="001A26D3">
        <w:rPr>
          <w:noProof/>
        </w:rPr>
        <w:tab/>
        <w:t xml:space="preserve">Song, W., Wemheuer, B., Zhang, S., Steensen, K. &amp; Thomas, T. MetaCHIP: community-level horizontal gene transfer identification through the combination of best-match and phylogenetic approaches. </w:t>
      </w:r>
      <w:r w:rsidRPr="001A26D3">
        <w:rPr>
          <w:i/>
          <w:noProof/>
        </w:rPr>
        <w:t>Microbiome</w:t>
      </w:r>
      <w:r w:rsidRPr="001A26D3">
        <w:rPr>
          <w:noProof/>
        </w:rPr>
        <w:t xml:space="preserve"> </w:t>
      </w:r>
      <w:r w:rsidRPr="001A26D3">
        <w:rPr>
          <w:b/>
          <w:noProof/>
        </w:rPr>
        <w:t>7</w:t>
      </w:r>
      <w:r w:rsidRPr="001A26D3">
        <w:rPr>
          <w:noProof/>
        </w:rPr>
        <w:t xml:space="preserve"> (2019). </w:t>
      </w:r>
      <w:hyperlink r:id="rId19" w:history="1">
        <w:r w:rsidRPr="001A26D3">
          <w:rPr>
            <w:rStyle w:val="aa"/>
            <w:noProof/>
          </w:rPr>
          <w:t>https://doi.org/10.1186/s40168-019-0649-y</w:t>
        </w:r>
      </w:hyperlink>
    </w:p>
    <w:p w14:paraId="76C21DCB" w14:textId="3E0A320D" w:rsidR="001A26D3" w:rsidRPr="001A26D3" w:rsidRDefault="001A26D3" w:rsidP="001A26D3">
      <w:pPr>
        <w:pStyle w:val="EndNoteBibliography"/>
        <w:ind w:left="720" w:hanging="720"/>
        <w:rPr>
          <w:noProof/>
        </w:rPr>
      </w:pPr>
      <w:r w:rsidRPr="001A26D3">
        <w:rPr>
          <w:noProof/>
        </w:rPr>
        <w:t>4</w:t>
      </w:r>
      <w:r w:rsidRPr="001A26D3">
        <w:rPr>
          <w:noProof/>
        </w:rPr>
        <w:tab/>
        <w:t>Hsu, T. Y.</w:t>
      </w:r>
      <w:r w:rsidRPr="001A26D3">
        <w:rPr>
          <w:i/>
          <w:noProof/>
        </w:rPr>
        <w:t xml:space="preserve"> et al.</w:t>
      </w:r>
      <w:r w:rsidRPr="001A26D3">
        <w:rPr>
          <w:noProof/>
        </w:rPr>
        <w:t xml:space="preserve"> Profiling lateral gene transfer events in the human microbiome using WAAFLE. </w:t>
      </w:r>
      <w:r w:rsidRPr="001A26D3">
        <w:rPr>
          <w:i/>
          <w:noProof/>
        </w:rPr>
        <w:t>Nature Microbiology</w:t>
      </w:r>
      <w:r w:rsidRPr="001A26D3">
        <w:rPr>
          <w:noProof/>
        </w:rPr>
        <w:t xml:space="preserve"> (2025). </w:t>
      </w:r>
      <w:hyperlink r:id="rId20" w:history="1">
        <w:r w:rsidRPr="001A26D3">
          <w:rPr>
            <w:rStyle w:val="aa"/>
            <w:noProof/>
          </w:rPr>
          <w:t>https://doi.org/10.1038/s41564-024-01881-w</w:t>
        </w:r>
      </w:hyperlink>
    </w:p>
    <w:p w14:paraId="1A71B9A2" w14:textId="5A624A9F" w:rsidR="001A26D3" w:rsidRPr="001A26D3" w:rsidRDefault="001A26D3" w:rsidP="001A26D3">
      <w:pPr>
        <w:pStyle w:val="EndNoteBibliography"/>
        <w:ind w:left="720" w:hanging="720"/>
        <w:rPr>
          <w:noProof/>
        </w:rPr>
      </w:pPr>
      <w:r w:rsidRPr="001A26D3">
        <w:rPr>
          <w:noProof/>
        </w:rPr>
        <w:t>5</w:t>
      </w:r>
      <w:r w:rsidRPr="001A26D3">
        <w:rPr>
          <w:noProof/>
        </w:rPr>
        <w:tab/>
        <w:t>Finn, R. D.</w:t>
      </w:r>
      <w:r w:rsidRPr="001A26D3">
        <w:rPr>
          <w:i/>
          <w:noProof/>
        </w:rPr>
        <w:t xml:space="preserve"> et al.</w:t>
      </w:r>
      <w:r w:rsidRPr="001A26D3">
        <w:rPr>
          <w:noProof/>
        </w:rPr>
        <w:t xml:space="preserve"> Pfam: the protein families database. </w:t>
      </w:r>
      <w:r w:rsidRPr="001A26D3">
        <w:rPr>
          <w:i/>
          <w:noProof/>
        </w:rPr>
        <w:t>Nucleic Acids Res</w:t>
      </w:r>
      <w:r w:rsidRPr="001A26D3">
        <w:rPr>
          <w:noProof/>
        </w:rPr>
        <w:t xml:space="preserve"> </w:t>
      </w:r>
      <w:r w:rsidRPr="001A26D3">
        <w:rPr>
          <w:b/>
          <w:noProof/>
        </w:rPr>
        <w:t>42</w:t>
      </w:r>
      <w:r w:rsidRPr="001A26D3">
        <w:rPr>
          <w:noProof/>
        </w:rPr>
        <w:t xml:space="preserve">, D222-230 (2014). </w:t>
      </w:r>
      <w:hyperlink r:id="rId21" w:history="1">
        <w:r w:rsidRPr="001A26D3">
          <w:rPr>
            <w:rStyle w:val="aa"/>
            <w:noProof/>
          </w:rPr>
          <w:t>https://doi.org/10.1093/nar/gkt1223</w:t>
        </w:r>
      </w:hyperlink>
    </w:p>
    <w:p w14:paraId="1EFCCB3A" w14:textId="6628EF0A" w:rsidR="001A26D3" w:rsidRPr="001A26D3" w:rsidRDefault="001A26D3" w:rsidP="001A26D3">
      <w:pPr>
        <w:pStyle w:val="EndNoteBibliography"/>
        <w:ind w:left="720" w:hanging="720"/>
        <w:rPr>
          <w:noProof/>
        </w:rPr>
      </w:pPr>
      <w:r w:rsidRPr="001A26D3">
        <w:rPr>
          <w:noProof/>
        </w:rPr>
        <w:t>6</w:t>
      </w:r>
      <w:r w:rsidRPr="001A26D3">
        <w:rPr>
          <w:noProof/>
        </w:rPr>
        <w:tab/>
        <w:t>Torres-Puig, S.</w:t>
      </w:r>
      <w:r w:rsidRPr="001A26D3">
        <w:rPr>
          <w:i/>
          <w:noProof/>
        </w:rPr>
        <w:t xml:space="preserve"> et al.</w:t>
      </w:r>
      <w:r w:rsidRPr="001A26D3">
        <w:rPr>
          <w:noProof/>
        </w:rPr>
        <w:t xml:space="preserve"> Activation of σ20-dependent recombination and horizontal gene transfer in Mycoplasma genitalium. </w:t>
      </w:r>
      <w:r w:rsidRPr="001A26D3">
        <w:rPr>
          <w:i/>
          <w:noProof/>
        </w:rPr>
        <w:t>DNA Res</w:t>
      </w:r>
      <w:r w:rsidRPr="001A26D3">
        <w:rPr>
          <w:noProof/>
        </w:rPr>
        <w:t xml:space="preserve"> </w:t>
      </w:r>
      <w:r w:rsidRPr="001A26D3">
        <w:rPr>
          <w:b/>
          <w:noProof/>
        </w:rPr>
        <w:t>25</w:t>
      </w:r>
      <w:r w:rsidRPr="001A26D3">
        <w:rPr>
          <w:noProof/>
        </w:rPr>
        <w:t xml:space="preserve">, 383-393 (2018). </w:t>
      </w:r>
      <w:hyperlink r:id="rId22" w:history="1">
        <w:r w:rsidRPr="001A26D3">
          <w:rPr>
            <w:rStyle w:val="aa"/>
            <w:noProof/>
          </w:rPr>
          <w:t>https://doi.org/10.1093/dnares/dsy011</w:t>
        </w:r>
      </w:hyperlink>
    </w:p>
    <w:p w14:paraId="59D143B8" w14:textId="4D14E6CB" w:rsidR="001A26D3" w:rsidRPr="001A26D3" w:rsidRDefault="001A26D3" w:rsidP="001A26D3">
      <w:pPr>
        <w:pStyle w:val="EndNoteBibliography"/>
        <w:ind w:left="720" w:hanging="720"/>
        <w:rPr>
          <w:noProof/>
        </w:rPr>
      </w:pPr>
      <w:r w:rsidRPr="001A26D3">
        <w:rPr>
          <w:noProof/>
        </w:rPr>
        <w:t>7</w:t>
      </w:r>
      <w:r w:rsidRPr="001A26D3">
        <w:rPr>
          <w:noProof/>
        </w:rPr>
        <w:tab/>
        <w:t>Camargo, A. P.</w:t>
      </w:r>
      <w:r w:rsidRPr="001A26D3">
        <w:rPr>
          <w:i/>
          <w:noProof/>
        </w:rPr>
        <w:t xml:space="preserve"> et al.</w:t>
      </w:r>
      <w:r w:rsidRPr="001A26D3">
        <w:rPr>
          <w:noProof/>
        </w:rPr>
        <w:t xml:space="preserve"> Identification of mobile genetic elements with geNomad. </w:t>
      </w:r>
      <w:r w:rsidRPr="001A26D3">
        <w:rPr>
          <w:i/>
          <w:noProof/>
        </w:rPr>
        <w:t>Nature Biotechnology</w:t>
      </w:r>
      <w:r w:rsidRPr="001A26D3">
        <w:rPr>
          <w:noProof/>
        </w:rPr>
        <w:t xml:space="preserve"> (2023). </w:t>
      </w:r>
      <w:hyperlink r:id="rId23" w:history="1">
        <w:r w:rsidRPr="001A26D3">
          <w:rPr>
            <w:rStyle w:val="aa"/>
            <w:noProof/>
          </w:rPr>
          <w:t>https://doi.org/10.1038/s41587-023-01953-y</w:t>
        </w:r>
      </w:hyperlink>
    </w:p>
    <w:p w14:paraId="7A9CF6FE" w14:textId="04807A3B" w:rsidR="001A26D3" w:rsidRPr="001A26D3" w:rsidRDefault="001A26D3" w:rsidP="001A26D3">
      <w:pPr>
        <w:pStyle w:val="EndNoteBibliography"/>
        <w:ind w:left="720" w:hanging="720"/>
        <w:rPr>
          <w:noProof/>
        </w:rPr>
      </w:pPr>
      <w:r w:rsidRPr="001A26D3">
        <w:rPr>
          <w:noProof/>
        </w:rPr>
        <w:t>8</w:t>
      </w:r>
      <w:r w:rsidRPr="001A26D3">
        <w:rPr>
          <w:noProof/>
        </w:rPr>
        <w:tab/>
        <w:t xml:space="preserve">Butler, M. S., Hansford, K. A., Blaskovich, M. A. T., Halai, R. &amp; Cooper, M. A. Glycopeptide antibiotics: Back to the future. </w:t>
      </w:r>
      <w:r w:rsidRPr="001A26D3">
        <w:rPr>
          <w:i/>
          <w:noProof/>
        </w:rPr>
        <w:t>The Journal of Antibiotics</w:t>
      </w:r>
      <w:r w:rsidRPr="001A26D3">
        <w:rPr>
          <w:noProof/>
        </w:rPr>
        <w:t xml:space="preserve"> </w:t>
      </w:r>
      <w:r w:rsidRPr="001A26D3">
        <w:rPr>
          <w:b/>
          <w:noProof/>
        </w:rPr>
        <w:t>67</w:t>
      </w:r>
      <w:r w:rsidRPr="001A26D3">
        <w:rPr>
          <w:noProof/>
        </w:rPr>
        <w:t xml:space="preserve">, 631-644 (2014). </w:t>
      </w:r>
      <w:hyperlink r:id="rId24" w:history="1">
        <w:r w:rsidRPr="001A26D3">
          <w:rPr>
            <w:rStyle w:val="aa"/>
            <w:noProof/>
          </w:rPr>
          <w:t>https://doi.org/10.1038/ja.2014.111</w:t>
        </w:r>
      </w:hyperlink>
    </w:p>
    <w:p w14:paraId="0407AAC0" w14:textId="29AA9E08" w:rsidR="001A26D3" w:rsidRPr="001A26D3" w:rsidRDefault="001A26D3" w:rsidP="001A26D3">
      <w:pPr>
        <w:pStyle w:val="EndNoteBibliography"/>
        <w:ind w:left="720" w:hanging="720"/>
        <w:rPr>
          <w:noProof/>
        </w:rPr>
      </w:pPr>
      <w:r w:rsidRPr="001A26D3">
        <w:rPr>
          <w:noProof/>
        </w:rPr>
        <w:t>9</w:t>
      </w:r>
      <w:r w:rsidRPr="001A26D3">
        <w:rPr>
          <w:noProof/>
        </w:rPr>
        <w:tab/>
        <w:t>Hsu, T. Y.</w:t>
      </w:r>
      <w:r w:rsidRPr="001A26D3">
        <w:rPr>
          <w:i/>
          <w:noProof/>
        </w:rPr>
        <w:t xml:space="preserve"> et al.</w:t>
      </w:r>
      <w:r w:rsidRPr="001A26D3">
        <w:rPr>
          <w:noProof/>
        </w:rPr>
        <w:t xml:space="preserve"> Profiling novel lateral gene transfer events in the human microbiome. </w:t>
      </w:r>
      <w:r w:rsidRPr="001A26D3">
        <w:rPr>
          <w:i/>
          <w:noProof/>
        </w:rPr>
        <w:t>bioRxiv</w:t>
      </w:r>
      <w:r w:rsidRPr="001A26D3">
        <w:rPr>
          <w:noProof/>
        </w:rPr>
        <w:t xml:space="preserve"> (2023). </w:t>
      </w:r>
      <w:hyperlink r:id="rId25" w:history="1">
        <w:r w:rsidRPr="001A26D3">
          <w:rPr>
            <w:rStyle w:val="aa"/>
            <w:noProof/>
          </w:rPr>
          <w:t>https://doi.org/10.1101/2023.08.08.552500</w:t>
        </w:r>
      </w:hyperlink>
    </w:p>
    <w:p w14:paraId="4A0E5046" w14:textId="6DD1094A" w:rsidR="001A26D3" w:rsidRPr="001A26D3" w:rsidRDefault="001A26D3" w:rsidP="001A26D3">
      <w:pPr>
        <w:pStyle w:val="EndNoteBibliography"/>
        <w:ind w:left="720" w:hanging="720"/>
        <w:rPr>
          <w:noProof/>
        </w:rPr>
      </w:pPr>
      <w:r w:rsidRPr="001A26D3">
        <w:rPr>
          <w:noProof/>
        </w:rPr>
        <w:t>10</w:t>
      </w:r>
      <w:r w:rsidRPr="001A26D3">
        <w:rPr>
          <w:noProof/>
        </w:rPr>
        <w:tab/>
        <w:t>Groussin, M.</w:t>
      </w:r>
      <w:r w:rsidRPr="001A26D3">
        <w:rPr>
          <w:i/>
          <w:noProof/>
        </w:rPr>
        <w:t xml:space="preserve"> et al.</w:t>
      </w:r>
      <w:r w:rsidRPr="001A26D3">
        <w:rPr>
          <w:noProof/>
        </w:rPr>
        <w:t xml:space="preserve"> Elevated rates of horizontal gene transfer in the industrialized human microbiome. </w:t>
      </w:r>
      <w:r w:rsidRPr="001A26D3">
        <w:rPr>
          <w:i/>
          <w:noProof/>
        </w:rPr>
        <w:t>Cell</w:t>
      </w:r>
      <w:r w:rsidRPr="001A26D3">
        <w:rPr>
          <w:noProof/>
        </w:rPr>
        <w:t xml:space="preserve"> </w:t>
      </w:r>
      <w:r w:rsidRPr="001A26D3">
        <w:rPr>
          <w:b/>
          <w:noProof/>
        </w:rPr>
        <w:t>184</w:t>
      </w:r>
      <w:r w:rsidRPr="001A26D3">
        <w:rPr>
          <w:noProof/>
        </w:rPr>
        <w:t xml:space="preserve">, 2053-2067.e2018 (2021). </w:t>
      </w:r>
      <w:hyperlink r:id="rId26" w:history="1">
        <w:r w:rsidRPr="001A26D3">
          <w:rPr>
            <w:rStyle w:val="aa"/>
            <w:noProof/>
          </w:rPr>
          <w:t>https://doi.org/10.1016/j.cell.2021.02.052</w:t>
        </w:r>
      </w:hyperlink>
    </w:p>
    <w:p w14:paraId="5087EAA7" w14:textId="4A2A0BAA" w:rsidR="00C83A90" w:rsidRPr="00D067E9" w:rsidRDefault="005F5D8A" w:rsidP="00EA4F34">
      <w:pPr>
        <w:spacing w:line="276" w:lineRule="auto"/>
        <w:jc w:val="left"/>
        <w:rPr>
          <w:rFonts w:ascii="Arial" w:hAnsi="Arial" w:cs="Arial"/>
          <w:sz w:val="24"/>
        </w:rPr>
      </w:pPr>
      <w:r w:rsidRPr="00D067E9">
        <w:rPr>
          <w:rFonts w:ascii="Arial" w:hAnsi="Arial" w:cs="Arial"/>
          <w:sz w:val="24"/>
        </w:rPr>
        <w:fldChar w:fldCharType="end"/>
      </w:r>
    </w:p>
    <w:sectPr w:rsidR="00C83A90" w:rsidRPr="00D067E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F69D7" w14:textId="77777777" w:rsidR="0097484C" w:rsidRDefault="0097484C" w:rsidP="00313264">
      <w:r>
        <w:separator/>
      </w:r>
    </w:p>
  </w:endnote>
  <w:endnote w:type="continuationSeparator" w:id="0">
    <w:p w14:paraId="49FD10FC" w14:textId="77777777" w:rsidR="0097484C" w:rsidRDefault="0097484C" w:rsidP="00313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51EE4" w14:textId="77777777" w:rsidR="0097484C" w:rsidRDefault="0097484C" w:rsidP="00313264">
      <w:r>
        <w:separator/>
      </w:r>
    </w:p>
  </w:footnote>
  <w:footnote w:type="continuationSeparator" w:id="0">
    <w:p w14:paraId="5DA86031" w14:textId="77777777" w:rsidR="0097484C" w:rsidRDefault="0097484C" w:rsidP="00313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36D11"/>
    <w:multiLevelType w:val="hybridMultilevel"/>
    <w:tmpl w:val="F1281E0C"/>
    <w:lvl w:ilvl="0" w:tplc="BB6CC096">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54036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EN.UseJSCitationFormat" w:val="False"/>
  </w:docVars>
  <w:rsids>
    <w:rsidRoot w:val="00C365AE"/>
    <w:rsid w:val="0000201E"/>
    <w:rsid w:val="00004E78"/>
    <w:rsid w:val="00010292"/>
    <w:rsid w:val="0001476D"/>
    <w:rsid w:val="00017C0C"/>
    <w:rsid w:val="00022A7D"/>
    <w:rsid w:val="0002596F"/>
    <w:rsid w:val="00025E8C"/>
    <w:rsid w:val="0003159D"/>
    <w:rsid w:val="00031E66"/>
    <w:rsid w:val="000342C1"/>
    <w:rsid w:val="00037CDA"/>
    <w:rsid w:val="00044D3D"/>
    <w:rsid w:val="00050DE5"/>
    <w:rsid w:val="00050E5F"/>
    <w:rsid w:val="00064C3C"/>
    <w:rsid w:val="00067ABE"/>
    <w:rsid w:val="00074B8A"/>
    <w:rsid w:val="00091DB5"/>
    <w:rsid w:val="00092D45"/>
    <w:rsid w:val="000951D3"/>
    <w:rsid w:val="00096776"/>
    <w:rsid w:val="000A3C8F"/>
    <w:rsid w:val="000B297D"/>
    <w:rsid w:val="000C200E"/>
    <w:rsid w:val="000C285A"/>
    <w:rsid w:val="000C3510"/>
    <w:rsid w:val="000C3A3C"/>
    <w:rsid w:val="000D1D93"/>
    <w:rsid w:val="000D26BF"/>
    <w:rsid w:val="000D68C5"/>
    <w:rsid w:val="000E2485"/>
    <w:rsid w:val="000F17AA"/>
    <w:rsid w:val="00100FD1"/>
    <w:rsid w:val="001128C7"/>
    <w:rsid w:val="00114C36"/>
    <w:rsid w:val="0013012F"/>
    <w:rsid w:val="00131303"/>
    <w:rsid w:val="0013300F"/>
    <w:rsid w:val="00140A02"/>
    <w:rsid w:val="00140F1B"/>
    <w:rsid w:val="001424F0"/>
    <w:rsid w:val="00145FB1"/>
    <w:rsid w:val="001619A7"/>
    <w:rsid w:val="001659D7"/>
    <w:rsid w:val="0017712A"/>
    <w:rsid w:val="0018050E"/>
    <w:rsid w:val="00181E55"/>
    <w:rsid w:val="0018392D"/>
    <w:rsid w:val="00184EC2"/>
    <w:rsid w:val="001863AE"/>
    <w:rsid w:val="001902A4"/>
    <w:rsid w:val="00191714"/>
    <w:rsid w:val="00194D79"/>
    <w:rsid w:val="00197D01"/>
    <w:rsid w:val="00197FBA"/>
    <w:rsid w:val="001A0119"/>
    <w:rsid w:val="001A2331"/>
    <w:rsid w:val="001A26D3"/>
    <w:rsid w:val="001A5995"/>
    <w:rsid w:val="001A60BA"/>
    <w:rsid w:val="001C42EF"/>
    <w:rsid w:val="001C48C6"/>
    <w:rsid w:val="001C7A62"/>
    <w:rsid w:val="001D3FB7"/>
    <w:rsid w:val="001E55C5"/>
    <w:rsid w:val="00203BA7"/>
    <w:rsid w:val="00221FDD"/>
    <w:rsid w:val="00223AC5"/>
    <w:rsid w:val="00234432"/>
    <w:rsid w:val="00254043"/>
    <w:rsid w:val="002551A3"/>
    <w:rsid w:val="00260D0D"/>
    <w:rsid w:val="002669BA"/>
    <w:rsid w:val="00270156"/>
    <w:rsid w:val="002722B3"/>
    <w:rsid w:val="002727F9"/>
    <w:rsid w:val="0029368A"/>
    <w:rsid w:val="002A07A6"/>
    <w:rsid w:val="002A55FB"/>
    <w:rsid w:val="002B03A9"/>
    <w:rsid w:val="002C0388"/>
    <w:rsid w:val="002D4BE8"/>
    <w:rsid w:val="002E15C2"/>
    <w:rsid w:val="002E257D"/>
    <w:rsid w:val="002F1766"/>
    <w:rsid w:val="002F3D1A"/>
    <w:rsid w:val="00300A2C"/>
    <w:rsid w:val="00306C78"/>
    <w:rsid w:val="00313264"/>
    <w:rsid w:val="00321BCB"/>
    <w:rsid w:val="00330390"/>
    <w:rsid w:val="00353CAC"/>
    <w:rsid w:val="003817D9"/>
    <w:rsid w:val="00382598"/>
    <w:rsid w:val="00383BB0"/>
    <w:rsid w:val="003A56C2"/>
    <w:rsid w:val="003B5E03"/>
    <w:rsid w:val="003C75D9"/>
    <w:rsid w:val="003D4828"/>
    <w:rsid w:val="003D5C34"/>
    <w:rsid w:val="003E338A"/>
    <w:rsid w:val="003E71A4"/>
    <w:rsid w:val="003F1AC2"/>
    <w:rsid w:val="003F406F"/>
    <w:rsid w:val="003F55D4"/>
    <w:rsid w:val="00406837"/>
    <w:rsid w:val="00424AA7"/>
    <w:rsid w:val="0042622E"/>
    <w:rsid w:val="00426285"/>
    <w:rsid w:val="00427A64"/>
    <w:rsid w:val="00464D4A"/>
    <w:rsid w:val="00467A9C"/>
    <w:rsid w:val="00470666"/>
    <w:rsid w:val="00475534"/>
    <w:rsid w:val="00482351"/>
    <w:rsid w:val="00487AEE"/>
    <w:rsid w:val="004925C1"/>
    <w:rsid w:val="00492F9D"/>
    <w:rsid w:val="00497728"/>
    <w:rsid w:val="004B6CF4"/>
    <w:rsid w:val="004C14D6"/>
    <w:rsid w:val="004C6DFA"/>
    <w:rsid w:val="004D0FF3"/>
    <w:rsid w:val="004E35EA"/>
    <w:rsid w:val="00504E50"/>
    <w:rsid w:val="005364B3"/>
    <w:rsid w:val="00540B4B"/>
    <w:rsid w:val="00554842"/>
    <w:rsid w:val="00562262"/>
    <w:rsid w:val="00563F40"/>
    <w:rsid w:val="00564F45"/>
    <w:rsid w:val="00566EB9"/>
    <w:rsid w:val="00574060"/>
    <w:rsid w:val="005806EE"/>
    <w:rsid w:val="00585A91"/>
    <w:rsid w:val="00586E1A"/>
    <w:rsid w:val="0058765C"/>
    <w:rsid w:val="00593305"/>
    <w:rsid w:val="005940FD"/>
    <w:rsid w:val="00595AF6"/>
    <w:rsid w:val="005A35CD"/>
    <w:rsid w:val="005A4EC4"/>
    <w:rsid w:val="005B3AF0"/>
    <w:rsid w:val="005C2E5B"/>
    <w:rsid w:val="005E39D1"/>
    <w:rsid w:val="005F1938"/>
    <w:rsid w:val="005F5AFA"/>
    <w:rsid w:val="005F5D8A"/>
    <w:rsid w:val="00607A5F"/>
    <w:rsid w:val="006109BF"/>
    <w:rsid w:val="006137DF"/>
    <w:rsid w:val="006228E6"/>
    <w:rsid w:val="006449AB"/>
    <w:rsid w:val="00645F84"/>
    <w:rsid w:val="00650E31"/>
    <w:rsid w:val="00653CDA"/>
    <w:rsid w:val="00666AB7"/>
    <w:rsid w:val="006737F6"/>
    <w:rsid w:val="00693759"/>
    <w:rsid w:val="0069723F"/>
    <w:rsid w:val="00697BDC"/>
    <w:rsid w:val="006A4C3B"/>
    <w:rsid w:val="006A5ABA"/>
    <w:rsid w:val="006B6AD3"/>
    <w:rsid w:val="006F33CE"/>
    <w:rsid w:val="00703363"/>
    <w:rsid w:val="007121B0"/>
    <w:rsid w:val="0071520A"/>
    <w:rsid w:val="00720B13"/>
    <w:rsid w:val="007244FC"/>
    <w:rsid w:val="0072493F"/>
    <w:rsid w:val="0072540C"/>
    <w:rsid w:val="00744CC5"/>
    <w:rsid w:val="007502D0"/>
    <w:rsid w:val="0075056F"/>
    <w:rsid w:val="007546E1"/>
    <w:rsid w:val="0076496A"/>
    <w:rsid w:val="00765E93"/>
    <w:rsid w:val="00766BE9"/>
    <w:rsid w:val="0076736C"/>
    <w:rsid w:val="007769D9"/>
    <w:rsid w:val="007812B8"/>
    <w:rsid w:val="007833E4"/>
    <w:rsid w:val="007A0FFF"/>
    <w:rsid w:val="007A2212"/>
    <w:rsid w:val="007B1B06"/>
    <w:rsid w:val="007B2C2A"/>
    <w:rsid w:val="007B699F"/>
    <w:rsid w:val="007C0F5A"/>
    <w:rsid w:val="007C3756"/>
    <w:rsid w:val="007C3B0E"/>
    <w:rsid w:val="007C54EB"/>
    <w:rsid w:val="007D560D"/>
    <w:rsid w:val="007F01CD"/>
    <w:rsid w:val="007F1CE2"/>
    <w:rsid w:val="007F789A"/>
    <w:rsid w:val="007F7B4B"/>
    <w:rsid w:val="00805ACD"/>
    <w:rsid w:val="00806888"/>
    <w:rsid w:val="00814A86"/>
    <w:rsid w:val="00817E92"/>
    <w:rsid w:val="008352A8"/>
    <w:rsid w:val="0084162A"/>
    <w:rsid w:val="0085542B"/>
    <w:rsid w:val="00856CA5"/>
    <w:rsid w:val="00863D84"/>
    <w:rsid w:val="008709A8"/>
    <w:rsid w:val="008774F7"/>
    <w:rsid w:val="00881604"/>
    <w:rsid w:val="0088308F"/>
    <w:rsid w:val="008861EF"/>
    <w:rsid w:val="00887A4A"/>
    <w:rsid w:val="00893CEA"/>
    <w:rsid w:val="00896193"/>
    <w:rsid w:val="00896FA5"/>
    <w:rsid w:val="008A1466"/>
    <w:rsid w:val="008A3448"/>
    <w:rsid w:val="008A5680"/>
    <w:rsid w:val="008A600F"/>
    <w:rsid w:val="008B1935"/>
    <w:rsid w:val="008B2561"/>
    <w:rsid w:val="008B7982"/>
    <w:rsid w:val="008B7E24"/>
    <w:rsid w:val="008C79A6"/>
    <w:rsid w:val="008D050C"/>
    <w:rsid w:val="008D155F"/>
    <w:rsid w:val="008D49D1"/>
    <w:rsid w:val="008D56B3"/>
    <w:rsid w:val="008E0AD6"/>
    <w:rsid w:val="008E7D41"/>
    <w:rsid w:val="008F2FF9"/>
    <w:rsid w:val="008F5D79"/>
    <w:rsid w:val="009009C3"/>
    <w:rsid w:val="009075C5"/>
    <w:rsid w:val="00907B9D"/>
    <w:rsid w:val="00912173"/>
    <w:rsid w:val="00915943"/>
    <w:rsid w:val="0091656D"/>
    <w:rsid w:val="0092112E"/>
    <w:rsid w:val="009224FA"/>
    <w:rsid w:val="00932278"/>
    <w:rsid w:val="00935BF3"/>
    <w:rsid w:val="00935F9C"/>
    <w:rsid w:val="00943E83"/>
    <w:rsid w:val="0094422D"/>
    <w:rsid w:val="00946C20"/>
    <w:rsid w:val="009542B9"/>
    <w:rsid w:val="009567E8"/>
    <w:rsid w:val="00964163"/>
    <w:rsid w:val="0097484C"/>
    <w:rsid w:val="00982A31"/>
    <w:rsid w:val="009866D7"/>
    <w:rsid w:val="00986849"/>
    <w:rsid w:val="00987EDA"/>
    <w:rsid w:val="00992E37"/>
    <w:rsid w:val="009973D7"/>
    <w:rsid w:val="009A1A94"/>
    <w:rsid w:val="009A4FCB"/>
    <w:rsid w:val="009A7A68"/>
    <w:rsid w:val="009B28D7"/>
    <w:rsid w:val="009B6C33"/>
    <w:rsid w:val="009C4D08"/>
    <w:rsid w:val="009D4E5B"/>
    <w:rsid w:val="009D614B"/>
    <w:rsid w:val="009F3AA2"/>
    <w:rsid w:val="00A05ABE"/>
    <w:rsid w:val="00A23329"/>
    <w:rsid w:val="00A25967"/>
    <w:rsid w:val="00A35C6A"/>
    <w:rsid w:val="00A46B45"/>
    <w:rsid w:val="00A645F0"/>
    <w:rsid w:val="00A648D2"/>
    <w:rsid w:val="00A67EFF"/>
    <w:rsid w:val="00A719F4"/>
    <w:rsid w:val="00A9706F"/>
    <w:rsid w:val="00AA13D1"/>
    <w:rsid w:val="00AA2888"/>
    <w:rsid w:val="00AA2966"/>
    <w:rsid w:val="00AA2D5E"/>
    <w:rsid w:val="00AA43D9"/>
    <w:rsid w:val="00AA4C9C"/>
    <w:rsid w:val="00AA7BFF"/>
    <w:rsid w:val="00AB3B71"/>
    <w:rsid w:val="00AC23A2"/>
    <w:rsid w:val="00AE036A"/>
    <w:rsid w:val="00AE0F91"/>
    <w:rsid w:val="00AE1C6B"/>
    <w:rsid w:val="00AE26E7"/>
    <w:rsid w:val="00AE5344"/>
    <w:rsid w:val="00AE66CD"/>
    <w:rsid w:val="00AE67A6"/>
    <w:rsid w:val="00AF78EB"/>
    <w:rsid w:val="00B04D7C"/>
    <w:rsid w:val="00B16661"/>
    <w:rsid w:val="00B21D47"/>
    <w:rsid w:val="00B221F2"/>
    <w:rsid w:val="00B24A66"/>
    <w:rsid w:val="00B3479F"/>
    <w:rsid w:val="00B41936"/>
    <w:rsid w:val="00B426CE"/>
    <w:rsid w:val="00B42D93"/>
    <w:rsid w:val="00B6601E"/>
    <w:rsid w:val="00B94198"/>
    <w:rsid w:val="00BA09B8"/>
    <w:rsid w:val="00BA11B9"/>
    <w:rsid w:val="00BA34CA"/>
    <w:rsid w:val="00BA6C53"/>
    <w:rsid w:val="00BB26F0"/>
    <w:rsid w:val="00BB4D18"/>
    <w:rsid w:val="00BB5459"/>
    <w:rsid w:val="00BC077F"/>
    <w:rsid w:val="00BC0E87"/>
    <w:rsid w:val="00BC1161"/>
    <w:rsid w:val="00BC5A0C"/>
    <w:rsid w:val="00BD4236"/>
    <w:rsid w:val="00BD6CE0"/>
    <w:rsid w:val="00BD755C"/>
    <w:rsid w:val="00BE0936"/>
    <w:rsid w:val="00BE2EA6"/>
    <w:rsid w:val="00BE541E"/>
    <w:rsid w:val="00BF3732"/>
    <w:rsid w:val="00BF7CC4"/>
    <w:rsid w:val="00C10F4C"/>
    <w:rsid w:val="00C14A3E"/>
    <w:rsid w:val="00C15C0A"/>
    <w:rsid w:val="00C22C85"/>
    <w:rsid w:val="00C26A11"/>
    <w:rsid w:val="00C32739"/>
    <w:rsid w:val="00C365AE"/>
    <w:rsid w:val="00C424EA"/>
    <w:rsid w:val="00C461D3"/>
    <w:rsid w:val="00C54913"/>
    <w:rsid w:val="00C83A90"/>
    <w:rsid w:val="00C846B9"/>
    <w:rsid w:val="00C90A08"/>
    <w:rsid w:val="00C9172B"/>
    <w:rsid w:val="00C976AD"/>
    <w:rsid w:val="00CA498C"/>
    <w:rsid w:val="00CA52C9"/>
    <w:rsid w:val="00CC1310"/>
    <w:rsid w:val="00CE0A04"/>
    <w:rsid w:val="00CE0E47"/>
    <w:rsid w:val="00D03FCD"/>
    <w:rsid w:val="00D04BC1"/>
    <w:rsid w:val="00D067E9"/>
    <w:rsid w:val="00D26543"/>
    <w:rsid w:val="00D27BE0"/>
    <w:rsid w:val="00D30840"/>
    <w:rsid w:val="00D32B69"/>
    <w:rsid w:val="00D33544"/>
    <w:rsid w:val="00D607D3"/>
    <w:rsid w:val="00D613B6"/>
    <w:rsid w:val="00D655EA"/>
    <w:rsid w:val="00D67C82"/>
    <w:rsid w:val="00D87458"/>
    <w:rsid w:val="00D9202F"/>
    <w:rsid w:val="00DA115A"/>
    <w:rsid w:val="00DA4FBD"/>
    <w:rsid w:val="00DB2209"/>
    <w:rsid w:val="00DB7A92"/>
    <w:rsid w:val="00DD36D4"/>
    <w:rsid w:val="00DD42B3"/>
    <w:rsid w:val="00E00EFB"/>
    <w:rsid w:val="00E12ADD"/>
    <w:rsid w:val="00E13922"/>
    <w:rsid w:val="00E1410E"/>
    <w:rsid w:val="00E15D77"/>
    <w:rsid w:val="00E20DCD"/>
    <w:rsid w:val="00E2674F"/>
    <w:rsid w:val="00E30757"/>
    <w:rsid w:val="00E44778"/>
    <w:rsid w:val="00E45F92"/>
    <w:rsid w:val="00E65727"/>
    <w:rsid w:val="00E65C89"/>
    <w:rsid w:val="00E71AC1"/>
    <w:rsid w:val="00E756E3"/>
    <w:rsid w:val="00E83263"/>
    <w:rsid w:val="00EA2440"/>
    <w:rsid w:val="00EA4F34"/>
    <w:rsid w:val="00EC7964"/>
    <w:rsid w:val="00ED1CA7"/>
    <w:rsid w:val="00EE18A3"/>
    <w:rsid w:val="00EE796B"/>
    <w:rsid w:val="00EF0078"/>
    <w:rsid w:val="00EF0597"/>
    <w:rsid w:val="00EF2243"/>
    <w:rsid w:val="00EF7530"/>
    <w:rsid w:val="00EF78A4"/>
    <w:rsid w:val="00EF79A6"/>
    <w:rsid w:val="00F00C64"/>
    <w:rsid w:val="00F0194F"/>
    <w:rsid w:val="00F01D79"/>
    <w:rsid w:val="00F043B1"/>
    <w:rsid w:val="00F0632A"/>
    <w:rsid w:val="00F12932"/>
    <w:rsid w:val="00F129DB"/>
    <w:rsid w:val="00F4373E"/>
    <w:rsid w:val="00F50C0D"/>
    <w:rsid w:val="00F5350F"/>
    <w:rsid w:val="00F60CB3"/>
    <w:rsid w:val="00F61BBF"/>
    <w:rsid w:val="00F85CDD"/>
    <w:rsid w:val="00F918F0"/>
    <w:rsid w:val="00FA347D"/>
    <w:rsid w:val="00FB368C"/>
    <w:rsid w:val="00FB52D0"/>
    <w:rsid w:val="00FB6B1F"/>
    <w:rsid w:val="00FD22E0"/>
    <w:rsid w:val="00FD31B6"/>
    <w:rsid w:val="00FD4057"/>
    <w:rsid w:val="00FD65E0"/>
    <w:rsid w:val="00FE12CC"/>
    <w:rsid w:val="00FE6856"/>
    <w:rsid w:val="00FF05B9"/>
    <w:rsid w:val="00FF4849"/>
    <w:rsid w:val="00FF49CC"/>
    <w:rsid w:val="0AB2582B"/>
    <w:rsid w:val="17E77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F991C"/>
  <w15:chartTrackingRefBased/>
  <w15:docId w15:val="{55431A07-D90F-460D-AB42-653A57858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65AE"/>
    <w:pPr>
      <w:widowControl w:val="0"/>
      <w:jc w:val="both"/>
    </w:pPr>
  </w:style>
  <w:style w:type="paragraph" w:styleId="1">
    <w:name w:val="heading 1"/>
    <w:basedOn w:val="a"/>
    <w:next w:val="a"/>
    <w:link w:val="10"/>
    <w:uiPriority w:val="9"/>
    <w:qFormat/>
    <w:rsid w:val="00D067E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067E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067E9"/>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6C20"/>
    <w:pPr>
      <w:ind w:firstLineChars="200" w:firstLine="420"/>
    </w:pPr>
  </w:style>
  <w:style w:type="character" w:customStyle="1" w:styleId="normaltextrun">
    <w:name w:val="normaltextrun"/>
    <w:basedOn w:val="a0"/>
    <w:rsid w:val="00EF78A4"/>
  </w:style>
  <w:style w:type="character" w:customStyle="1" w:styleId="eop">
    <w:name w:val="eop"/>
    <w:basedOn w:val="a0"/>
    <w:rsid w:val="00EF78A4"/>
  </w:style>
  <w:style w:type="character" w:styleId="a4">
    <w:name w:val="annotation reference"/>
    <w:basedOn w:val="a0"/>
    <w:uiPriority w:val="99"/>
    <w:semiHidden/>
    <w:unhideWhenUsed/>
    <w:rsid w:val="00F60CB3"/>
    <w:rPr>
      <w:sz w:val="16"/>
      <w:szCs w:val="16"/>
    </w:rPr>
  </w:style>
  <w:style w:type="paragraph" w:styleId="a5">
    <w:name w:val="annotation text"/>
    <w:basedOn w:val="a"/>
    <w:link w:val="a6"/>
    <w:uiPriority w:val="99"/>
    <w:unhideWhenUsed/>
    <w:rsid w:val="00F60CB3"/>
    <w:rPr>
      <w:sz w:val="20"/>
      <w:szCs w:val="20"/>
    </w:rPr>
  </w:style>
  <w:style w:type="character" w:customStyle="1" w:styleId="a6">
    <w:name w:val="批注文字 字符"/>
    <w:basedOn w:val="a0"/>
    <w:link w:val="a5"/>
    <w:uiPriority w:val="99"/>
    <w:rsid w:val="00F60CB3"/>
    <w:rPr>
      <w:sz w:val="20"/>
      <w:szCs w:val="20"/>
    </w:rPr>
  </w:style>
  <w:style w:type="paragraph" w:styleId="a7">
    <w:name w:val="annotation subject"/>
    <w:basedOn w:val="a5"/>
    <w:next w:val="a5"/>
    <w:link w:val="a8"/>
    <w:uiPriority w:val="99"/>
    <w:semiHidden/>
    <w:unhideWhenUsed/>
    <w:rsid w:val="00F60CB3"/>
    <w:rPr>
      <w:b/>
      <w:bCs/>
    </w:rPr>
  </w:style>
  <w:style w:type="character" w:customStyle="1" w:styleId="a8">
    <w:name w:val="批注主题 字符"/>
    <w:basedOn w:val="a6"/>
    <w:link w:val="a7"/>
    <w:uiPriority w:val="99"/>
    <w:semiHidden/>
    <w:rsid w:val="00F60CB3"/>
    <w:rPr>
      <w:b/>
      <w:bCs/>
      <w:sz w:val="20"/>
      <w:szCs w:val="20"/>
    </w:rPr>
  </w:style>
  <w:style w:type="paragraph" w:styleId="a9">
    <w:name w:val="Revision"/>
    <w:hidden/>
    <w:uiPriority w:val="99"/>
    <w:semiHidden/>
    <w:rsid w:val="001424F0"/>
  </w:style>
  <w:style w:type="paragraph" w:customStyle="1" w:styleId="EndNoteBibliographyTitle">
    <w:name w:val="EndNote Bibliography Title"/>
    <w:basedOn w:val="a"/>
    <w:link w:val="EndNoteBibliographyTitle0"/>
    <w:rsid w:val="005F5D8A"/>
    <w:pPr>
      <w:jc w:val="center"/>
    </w:pPr>
    <w:rPr>
      <w:rFonts w:ascii="Arial" w:eastAsia="DengXian" w:hAnsi="Arial" w:cs="Arial"/>
      <w:sz w:val="20"/>
    </w:rPr>
  </w:style>
  <w:style w:type="character" w:customStyle="1" w:styleId="EndNoteBibliographyTitle0">
    <w:name w:val="EndNote Bibliography Title 字符"/>
    <w:basedOn w:val="a0"/>
    <w:link w:val="EndNoteBibliographyTitle"/>
    <w:rsid w:val="005F5D8A"/>
    <w:rPr>
      <w:rFonts w:ascii="Arial" w:eastAsia="DengXian" w:hAnsi="Arial" w:cs="Arial"/>
      <w:sz w:val="20"/>
    </w:rPr>
  </w:style>
  <w:style w:type="paragraph" w:customStyle="1" w:styleId="EndNoteBibliography">
    <w:name w:val="EndNote Bibliography"/>
    <w:basedOn w:val="a"/>
    <w:link w:val="EndNoteBibliography0"/>
    <w:rsid w:val="005F5D8A"/>
    <w:rPr>
      <w:rFonts w:ascii="Arial" w:eastAsia="DengXian" w:hAnsi="Arial" w:cs="Arial"/>
      <w:sz w:val="20"/>
    </w:rPr>
  </w:style>
  <w:style w:type="character" w:customStyle="1" w:styleId="EndNoteBibliography0">
    <w:name w:val="EndNote Bibliography 字符"/>
    <w:basedOn w:val="a0"/>
    <w:link w:val="EndNoteBibliography"/>
    <w:rsid w:val="005F5D8A"/>
    <w:rPr>
      <w:rFonts w:ascii="Arial" w:eastAsia="DengXian" w:hAnsi="Arial" w:cs="Arial"/>
      <w:sz w:val="20"/>
    </w:rPr>
  </w:style>
  <w:style w:type="character" w:styleId="aa">
    <w:name w:val="Hyperlink"/>
    <w:basedOn w:val="a0"/>
    <w:uiPriority w:val="99"/>
    <w:unhideWhenUsed/>
    <w:rsid w:val="005F5D8A"/>
    <w:rPr>
      <w:color w:val="0563C1" w:themeColor="hyperlink"/>
      <w:u w:val="single"/>
    </w:rPr>
  </w:style>
  <w:style w:type="character" w:styleId="ab">
    <w:name w:val="Unresolved Mention"/>
    <w:basedOn w:val="a0"/>
    <w:uiPriority w:val="99"/>
    <w:semiHidden/>
    <w:unhideWhenUsed/>
    <w:rsid w:val="005F5D8A"/>
    <w:rPr>
      <w:color w:val="605E5C"/>
      <w:shd w:val="clear" w:color="auto" w:fill="E1DFDD"/>
    </w:rPr>
  </w:style>
  <w:style w:type="paragraph" w:styleId="ac">
    <w:name w:val="header"/>
    <w:basedOn w:val="a"/>
    <w:link w:val="ad"/>
    <w:uiPriority w:val="99"/>
    <w:unhideWhenUsed/>
    <w:rsid w:val="00313264"/>
    <w:pPr>
      <w:tabs>
        <w:tab w:val="center" w:pos="4153"/>
        <w:tab w:val="right" w:pos="8306"/>
      </w:tabs>
      <w:snapToGrid w:val="0"/>
      <w:jc w:val="center"/>
    </w:pPr>
    <w:rPr>
      <w:sz w:val="18"/>
      <w:szCs w:val="18"/>
    </w:rPr>
  </w:style>
  <w:style w:type="character" w:customStyle="1" w:styleId="ad">
    <w:name w:val="页眉 字符"/>
    <w:basedOn w:val="a0"/>
    <w:link w:val="ac"/>
    <w:uiPriority w:val="99"/>
    <w:rsid w:val="00313264"/>
    <w:rPr>
      <w:sz w:val="18"/>
      <w:szCs w:val="18"/>
    </w:rPr>
  </w:style>
  <w:style w:type="paragraph" w:styleId="ae">
    <w:name w:val="footer"/>
    <w:basedOn w:val="a"/>
    <w:link w:val="af"/>
    <w:uiPriority w:val="99"/>
    <w:unhideWhenUsed/>
    <w:rsid w:val="00313264"/>
    <w:pPr>
      <w:tabs>
        <w:tab w:val="center" w:pos="4153"/>
        <w:tab w:val="right" w:pos="8306"/>
      </w:tabs>
      <w:snapToGrid w:val="0"/>
      <w:jc w:val="left"/>
    </w:pPr>
    <w:rPr>
      <w:sz w:val="18"/>
      <w:szCs w:val="18"/>
    </w:rPr>
  </w:style>
  <w:style w:type="character" w:customStyle="1" w:styleId="af">
    <w:name w:val="页脚 字符"/>
    <w:basedOn w:val="a0"/>
    <w:link w:val="ae"/>
    <w:uiPriority w:val="99"/>
    <w:rsid w:val="00313264"/>
    <w:rPr>
      <w:sz w:val="18"/>
      <w:szCs w:val="18"/>
    </w:rPr>
  </w:style>
  <w:style w:type="paragraph" w:customStyle="1" w:styleId="paragraph">
    <w:name w:val="paragraph"/>
    <w:basedOn w:val="a"/>
    <w:rsid w:val="00300A2C"/>
    <w:pPr>
      <w:widowControl/>
      <w:spacing w:before="100" w:beforeAutospacing="1" w:after="100" w:afterAutospacing="1"/>
      <w:jc w:val="left"/>
    </w:pPr>
    <w:rPr>
      <w:rFonts w:ascii="宋体" w:eastAsia="宋体" w:hAnsi="宋体" w:cs="宋体"/>
      <w:kern w:val="0"/>
      <w:sz w:val="24"/>
      <w14:ligatures w14:val="none"/>
    </w:rPr>
  </w:style>
  <w:style w:type="paragraph" w:styleId="TOC2">
    <w:name w:val="toc 2"/>
    <w:basedOn w:val="a"/>
    <w:next w:val="a"/>
    <w:autoRedefine/>
    <w:uiPriority w:val="39"/>
    <w:unhideWhenUsed/>
    <w:rsid w:val="00B6601E"/>
    <w:pPr>
      <w:spacing w:before="120"/>
      <w:ind w:left="210"/>
      <w:jc w:val="left"/>
    </w:pPr>
    <w:rPr>
      <w:rFonts w:ascii="Arial" w:eastAsia="Arial" w:hAnsi="Arial"/>
      <w:bCs/>
      <w:szCs w:val="22"/>
    </w:rPr>
  </w:style>
  <w:style w:type="paragraph" w:styleId="TOC1">
    <w:name w:val="toc 1"/>
    <w:basedOn w:val="a"/>
    <w:next w:val="a"/>
    <w:autoRedefine/>
    <w:uiPriority w:val="39"/>
    <w:unhideWhenUsed/>
    <w:rsid w:val="00806888"/>
    <w:pPr>
      <w:tabs>
        <w:tab w:val="right" w:leader="middleDot" w:pos="8296"/>
      </w:tabs>
      <w:spacing w:before="120"/>
      <w:jc w:val="center"/>
    </w:pPr>
    <w:rPr>
      <w:rFonts w:ascii="Arial" w:eastAsia="Arial" w:hAnsi="Arial" w:cs="Arial"/>
      <w:b/>
      <w:bCs/>
      <w:noProof/>
      <w:sz w:val="24"/>
      <w:szCs w:val="22"/>
    </w:rPr>
  </w:style>
  <w:style w:type="character" w:customStyle="1" w:styleId="10">
    <w:name w:val="标题 1 字符"/>
    <w:basedOn w:val="a0"/>
    <w:link w:val="1"/>
    <w:uiPriority w:val="9"/>
    <w:rsid w:val="00D067E9"/>
    <w:rPr>
      <w:b/>
      <w:bCs/>
      <w:kern w:val="44"/>
      <w:sz w:val="44"/>
      <w:szCs w:val="44"/>
    </w:rPr>
  </w:style>
  <w:style w:type="character" w:customStyle="1" w:styleId="20">
    <w:name w:val="标题 2 字符"/>
    <w:basedOn w:val="a0"/>
    <w:link w:val="2"/>
    <w:uiPriority w:val="9"/>
    <w:rsid w:val="00D067E9"/>
    <w:rPr>
      <w:rFonts w:asciiTheme="majorHAnsi" w:eastAsiaTheme="majorEastAsia" w:hAnsiTheme="majorHAnsi" w:cstheme="majorBidi"/>
      <w:b/>
      <w:bCs/>
      <w:sz w:val="32"/>
      <w:szCs w:val="32"/>
    </w:rPr>
  </w:style>
  <w:style w:type="paragraph" w:styleId="af0">
    <w:name w:val="Title"/>
    <w:basedOn w:val="a"/>
    <w:next w:val="a"/>
    <w:link w:val="af1"/>
    <w:uiPriority w:val="10"/>
    <w:qFormat/>
    <w:rsid w:val="00D067E9"/>
    <w:pPr>
      <w:spacing w:before="240" w:after="60"/>
      <w:jc w:val="center"/>
      <w:outlineLvl w:val="0"/>
    </w:pPr>
    <w:rPr>
      <w:rFonts w:asciiTheme="majorHAnsi" w:eastAsiaTheme="majorEastAsia" w:hAnsiTheme="majorHAnsi" w:cstheme="majorBidi"/>
      <w:b/>
      <w:bCs/>
      <w:sz w:val="32"/>
      <w:szCs w:val="32"/>
    </w:rPr>
  </w:style>
  <w:style w:type="character" w:customStyle="1" w:styleId="af1">
    <w:name w:val="标题 字符"/>
    <w:basedOn w:val="a0"/>
    <w:link w:val="af0"/>
    <w:uiPriority w:val="10"/>
    <w:rsid w:val="00D067E9"/>
    <w:rPr>
      <w:rFonts w:asciiTheme="majorHAnsi" w:eastAsiaTheme="majorEastAsia" w:hAnsiTheme="majorHAnsi" w:cstheme="majorBidi"/>
      <w:b/>
      <w:bCs/>
      <w:sz w:val="32"/>
      <w:szCs w:val="32"/>
    </w:rPr>
  </w:style>
  <w:style w:type="paragraph" w:styleId="af2">
    <w:name w:val="Subtitle"/>
    <w:basedOn w:val="a"/>
    <w:next w:val="a"/>
    <w:link w:val="af3"/>
    <w:uiPriority w:val="11"/>
    <w:qFormat/>
    <w:rsid w:val="00D067E9"/>
    <w:pPr>
      <w:spacing w:before="240" w:after="60" w:line="312" w:lineRule="auto"/>
      <w:jc w:val="center"/>
      <w:outlineLvl w:val="1"/>
    </w:pPr>
    <w:rPr>
      <w:b/>
      <w:bCs/>
      <w:kern w:val="28"/>
      <w:sz w:val="32"/>
      <w:szCs w:val="32"/>
    </w:rPr>
  </w:style>
  <w:style w:type="character" w:customStyle="1" w:styleId="af3">
    <w:name w:val="副标题 字符"/>
    <w:basedOn w:val="a0"/>
    <w:link w:val="af2"/>
    <w:uiPriority w:val="11"/>
    <w:rsid w:val="00D067E9"/>
    <w:rPr>
      <w:b/>
      <w:bCs/>
      <w:kern w:val="28"/>
      <w:sz w:val="32"/>
      <w:szCs w:val="32"/>
    </w:rPr>
  </w:style>
  <w:style w:type="character" w:customStyle="1" w:styleId="30">
    <w:name w:val="标题 3 字符"/>
    <w:basedOn w:val="a0"/>
    <w:link w:val="3"/>
    <w:uiPriority w:val="9"/>
    <w:rsid w:val="00D067E9"/>
    <w:rPr>
      <w:b/>
      <w:bCs/>
      <w:sz w:val="32"/>
      <w:szCs w:val="32"/>
    </w:rPr>
  </w:style>
  <w:style w:type="paragraph" w:styleId="af4">
    <w:name w:val="No Spacing"/>
    <w:uiPriority w:val="1"/>
    <w:qFormat/>
    <w:rsid w:val="00D067E9"/>
    <w:pPr>
      <w:widowControl w:val="0"/>
      <w:jc w:val="both"/>
    </w:pPr>
  </w:style>
  <w:style w:type="paragraph" w:styleId="TOC">
    <w:name w:val="TOC Heading"/>
    <w:basedOn w:val="1"/>
    <w:next w:val="a"/>
    <w:uiPriority w:val="39"/>
    <w:unhideWhenUsed/>
    <w:qFormat/>
    <w:rsid w:val="00D067E9"/>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14:ligatures w14:val="none"/>
    </w:rPr>
  </w:style>
  <w:style w:type="paragraph" w:styleId="TOC3">
    <w:name w:val="toc 3"/>
    <w:basedOn w:val="a"/>
    <w:next w:val="a"/>
    <w:autoRedefine/>
    <w:uiPriority w:val="39"/>
    <w:unhideWhenUsed/>
    <w:rsid w:val="00D067E9"/>
    <w:pPr>
      <w:ind w:left="420"/>
      <w:jc w:val="left"/>
    </w:pPr>
    <w:rPr>
      <w:rFonts w:eastAsiaTheme="minorHAnsi"/>
      <w:sz w:val="20"/>
      <w:szCs w:val="20"/>
    </w:rPr>
  </w:style>
  <w:style w:type="paragraph" w:styleId="TOC4">
    <w:name w:val="toc 4"/>
    <w:basedOn w:val="a"/>
    <w:next w:val="a"/>
    <w:autoRedefine/>
    <w:uiPriority w:val="39"/>
    <w:unhideWhenUsed/>
    <w:rsid w:val="00D067E9"/>
    <w:pPr>
      <w:ind w:left="630"/>
      <w:jc w:val="left"/>
    </w:pPr>
    <w:rPr>
      <w:rFonts w:eastAsiaTheme="minorHAnsi"/>
      <w:sz w:val="20"/>
      <w:szCs w:val="20"/>
    </w:rPr>
  </w:style>
  <w:style w:type="paragraph" w:styleId="TOC5">
    <w:name w:val="toc 5"/>
    <w:basedOn w:val="a"/>
    <w:next w:val="a"/>
    <w:autoRedefine/>
    <w:uiPriority w:val="39"/>
    <w:unhideWhenUsed/>
    <w:rsid w:val="00D067E9"/>
    <w:pPr>
      <w:ind w:left="840"/>
      <w:jc w:val="left"/>
    </w:pPr>
    <w:rPr>
      <w:rFonts w:eastAsiaTheme="minorHAnsi"/>
      <w:sz w:val="20"/>
      <w:szCs w:val="20"/>
    </w:rPr>
  </w:style>
  <w:style w:type="paragraph" w:styleId="TOC6">
    <w:name w:val="toc 6"/>
    <w:basedOn w:val="a"/>
    <w:next w:val="a"/>
    <w:autoRedefine/>
    <w:uiPriority w:val="39"/>
    <w:unhideWhenUsed/>
    <w:rsid w:val="00D067E9"/>
    <w:pPr>
      <w:ind w:left="1050"/>
      <w:jc w:val="left"/>
    </w:pPr>
    <w:rPr>
      <w:rFonts w:eastAsiaTheme="minorHAnsi"/>
      <w:sz w:val="20"/>
      <w:szCs w:val="20"/>
    </w:rPr>
  </w:style>
  <w:style w:type="paragraph" w:styleId="TOC7">
    <w:name w:val="toc 7"/>
    <w:basedOn w:val="a"/>
    <w:next w:val="a"/>
    <w:autoRedefine/>
    <w:uiPriority w:val="39"/>
    <w:unhideWhenUsed/>
    <w:rsid w:val="00D067E9"/>
    <w:pPr>
      <w:ind w:left="1260"/>
      <w:jc w:val="left"/>
    </w:pPr>
    <w:rPr>
      <w:rFonts w:eastAsiaTheme="minorHAnsi"/>
      <w:sz w:val="20"/>
      <w:szCs w:val="20"/>
    </w:rPr>
  </w:style>
  <w:style w:type="paragraph" w:styleId="TOC8">
    <w:name w:val="toc 8"/>
    <w:basedOn w:val="a"/>
    <w:next w:val="a"/>
    <w:autoRedefine/>
    <w:uiPriority w:val="39"/>
    <w:unhideWhenUsed/>
    <w:rsid w:val="00D067E9"/>
    <w:pPr>
      <w:ind w:left="1470"/>
      <w:jc w:val="left"/>
    </w:pPr>
    <w:rPr>
      <w:rFonts w:eastAsiaTheme="minorHAnsi"/>
      <w:sz w:val="20"/>
      <w:szCs w:val="20"/>
    </w:rPr>
  </w:style>
  <w:style w:type="paragraph" w:styleId="TOC9">
    <w:name w:val="toc 9"/>
    <w:basedOn w:val="a"/>
    <w:next w:val="a"/>
    <w:autoRedefine/>
    <w:uiPriority w:val="39"/>
    <w:unhideWhenUsed/>
    <w:rsid w:val="00D067E9"/>
    <w:pPr>
      <w:ind w:left="1680"/>
      <w:jc w:val="left"/>
    </w:pPr>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doi.org/10.1093/bioinformatics/btw423" TargetMode="External"/><Relationship Id="rId26" Type="http://schemas.openxmlformats.org/officeDocument/2006/relationships/hyperlink" Target="https://doi.org/10.1016/j.cell.2021.02.052" TargetMode="External"/><Relationship Id="rId3" Type="http://schemas.openxmlformats.org/officeDocument/2006/relationships/customXml" Target="../customXml/item3.xml"/><Relationship Id="rId21" Type="http://schemas.openxmlformats.org/officeDocument/2006/relationships/hyperlink" Target="https://doi.org/10.1093/nar/gkt1223"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s://doi.org/10.1101/2023.08.08.552500"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doi.org/10.1038/s41564-024-01881-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doi.org/10.1038/ja.2014.111"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doi.org/10.1038/s41587-023-01953-y"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1186/s40168-019-0649-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doi.org/10.1093/dnares/dsy011"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ponsibles xmlns="e5a02ee0-6695-44c2-9fc5-1cfa8f1af8a8">
      <UserInfo>
        <DisplayName/>
        <AccountId xsi:nil="true"/>
        <AccountType/>
      </UserInfo>
    </Responsibles>
    <lcf76f155ced4ddcb4097134ff3c332f xmlns="e5a02ee0-6695-44c2-9fc5-1cfa8f1af8a8">
      <Terms xmlns="http://schemas.microsoft.com/office/infopath/2007/PartnerControls"/>
    </lcf76f155ced4ddcb4097134ff3c332f>
    <TaxCatchAll xmlns="5f9a5d67-514a-4822-8bf3-7944ef2ab75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C500318ADBED644787D5A6AAFE79384B" ma:contentTypeVersion="16" ma:contentTypeDescription="新建文档。" ma:contentTypeScope="" ma:versionID="e282cac5eb2d5283b6be7d62fefab292">
  <xsd:schema xmlns:xsd="http://www.w3.org/2001/XMLSchema" xmlns:xs="http://www.w3.org/2001/XMLSchema" xmlns:p="http://schemas.microsoft.com/office/2006/metadata/properties" xmlns:ns2="e5a02ee0-6695-44c2-9fc5-1cfa8f1af8a8" xmlns:ns3="5f9a5d67-514a-4822-8bf3-7944ef2ab75e" targetNamespace="http://schemas.microsoft.com/office/2006/metadata/properties" ma:root="true" ma:fieldsID="cb736f7caa9ac872c7e6d10748ffa5d1" ns2:_="" ns3:_="">
    <xsd:import namespace="e5a02ee0-6695-44c2-9fc5-1cfa8f1af8a8"/>
    <xsd:import namespace="5f9a5d67-514a-4822-8bf3-7944ef2ab75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Responsibl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a02ee0-6695-44c2-9fc5-1cfa8f1af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Responsibles" ma:index="14" nillable="true" ma:displayName="Responsibles" ma:description="Person who are main responsible for these editing these files" ma:format="Dropdown" ma:list="UserInfo" ma:SharePointGroup="0" ma:internalName="Responsible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6" nillable="true" ma:taxonomy="true" ma:internalName="lcf76f155ced4ddcb4097134ff3c332f" ma:taxonomyFieldName="MediaServiceImageTags" ma:displayName="图像标记" ma:readOnly="false" ma:fieldId="{5cf76f15-5ced-4ddc-b409-7134ff3c332f}" ma:taxonomyMulti="true" ma:sspId="135eabb5-a18a-4215-84c6-3aa8d4454c8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9a5d67-514a-4822-8bf3-7944ef2ab75e" elementFormDefault="qualified">
    <xsd:import namespace="http://schemas.microsoft.com/office/2006/documentManagement/types"/>
    <xsd:import namespace="http://schemas.microsoft.com/office/infopath/2007/PartnerControls"/>
    <xsd:element name="SharedWithUsers" ma:index="12"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享对象详细信息" ma:internalName="SharedWithDetails" ma:readOnly="true">
      <xsd:simpleType>
        <xsd:restriction base="dms:Note">
          <xsd:maxLength value="255"/>
        </xsd:restriction>
      </xsd:simpleType>
    </xsd:element>
    <xsd:element name="TaxCatchAll" ma:index="17" nillable="true" ma:displayName="Taxonomy Catch All Column" ma:hidden="true" ma:list="{1e8e077b-6134-495c-b665-f09be2521a68}" ma:internalName="TaxCatchAll" ma:showField="CatchAllData" ma:web="5f9a5d67-514a-4822-8bf3-7944ef2ab7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A4E2F-B046-4B5E-B2A6-B1A5174BC12A}">
  <ds:schemaRefs>
    <ds:schemaRef ds:uri="http://schemas.microsoft.com/office/2006/metadata/properties"/>
    <ds:schemaRef ds:uri="http://schemas.microsoft.com/office/infopath/2007/PartnerControls"/>
    <ds:schemaRef ds:uri="e5a02ee0-6695-44c2-9fc5-1cfa8f1af8a8"/>
    <ds:schemaRef ds:uri="5f9a5d67-514a-4822-8bf3-7944ef2ab75e"/>
  </ds:schemaRefs>
</ds:datastoreItem>
</file>

<file path=customXml/itemProps2.xml><?xml version="1.0" encoding="utf-8"?>
<ds:datastoreItem xmlns:ds="http://schemas.openxmlformats.org/officeDocument/2006/customXml" ds:itemID="{4B329F7A-CF74-437A-8954-1C1BCCE63348}">
  <ds:schemaRefs>
    <ds:schemaRef ds:uri="http://schemas.microsoft.com/sharepoint/v3/contenttype/forms"/>
  </ds:schemaRefs>
</ds:datastoreItem>
</file>

<file path=customXml/itemProps3.xml><?xml version="1.0" encoding="utf-8"?>
<ds:datastoreItem xmlns:ds="http://schemas.openxmlformats.org/officeDocument/2006/customXml" ds:itemID="{077948A4-5C1E-45D5-BAAC-9C50731CB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a02ee0-6695-44c2-9fc5-1cfa8f1af8a8"/>
    <ds:schemaRef ds:uri="5f9a5d67-514a-4822-8bf3-7944ef2ab7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75CF8E-C676-B240-8E13-BED06544E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14</Pages>
  <Words>3931</Words>
  <Characters>22408</Characters>
  <Application>Microsoft Office Word</Application>
  <DocSecurity>0</DocSecurity>
  <Lines>186</Lines>
  <Paragraphs>52</Paragraphs>
  <ScaleCrop>false</ScaleCrop>
  <Company/>
  <LinksUpToDate>false</LinksUpToDate>
  <CharactersWithSpaces>26287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H (medgen)</dc:creator>
  <cp:keywords/>
  <dc:description/>
  <cp:lastModifiedBy>Peng, H (medgen)</cp:lastModifiedBy>
  <cp:revision>45</cp:revision>
  <dcterms:created xsi:type="dcterms:W3CDTF">2025-04-15T14:26:00Z</dcterms:created>
  <dcterms:modified xsi:type="dcterms:W3CDTF">2025-04-18T14:33:00Z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0x010100C500318ADBED644787D5A6AAFE79384B</vt:lpwstr>
  </property>
  <property fmtid="{D5CDD505-2E9C-101B-9397-08002B2CF9AE}" pid="3" name="MediaServiceImageTags">
    <vt:lpwstr/>
  </property>
</Properties>
</file>