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A4159F" w14:textId="77777777" w:rsidR="0035410B" w:rsidRDefault="0035410B" w:rsidP="0035410B">
      <w:pPr>
        <w:pStyle w:val="Heading1"/>
      </w:pPr>
      <w:r>
        <w:t>Extended Data Figure Legends</w:t>
      </w:r>
    </w:p>
    <w:p w14:paraId="56DE6E4B" w14:textId="77777777" w:rsidR="0035410B" w:rsidRDefault="0035410B" w:rsidP="0035410B">
      <w:pPr>
        <w:rPr>
          <w:lang w:val="en-US"/>
        </w:rPr>
      </w:pPr>
      <w:r w:rsidRPr="00996252">
        <w:rPr>
          <w:b/>
          <w:bCs/>
          <w:lang w:val="en-US"/>
        </w:rPr>
        <w:t xml:space="preserve">Extended Data Fig. </w:t>
      </w:r>
      <w:r>
        <w:rPr>
          <w:b/>
          <w:bCs/>
          <w:lang w:val="en-US"/>
        </w:rPr>
        <w:t>1</w:t>
      </w:r>
      <w:r w:rsidRPr="00996252">
        <w:rPr>
          <w:b/>
          <w:bCs/>
          <w:lang w:val="en-US"/>
        </w:rPr>
        <w:t>.</w:t>
      </w:r>
      <w:r w:rsidRPr="0C627A5D">
        <w:rPr>
          <w:lang w:val="en-US"/>
        </w:rPr>
        <w:t xml:space="preserve"> </w:t>
      </w:r>
      <w:r w:rsidRPr="0C627A5D">
        <w:rPr>
          <w:b/>
          <w:bCs/>
          <w:lang w:val="en-US"/>
        </w:rPr>
        <w:t>Hematoxylin and eosin (HE) stain</w:t>
      </w:r>
      <w:r>
        <w:rPr>
          <w:b/>
          <w:bCs/>
          <w:lang w:val="en-US"/>
        </w:rPr>
        <w:t>s</w:t>
      </w:r>
      <w:r w:rsidRPr="0C627A5D">
        <w:rPr>
          <w:b/>
          <w:bCs/>
          <w:lang w:val="en-US"/>
        </w:rPr>
        <w:t xml:space="preserve"> of multiple CRLMs </w:t>
      </w:r>
      <w:r>
        <w:rPr>
          <w:b/>
          <w:bCs/>
          <w:lang w:val="en-US"/>
        </w:rPr>
        <w:t xml:space="preserve">from patients </w:t>
      </w:r>
      <w:r w:rsidRPr="0C627A5D">
        <w:rPr>
          <w:b/>
          <w:bCs/>
          <w:lang w:val="en-US"/>
        </w:rPr>
        <w:t xml:space="preserve">with heterogeneous </w:t>
      </w:r>
      <w:r>
        <w:rPr>
          <w:b/>
          <w:bCs/>
          <w:lang w:val="en-US"/>
        </w:rPr>
        <w:t xml:space="preserve">or </w:t>
      </w:r>
      <w:r w:rsidRPr="0C627A5D">
        <w:rPr>
          <w:b/>
          <w:bCs/>
          <w:lang w:val="en-US"/>
        </w:rPr>
        <w:t xml:space="preserve">unsuccessful </w:t>
      </w:r>
      <w:r w:rsidRPr="0C627A5D">
        <w:rPr>
          <w:b/>
          <w:bCs/>
          <w:i/>
          <w:iCs/>
          <w:lang w:val="en-US"/>
        </w:rPr>
        <w:t>ex vivo</w:t>
      </w:r>
      <w:r w:rsidRPr="0C627A5D">
        <w:rPr>
          <w:b/>
          <w:bCs/>
          <w:lang w:val="en-US"/>
        </w:rPr>
        <w:t xml:space="preserve"> growth. a.</w:t>
      </w:r>
      <w:r w:rsidRPr="0C627A5D">
        <w:rPr>
          <w:lang w:val="en-US"/>
        </w:rPr>
        <w:t xml:space="preserve"> HE stain</w:t>
      </w:r>
      <w:r>
        <w:rPr>
          <w:lang w:val="en-US"/>
        </w:rPr>
        <w:t>s</w:t>
      </w:r>
      <w:r w:rsidRPr="0C627A5D">
        <w:rPr>
          <w:lang w:val="en-US"/>
        </w:rPr>
        <w:t xml:space="preserve"> of </w:t>
      </w:r>
      <w:r>
        <w:rPr>
          <w:lang w:val="en-US"/>
        </w:rPr>
        <w:t xml:space="preserve">two or four </w:t>
      </w:r>
      <w:r w:rsidRPr="0C627A5D">
        <w:rPr>
          <w:lang w:val="en-US"/>
        </w:rPr>
        <w:t xml:space="preserve">CRLMs </w:t>
      </w:r>
      <w:r>
        <w:rPr>
          <w:lang w:val="en-US"/>
        </w:rPr>
        <w:t xml:space="preserve">from each of three patients </w:t>
      </w:r>
      <w:r w:rsidRPr="0C627A5D">
        <w:rPr>
          <w:lang w:val="en-US"/>
        </w:rPr>
        <w:t xml:space="preserve">with heterogeneous growth. </w:t>
      </w:r>
      <w:r>
        <w:rPr>
          <w:lang w:val="en-US"/>
        </w:rPr>
        <w:t>HE s</w:t>
      </w:r>
      <w:r w:rsidRPr="0C627A5D">
        <w:rPr>
          <w:lang w:val="en-US"/>
        </w:rPr>
        <w:t>tain</w:t>
      </w:r>
      <w:r>
        <w:rPr>
          <w:lang w:val="en-US"/>
        </w:rPr>
        <w:t>s</w:t>
      </w:r>
      <w:r w:rsidRPr="0C627A5D">
        <w:rPr>
          <w:lang w:val="en-US"/>
        </w:rPr>
        <w:t xml:space="preserve"> of CRLMs with low (</w:t>
      </w:r>
      <w:r w:rsidRPr="0C627A5D">
        <w:rPr>
          <w:b/>
          <w:bCs/>
          <w:lang w:val="en-US"/>
        </w:rPr>
        <w:t>b</w:t>
      </w:r>
      <w:r w:rsidRPr="0C627A5D">
        <w:rPr>
          <w:lang w:val="en-US"/>
        </w:rPr>
        <w:t>) and high (</w:t>
      </w:r>
      <w:r w:rsidRPr="0C627A5D">
        <w:rPr>
          <w:b/>
          <w:bCs/>
          <w:lang w:val="en-US"/>
        </w:rPr>
        <w:t>c</w:t>
      </w:r>
      <w:r w:rsidRPr="0C627A5D">
        <w:rPr>
          <w:lang w:val="en-US"/>
        </w:rPr>
        <w:t>) tumor cell</w:t>
      </w:r>
      <w:r>
        <w:rPr>
          <w:lang w:val="en-US"/>
        </w:rPr>
        <w:t xml:space="preserve"> content</w:t>
      </w:r>
      <w:r w:rsidRPr="0C627A5D">
        <w:rPr>
          <w:lang w:val="en-US"/>
        </w:rPr>
        <w:t xml:space="preserve">. </w:t>
      </w:r>
      <w:r>
        <w:rPr>
          <w:lang w:val="en-US"/>
        </w:rPr>
        <w:t>C</w:t>
      </w:r>
      <w:r w:rsidRPr="0C627A5D">
        <w:rPr>
          <w:lang w:val="en-US"/>
        </w:rPr>
        <w:t xml:space="preserve">olored </w:t>
      </w:r>
      <w:r>
        <w:rPr>
          <w:lang w:val="en-US"/>
        </w:rPr>
        <w:t xml:space="preserve">frames of </w:t>
      </w:r>
      <w:r w:rsidRPr="0C627A5D">
        <w:rPr>
          <w:lang w:val="en-US"/>
        </w:rPr>
        <w:t>the micrographs indicate CRLMs from the same patient. Scale bar 100 µm. Pt – Patient number, T - Lesion number.</w:t>
      </w:r>
    </w:p>
    <w:p w14:paraId="2E3A24EA" w14:textId="77777777" w:rsidR="0035410B" w:rsidRDefault="0035410B" w:rsidP="0035410B"/>
    <w:p w14:paraId="07A6ED8B" w14:textId="77777777" w:rsidR="0035410B" w:rsidRPr="00D605F3" w:rsidRDefault="0035410B" w:rsidP="0035410B">
      <w:pPr>
        <w:rPr>
          <w:lang w:val="en-US"/>
        </w:rPr>
      </w:pPr>
      <w:r w:rsidRPr="00470B72">
        <w:rPr>
          <w:b/>
          <w:bCs/>
          <w:lang w:val="en-US"/>
        </w:rPr>
        <w:t xml:space="preserve">Extended Data Fig. </w:t>
      </w:r>
      <w:r>
        <w:rPr>
          <w:b/>
          <w:bCs/>
          <w:lang w:val="en-US"/>
        </w:rPr>
        <w:t>2</w:t>
      </w:r>
      <w:r w:rsidRPr="0C627A5D">
        <w:rPr>
          <w:b/>
          <w:bCs/>
          <w:lang w:val="en-US"/>
        </w:rPr>
        <w:t xml:space="preserve">. Histopathology of PDOs </w:t>
      </w:r>
      <w:r>
        <w:rPr>
          <w:b/>
          <w:bCs/>
          <w:lang w:val="en-US"/>
        </w:rPr>
        <w:t xml:space="preserve">and </w:t>
      </w:r>
      <w:r w:rsidRPr="0C627A5D">
        <w:rPr>
          <w:b/>
          <w:bCs/>
          <w:lang w:val="en-US"/>
        </w:rPr>
        <w:t xml:space="preserve">corresponding CRLMs. a. </w:t>
      </w:r>
      <w:r w:rsidRPr="0C627A5D">
        <w:rPr>
          <w:lang w:val="en-US"/>
        </w:rPr>
        <w:t>Representative images of PDOs captured in phase contrast in culture</w:t>
      </w:r>
      <w:r>
        <w:rPr>
          <w:lang w:val="en-US"/>
        </w:rPr>
        <w:t xml:space="preserve"> (n=8 PDOs from 7 patients)</w:t>
      </w:r>
      <w:r w:rsidRPr="0C627A5D">
        <w:rPr>
          <w:lang w:val="en-US"/>
        </w:rPr>
        <w:t xml:space="preserve">. </w:t>
      </w:r>
      <w:r>
        <w:rPr>
          <w:lang w:val="en-US"/>
        </w:rPr>
        <w:t>M</w:t>
      </w:r>
      <w:r w:rsidRPr="0C627A5D">
        <w:rPr>
          <w:lang w:val="en-US"/>
        </w:rPr>
        <w:t>icrographs are from hematoxylin and eosin</w:t>
      </w:r>
      <w:r w:rsidRPr="0C627A5D">
        <w:rPr>
          <w:b/>
          <w:bCs/>
          <w:lang w:val="en-US"/>
        </w:rPr>
        <w:t xml:space="preserve"> </w:t>
      </w:r>
      <w:r w:rsidRPr="0C627A5D">
        <w:rPr>
          <w:lang w:val="en-US"/>
        </w:rPr>
        <w:t>(HE)</w:t>
      </w:r>
      <w:r w:rsidRPr="0C627A5D">
        <w:rPr>
          <w:b/>
          <w:bCs/>
          <w:lang w:val="en-US"/>
        </w:rPr>
        <w:t xml:space="preserve"> </w:t>
      </w:r>
      <w:r w:rsidRPr="0C627A5D">
        <w:rPr>
          <w:lang w:val="en-US"/>
        </w:rPr>
        <w:t>stain</w:t>
      </w:r>
      <w:r>
        <w:rPr>
          <w:lang w:val="en-US"/>
        </w:rPr>
        <w:t>s</w:t>
      </w:r>
      <w:r w:rsidRPr="0C627A5D">
        <w:rPr>
          <w:lang w:val="en-US"/>
        </w:rPr>
        <w:t xml:space="preserve"> of </w:t>
      </w:r>
      <w:r>
        <w:rPr>
          <w:lang w:val="en-US"/>
        </w:rPr>
        <w:t xml:space="preserve">the same </w:t>
      </w:r>
      <w:r w:rsidRPr="0C627A5D">
        <w:rPr>
          <w:lang w:val="en-US"/>
        </w:rPr>
        <w:t>PDOs and their corresponding CRLMs. Scale bar 200 µm.</w:t>
      </w:r>
    </w:p>
    <w:p w14:paraId="29F39A61" w14:textId="77777777" w:rsidR="0035410B" w:rsidRDefault="0035410B" w:rsidP="0035410B">
      <w:pPr>
        <w:rPr>
          <w:b/>
        </w:rPr>
      </w:pPr>
    </w:p>
    <w:p w14:paraId="01764D84" w14:textId="77777777" w:rsidR="0035410B" w:rsidRDefault="0035410B" w:rsidP="0035410B">
      <w:pPr>
        <w:rPr>
          <w:lang w:val="en-US"/>
        </w:rPr>
      </w:pPr>
      <w:r w:rsidRPr="00347FE2">
        <w:rPr>
          <w:b/>
          <w:bCs/>
        </w:rPr>
        <w:t xml:space="preserve">Extended Data Fig. </w:t>
      </w:r>
      <w:r>
        <w:rPr>
          <w:b/>
          <w:bCs/>
        </w:rPr>
        <w:t>3</w:t>
      </w:r>
      <w:r w:rsidRPr="00347FE2">
        <w:rPr>
          <w:b/>
          <w:bCs/>
          <w:lang w:val="en-US"/>
        </w:rPr>
        <w:t>.</w:t>
      </w:r>
      <w:r w:rsidRPr="0C627A5D">
        <w:rPr>
          <w:b/>
          <w:bCs/>
          <w:lang w:val="en-US"/>
        </w:rPr>
        <w:t xml:space="preserve"> Transcriptomics</w:t>
      </w:r>
      <w:r>
        <w:rPr>
          <w:b/>
          <w:bCs/>
          <w:lang w:val="en-US"/>
        </w:rPr>
        <w:t xml:space="preserve"> of</w:t>
      </w:r>
      <w:r w:rsidRPr="0C627A5D">
        <w:rPr>
          <w:b/>
          <w:bCs/>
          <w:lang w:val="en-US"/>
        </w:rPr>
        <w:t xml:space="preserve"> paired PDOs and CRLMs. a. </w:t>
      </w:r>
      <w:r w:rsidRPr="0C627A5D">
        <w:rPr>
          <w:lang w:val="en-US"/>
        </w:rPr>
        <w:t xml:space="preserve">Similarity scores of PDO gene expression profiles (n=119 and 92 PDOs analyzed by </w:t>
      </w:r>
      <w:r>
        <w:t xml:space="preserve">Human Transcriptome 2.0 arrays, </w:t>
      </w:r>
      <w:r w:rsidRPr="0C627A5D">
        <w:rPr>
          <w:lang w:val="en-US"/>
        </w:rPr>
        <w:t xml:space="preserve">HTA and RNA sequencing, respectively, including 5 overlapping samples indicated by dashed lines) for primary CRC tissue samples from The Cancer Genome Atlas (TCGA) as reference, estimated with the CancerCellNet approach. CRC similarity scores were high for the majority of PDOs and in particular for samples analyzed by RNA sequencing, likely reflecting technology bias (TCGA samples were analyzed by RNA sequencing). A subset of PDOs analyzed by HTA (n=24) had higher similarity scores for other cancer types in TCGA (indicated by dot colors), but higher CRC similarity scores than expected by chance (random profiles indicated by the dashed horizontal lines). </w:t>
      </w:r>
      <w:r w:rsidRPr="0C627A5D">
        <w:rPr>
          <w:b/>
          <w:bCs/>
          <w:lang w:val="en-US"/>
        </w:rPr>
        <w:t>b.</w:t>
      </w:r>
      <w:r w:rsidRPr="0C627A5D">
        <w:rPr>
          <w:lang w:val="en-US"/>
        </w:rPr>
        <w:t xml:space="preserve"> PDOs had higher CRC similarity scores than their original tumor samples (grey lines indicating sample pairs), likely reflecting differences of the tumor microenvironment between liver metastases and the primary CRC samples used for reference. </w:t>
      </w:r>
      <w:r w:rsidRPr="0C627A5D">
        <w:rPr>
          <w:b/>
          <w:bCs/>
          <w:lang w:val="en-US"/>
        </w:rPr>
        <w:t>c.</w:t>
      </w:r>
      <w:r w:rsidRPr="0C627A5D">
        <w:rPr>
          <w:lang w:val="en-US"/>
        </w:rPr>
        <w:t xml:space="preserve"> Principal components analysis of the combined dataset of corresponding PDOs and liver metastases (n=50 sample pairs), showing separation of the sample types along the first principal component only. </w:t>
      </w:r>
      <w:r w:rsidRPr="0C627A5D">
        <w:rPr>
          <w:b/>
          <w:bCs/>
          <w:lang w:val="en-US"/>
        </w:rPr>
        <w:t>d.</w:t>
      </w:r>
      <w:r w:rsidRPr="0C627A5D">
        <w:rPr>
          <w:lang w:val="en-US"/>
        </w:rPr>
        <w:t xml:space="preserve"> The first principal component was primarily driven by the tumor microenvironment, illustrated with a stromal infiltration score estimated by single-sample gene set variation analysis. </w:t>
      </w:r>
      <w:r w:rsidRPr="0C627A5D">
        <w:rPr>
          <w:b/>
          <w:bCs/>
          <w:lang w:val="en-US"/>
        </w:rPr>
        <w:t>e.</w:t>
      </w:r>
      <w:r w:rsidRPr="0C627A5D">
        <w:rPr>
          <w:lang w:val="en-US"/>
        </w:rPr>
        <w:t xml:space="preserve"> Heat map of Spearman correlation coefficients between the first (top) and second (bottom) principal components and single-sample gene set enrichment scores for selected gene sets (top-25 positively and negatively correlated gene sets in a custom collection) among PDOs and the corresponding tumor tissue samples separately. These analyses supported </w:t>
      </w:r>
      <w:r w:rsidRPr="0C627A5D">
        <w:rPr>
          <w:lang w:val="en-US"/>
        </w:rPr>
        <w:lastRenderedPageBreak/>
        <w:t>the strong correlation between the first component and tumor microenvironment signatures, while the second component was most strongly correlated with cancer cell-intrinsic signatures, including the BRAF mutant-like signature. The PDOs and tumor tissue samples showed similar gene set correlations for each of the principal components.</w:t>
      </w:r>
    </w:p>
    <w:p w14:paraId="32885F00" w14:textId="77777777" w:rsidR="0035410B" w:rsidRPr="00137CC5" w:rsidRDefault="0035410B" w:rsidP="0035410B">
      <w:pPr>
        <w:rPr>
          <w:lang w:val="en-US"/>
        </w:rPr>
      </w:pPr>
    </w:p>
    <w:p w14:paraId="34B1569F" w14:textId="77777777" w:rsidR="0035410B" w:rsidRDefault="0035410B" w:rsidP="0035410B">
      <w:r w:rsidRPr="00294FC8">
        <w:rPr>
          <w:b/>
          <w:bCs/>
        </w:rPr>
        <w:t xml:space="preserve">Extended Data Fig. </w:t>
      </w:r>
      <w:r>
        <w:rPr>
          <w:b/>
          <w:bCs/>
        </w:rPr>
        <w:t>4</w:t>
      </w:r>
      <w:r w:rsidRPr="0C627A5D">
        <w:rPr>
          <w:b/>
          <w:bCs/>
          <w:lang w:val="en-US"/>
        </w:rPr>
        <w:t>. Association of drug sensitivities with</w:t>
      </w:r>
      <w:r>
        <w:rPr>
          <w:b/>
          <w:bCs/>
          <w:lang w:val="en-US"/>
        </w:rPr>
        <w:t xml:space="preserve"> </w:t>
      </w:r>
      <w:r w:rsidRPr="00EF02BF">
        <w:rPr>
          <w:b/>
          <w:bCs/>
          <w:i/>
          <w:iCs/>
          <w:lang w:val="en-US"/>
        </w:rPr>
        <w:t>RAS/BRAF</w:t>
      </w:r>
      <w:r>
        <w:rPr>
          <w:b/>
          <w:bCs/>
          <w:lang w:val="en-US"/>
        </w:rPr>
        <w:t xml:space="preserve"> and </w:t>
      </w:r>
      <w:r w:rsidRPr="00EF02BF">
        <w:rPr>
          <w:b/>
          <w:bCs/>
          <w:i/>
          <w:iCs/>
          <w:lang w:val="en-US"/>
        </w:rPr>
        <w:t>TP53</w:t>
      </w:r>
      <w:r>
        <w:rPr>
          <w:b/>
          <w:bCs/>
          <w:lang w:val="en-US"/>
        </w:rPr>
        <w:t xml:space="preserve"> mutations</w:t>
      </w:r>
      <w:r w:rsidRPr="0C627A5D">
        <w:rPr>
          <w:b/>
          <w:bCs/>
          <w:lang w:val="en-US"/>
        </w:rPr>
        <w:t xml:space="preserve">. a. </w:t>
      </w:r>
      <w:r w:rsidRPr="0085228A">
        <w:rPr>
          <w:lang w:val="en-US"/>
        </w:rPr>
        <w:t>B</w:t>
      </w:r>
      <w:r>
        <w:rPr>
          <w:lang w:val="en-US"/>
        </w:rPr>
        <w:t xml:space="preserve">ox plot of </w:t>
      </w:r>
      <w:r w:rsidRPr="0C627A5D">
        <w:rPr>
          <w:lang w:val="en-US"/>
        </w:rPr>
        <w:t xml:space="preserve">DSS </w:t>
      </w:r>
      <w:r>
        <w:rPr>
          <w:lang w:val="en-US"/>
        </w:rPr>
        <w:t xml:space="preserve">values for the </w:t>
      </w:r>
      <w:r w:rsidRPr="0C627A5D">
        <w:rPr>
          <w:lang w:val="en-US"/>
        </w:rPr>
        <w:t xml:space="preserve">EGFR inhibitors afatinib, lapatinib and erlotinib </w:t>
      </w:r>
      <w:r>
        <w:rPr>
          <w:lang w:val="en-US"/>
        </w:rPr>
        <w:t xml:space="preserve">according to </w:t>
      </w:r>
      <w:r w:rsidRPr="0C627A5D">
        <w:rPr>
          <w:i/>
          <w:iCs/>
          <w:lang w:val="en-US"/>
        </w:rPr>
        <w:t>KRAS</w:t>
      </w:r>
      <w:r w:rsidRPr="0C627A5D">
        <w:rPr>
          <w:lang w:val="en-US"/>
        </w:rPr>
        <w:t>,</w:t>
      </w:r>
      <w:r w:rsidRPr="0C627A5D">
        <w:rPr>
          <w:i/>
          <w:iCs/>
          <w:lang w:val="en-US"/>
        </w:rPr>
        <w:t xml:space="preserve"> NRAS and BRAF </w:t>
      </w:r>
      <w:r w:rsidRPr="0C627A5D">
        <w:rPr>
          <w:lang w:val="en-US"/>
        </w:rPr>
        <w:t xml:space="preserve">mutation </w:t>
      </w:r>
      <w:r>
        <w:rPr>
          <w:lang w:val="en-US"/>
        </w:rPr>
        <w:t>status of PDOs. P-values are from Wilcoxon tests</w:t>
      </w:r>
      <w:r w:rsidRPr="0C627A5D">
        <w:rPr>
          <w:lang w:val="en-US"/>
        </w:rPr>
        <w:t xml:space="preserve"> </w:t>
      </w:r>
      <w:r w:rsidRPr="0C627A5D">
        <w:rPr>
          <w:b/>
          <w:bCs/>
          <w:lang w:val="en-US"/>
        </w:rPr>
        <w:t>b.</w:t>
      </w:r>
      <w:r w:rsidRPr="0C627A5D">
        <w:rPr>
          <w:lang w:val="en-US"/>
        </w:rPr>
        <w:t xml:space="preserve"> </w:t>
      </w:r>
      <w:r>
        <w:rPr>
          <w:lang w:val="en-US"/>
        </w:rPr>
        <w:t xml:space="preserve">Box plot of </w:t>
      </w:r>
      <w:r w:rsidRPr="0C627A5D">
        <w:rPr>
          <w:lang w:val="en-US"/>
        </w:rPr>
        <w:t xml:space="preserve">DSS </w:t>
      </w:r>
      <w:r>
        <w:rPr>
          <w:lang w:val="en-US"/>
        </w:rPr>
        <w:t xml:space="preserve">values for </w:t>
      </w:r>
      <w:r w:rsidRPr="0C627A5D">
        <w:rPr>
          <w:lang w:val="en-US"/>
        </w:rPr>
        <w:t>afatinib</w:t>
      </w:r>
      <w:r>
        <w:rPr>
          <w:lang w:val="en-US"/>
        </w:rPr>
        <w:t xml:space="preserve"> according to </w:t>
      </w:r>
      <w:r w:rsidRPr="0C627A5D">
        <w:rPr>
          <w:i/>
          <w:iCs/>
          <w:lang w:val="en-US"/>
        </w:rPr>
        <w:t>KRAS</w:t>
      </w:r>
      <w:r w:rsidRPr="0C627A5D">
        <w:rPr>
          <w:lang w:val="en-US"/>
        </w:rPr>
        <w:t xml:space="preserve"> and </w:t>
      </w:r>
      <w:r w:rsidRPr="0C627A5D">
        <w:rPr>
          <w:i/>
          <w:iCs/>
          <w:lang w:val="en-US"/>
        </w:rPr>
        <w:t>NRAS</w:t>
      </w:r>
      <w:r w:rsidRPr="0C627A5D">
        <w:rPr>
          <w:lang w:val="en-US"/>
        </w:rPr>
        <w:t xml:space="preserve"> hotspot mutations. </w:t>
      </w:r>
      <w:r w:rsidRPr="0C627A5D">
        <w:rPr>
          <w:b/>
          <w:bCs/>
          <w:lang w:val="en-US"/>
        </w:rPr>
        <w:t xml:space="preserve">c. </w:t>
      </w:r>
      <w:r w:rsidRPr="004935A7">
        <w:rPr>
          <w:lang w:val="en-US"/>
        </w:rPr>
        <w:t>Box plot</w:t>
      </w:r>
      <w:r>
        <w:rPr>
          <w:lang w:val="en-US"/>
        </w:rPr>
        <w:t xml:space="preserve"> of DSS values for the TP53-MDM2 inhibitor idasanutlin according to</w:t>
      </w:r>
      <w:r w:rsidRPr="004935A7">
        <w:rPr>
          <w:lang w:val="en-US"/>
        </w:rPr>
        <w:t xml:space="preserve"> </w:t>
      </w:r>
      <w:r w:rsidRPr="0C627A5D">
        <w:rPr>
          <w:i/>
          <w:iCs/>
        </w:rPr>
        <w:t xml:space="preserve">TP53 </w:t>
      </w:r>
      <w:r>
        <w:t xml:space="preserve">mutation status. P-value is from Wilcoxon test. </w:t>
      </w:r>
      <w:r w:rsidRPr="0C627A5D">
        <w:rPr>
          <w:b/>
          <w:bCs/>
        </w:rPr>
        <w:t>d.</w:t>
      </w:r>
      <w:r>
        <w:t xml:space="preserve"> Scatter plot of DSS values for idasanutlin according to </w:t>
      </w:r>
      <w:r w:rsidRPr="00DE33D1">
        <w:rPr>
          <w:i/>
          <w:iCs/>
        </w:rPr>
        <w:t>TP53</w:t>
      </w:r>
      <w:r>
        <w:t xml:space="preserve"> expression levels. Colors indicate </w:t>
      </w:r>
      <w:r w:rsidRPr="0C627A5D">
        <w:rPr>
          <w:i/>
          <w:iCs/>
        </w:rPr>
        <w:t>TP53</w:t>
      </w:r>
      <w:r>
        <w:t xml:space="preserve"> mutation variants. </w:t>
      </w:r>
      <w:r w:rsidRPr="0C627A5D">
        <w:rPr>
          <w:b/>
          <w:bCs/>
        </w:rPr>
        <w:t>e</w:t>
      </w:r>
      <w:r>
        <w:t xml:space="preserve">. Scatter plot of TP53 expression in PDOs on the protein and mRNA levels. </w:t>
      </w:r>
      <w:r w:rsidRPr="0C627A5D">
        <w:rPr>
          <w:b/>
          <w:bCs/>
        </w:rPr>
        <w:t>f.</w:t>
      </w:r>
      <w:r>
        <w:t xml:space="preserve"> Dose response curves of </w:t>
      </w:r>
      <w:bookmarkStart w:id="0" w:name="_Int_zoZ4ZfUt"/>
      <w:r>
        <w:t>sotorasib</w:t>
      </w:r>
      <w:bookmarkEnd w:id="0"/>
      <w:r>
        <w:t xml:space="preserve"> (KRAS</w:t>
      </w:r>
      <w:r w:rsidRPr="0C627A5D">
        <w:rPr>
          <w:vertAlign w:val="superscript"/>
        </w:rPr>
        <w:t>G12C</w:t>
      </w:r>
      <w:r>
        <w:t xml:space="preserve"> inhibitor) in two </w:t>
      </w:r>
      <w:r w:rsidRPr="0C627A5D">
        <w:rPr>
          <w:i/>
          <w:iCs/>
        </w:rPr>
        <w:t>KRAS</w:t>
      </w:r>
      <w:r w:rsidRPr="0C627A5D">
        <w:rPr>
          <w:i/>
          <w:iCs/>
          <w:vertAlign w:val="superscript"/>
        </w:rPr>
        <w:t>G12C</w:t>
      </w:r>
      <w:r>
        <w:t xml:space="preserve"> mutated PDOs from one patient. </w:t>
      </w:r>
      <w:r w:rsidRPr="0C627A5D">
        <w:rPr>
          <w:b/>
          <w:bCs/>
        </w:rPr>
        <w:t>g.</w:t>
      </w:r>
      <w:r>
        <w:t xml:space="preserve"> Box plot of DSS values for the BRAF</w:t>
      </w:r>
      <w:r w:rsidRPr="0C627A5D">
        <w:rPr>
          <w:vertAlign w:val="superscript"/>
        </w:rPr>
        <w:t>V600E</w:t>
      </w:r>
      <w:r>
        <w:t xml:space="preserve"> inhibitor encorafenib according to the </w:t>
      </w:r>
      <w:r w:rsidRPr="00DC5C7A">
        <w:rPr>
          <w:i/>
          <w:iCs/>
        </w:rPr>
        <w:t>BRAF</w:t>
      </w:r>
      <w:r>
        <w:t xml:space="preserve"> mutation status of PDOs.</w:t>
      </w:r>
      <w:r w:rsidRPr="0C627A5D">
        <w:rPr>
          <w:lang w:val="en-US"/>
        </w:rPr>
        <w:t xml:space="preserve"> Red dots indicate five PDOs from one patient</w:t>
      </w:r>
      <w:r>
        <w:rPr>
          <w:lang w:val="en-US"/>
        </w:rPr>
        <w:t xml:space="preserve"> that showed </w:t>
      </w:r>
      <w:r w:rsidRPr="00BB4D0A">
        <w:rPr>
          <w:i/>
          <w:iCs/>
          <w:lang w:val="en-US"/>
        </w:rPr>
        <w:t>ex vivo</w:t>
      </w:r>
      <w:r>
        <w:rPr>
          <w:lang w:val="en-US"/>
        </w:rPr>
        <w:t xml:space="preserve"> sensitivity </w:t>
      </w:r>
      <w:r w:rsidRPr="0C627A5D">
        <w:rPr>
          <w:lang w:val="en-US"/>
        </w:rPr>
        <w:t xml:space="preserve">to encorafenib </w:t>
      </w:r>
      <w:r>
        <w:rPr>
          <w:lang w:val="en-US"/>
        </w:rPr>
        <w:t xml:space="preserve">as a </w:t>
      </w:r>
      <w:r w:rsidRPr="0C627A5D">
        <w:rPr>
          <w:lang w:val="en-US"/>
        </w:rPr>
        <w:t xml:space="preserve">single </w:t>
      </w:r>
      <w:r>
        <w:rPr>
          <w:lang w:val="en-US"/>
        </w:rPr>
        <w:t>agent in four PDOs</w:t>
      </w:r>
      <w:r w:rsidRPr="0C627A5D">
        <w:rPr>
          <w:lang w:val="en-US"/>
        </w:rPr>
        <w:t xml:space="preserve">. </w:t>
      </w:r>
      <w:r w:rsidRPr="0C627A5D">
        <w:rPr>
          <w:b/>
          <w:bCs/>
        </w:rPr>
        <w:t>h.</w:t>
      </w:r>
      <w:r>
        <w:t xml:space="preserve"> DSS values of afatinib (EGFR inhibitor), encorafenib (BRAF</w:t>
      </w:r>
      <w:r w:rsidRPr="0C627A5D">
        <w:rPr>
          <w:vertAlign w:val="superscript"/>
        </w:rPr>
        <w:t>V600E</w:t>
      </w:r>
      <w:r>
        <w:t xml:space="preserve"> inhibitor) and trametinib (MEK1/2 inhibitor) and the triple combination (Afa:Enc:Tra) in PDOs with </w:t>
      </w:r>
      <w:r w:rsidRPr="0C627A5D">
        <w:rPr>
          <w:i/>
          <w:iCs/>
        </w:rPr>
        <w:t>BRAF</w:t>
      </w:r>
      <w:r w:rsidRPr="0C627A5D">
        <w:rPr>
          <w:i/>
          <w:iCs/>
          <w:vertAlign w:val="superscript"/>
        </w:rPr>
        <w:t>V600E</w:t>
      </w:r>
      <w:r>
        <w:t xml:space="preserve"> gene mutations. Dashed lines connect estimates from each PDO. The tripe drug combination was in a 1:1:1 ratio at seven different concentrations. </w:t>
      </w:r>
      <w:r w:rsidRPr="0C627A5D">
        <w:rPr>
          <w:b/>
          <w:bCs/>
          <w:lang w:val="en-US"/>
        </w:rPr>
        <w:t xml:space="preserve">i. </w:t>
      </w:r>
      <w:r>
        <w:t xml:space="preserve">Association of </w:t>
      </w:r>
      <w:r w:rsidRPr="0C627A5D">
        <w:rPr>
          <w:i/>
          <w:iCs/>
        </w:rPr>
        <w:t>BRAF</w:t>
      </w:r>
      <w:r w:rsidRPr="0C627A5D">
        <w:rPr>
          <w:i/>
          <w:iCs/>
          <w:vertAlign w:val="superscript"/>
        </w:rPr>
        <w:t>V600E</w:t>
      </w:r>
      <w:r>
        <w:t xml:space="preserve"> gene mutations with DSS of afatinib, trametinib and combination. </w:t>
      </w:r>
      <w:r w:rsidRPr="008F15D7">
        <w:t>ΔDSS is the difference between medians of DSS between the two groups compared</w:t>
      </w:r>
      <w:r>
        <w:t>.</w:t>
      </w:r>
    </w:p>
    <w:p w14:paraId="1254EC04" w14:textId="77777777" w:rsidR="0035410B" w:rsidRDefault="0035410B" w:rsidP="0035410B"/>
    <w:p w14:paraId="5EEF13E8" w14:textId="77777777" w:rsidR="0035410B" w:rsidRDefault="0035410B" w:rsidP="0035410B">
      <w:r w:rsidRPr="00294FC8">
        <w:rPr>
          <w:b/>
          <w:bCs/>
        </w:rPr>
        <w:t xml:space="preserve">Extended Data Fig. </w:t>
      </w:r>
      <w:r>
        <w:rPr>
          <w:b/>
          <w:bCs/>
        </w:rPr>
        <w:t>5</w:t>
      </w:r>
      <w:r w:rsidRPr="0C627A5D">
        <w:rPr>
          <w:b/>
          <w:bCs/>
          <w:lang w:val="en-US"/>
        </w:rPr>
        <w:t>. Association of drug sensitivities with</w:t>
      </w:r>
      <w:r>
        <w:rPr>
          <w:b/>
          <w:bCs/>
          <w:lang w:val="en-US"/>
        </w:rPr>
        <w:t xml:space="preserve"> </w:t>
      </w:r>
      <w:r w:rsidRPr="00EF02BF">
        <w:rPr>
          <w:b/>
          <w:bCs/>
          <w:i/>
          <w:iCs/>
          <w:lang w:val="en-US"/>
        </w:rPr>
        <w:t>RAS/BRAF</w:t>
      </w:r>
      <w:r>
        <w:rPr>
          <w:b/>
          <w:bCs/>
          <w:lang w:val="en-US"/>
        </w:rPr>
        <w:t xml:space="preserve"> mutations, iCMS and CDX2/RCC2 protein expression</w:t>
      </w:r>
      <w:r w:rsidRPr="0C627A5D">
        <w:rPr>
          <w:b/>
          <w:bCs/>
          <w:lang w:val="en-US"/>
        </w:rPr>
        <w:t>.</w:t>
      </w:r>
      <w:r>
        <w:rPr>
          <w:b/>
          <w:bCs/>
          <w:lang w:val="en-US"/>
        </w:rPr>
        <w:t xml:space="preserve"> </w:t>
      </w:r>
      <w:r>
        <w:t xml:space="preserve">Association of </w:t>
      </w:r>
      <w:r w:rsidRPr="0C627A5D">
        <w:rPr>
          <w:i/>
          <w:iCs/>
        </w:rPr>
        <w:t>KRAS, NRAS</w:t>
      </w:r>
      <w:r>
        <w:t xml:space="preserve"> and </w:t>
      </w:r>
      <w:r w:rsidRPr="0C627A5D">
        <w:rPr>
          <w:i/>
          <w:iCs/>
        </w:rPr>
        <w:t>BRAF</w:t>
      </w:r>
      <w:r>
        <w:t xml:space="preserve"> gene mutation-variants with the multi kinase inhibitor Regorafenib DSS</w:t>
      </w:r>
      <w:r w:rsidRPr="0C627A5D">
        <w:rPr>
          <w:b/>
          <w:bCs/>
        </w:rPr>
        <w:t xml:space="preserve"> </w:t>
      </w:r>
      <w:r>
        <w:t>(</w:t>
      </w:r>
      <w:r>
        <w:rPr>
          <w:b/>
          <w:bCs/>
        </w:rPr>
        <w:t>a</w:t>
      </w:r>
      <w:r>
        <w:t>)</w:t>
      </w:r>
      <w:r w:rsidRPr="0C627A5D">
        <w:rPr>
          <w:b/>
          <w:bCs/>
        </w:rPr>
        <w:t xml:space="preserve"> </w:t>
      </w:r>
      <w:r>
        <w:t>and the IGF1R inhibitor BMS-754807 inhibitor DSS (</w:t>
      </w:r>
      <w:r>
        <w:rPr>
          <w:b/>
          <w:bCs/>
        </w:rPr>
        <w:t>b</w:t>
      </w:r>
      <w:r>
        <w:t>)</w:t>
      </w:r>
      <w:r w:rsidRPr="0C627A5D">
        <w:rPr>
          <w:b/>
          <w:bCs/>
        </w:rPr>
        <w:t xml:space="preserve"> </w:t>
      </w:r>
      <w:r>
        <w:t>as analyzed with</w:t>
      </w:r>
      <w:r w:rsidRPr="0C627A5D">
        <w:rPr>
          <w:b/>
          <w:bCs/>
        </w:rPr>
        <w:t xml:space="preserve"> </w:t>
      </w:r>
      <w:r w:rsidRPr="0C627A5D">
        <w:rPr>
          <w:lang w:val="en-US"/>
        </w:rPr>
        <w:t>Kruskal-Wallis test (more than two groups) and Wilcoxon test between two groups</w:t>
      </w:r>
      <w:r>
        <w:t xml:space="preserve">. </w:t>
      </w:r>
      <w:r>
        <w:rPr>
          <w:b/>
          <w:bCs/>
        </w:rPr>
        <w:t>c</w:t>
      </w:r>
      <w:r>
        <w:t xml:space="preserve">. Association of iCMS with afatinib, lapatinib, gemcitabine and alisertib in the </w:t>
      </w:r>
      <w:r w:rsidRPr="0C627A5D">
        <w:rPr>
          <w:i/>
          <w:iCs/>
        </w:rPr>
        <w:t>RAS/BRAF</w:t>
      </w:r>
      <w:r>
        <w:t xml:space="preserve"> mutated and wild type PDOs. </w:t>
      </w:r>
      <w:r>
        <w:rPr>
          <w:b/>
          <w:bCs/>
        </w:rPr>
        <w:t>d</w:t>
      </w:r>
      <w:r>
        <w:t xml:space="preserve">. Association of 5-FU sensitivity with CDX2 and RCC2 protein expression. </w:t>
      </w:r>
    </w:p>
    <w:p w14:paraId="14DB8131" w14:textId="77777777" w:rsidR="0035410B" w:rsidRDefault="0035410B" w:rsidP="0035410B"/>
    <w:p w14:paraId="43F7DEC3" w14:textId="77777777" w:rsidR="0035410B" w:rsidRDefault="0035410B" w:rsidP="0035410B">
      <w:r w:rsidRPr="00294FC8">
        <w:rPr>
          <w:b/>
          <w:bCs/>
        </w:rPr>
        <w:t xml:space="preserve">Extended Data Fig. </w:t>
      </w:r>
      <w:r>
        <w:rPr>
          <w:b/>
          <w:bCs/>
        </w:rPr>
        <w:t>6</w:t>
      </w:r>
      <w:r w:rsidRPr="0C627A5D">
        <w:rPr>
          <w:b/>
          <w:bCs/>
          <w:lang w:val="en-US"/>
        </w:rPr>
        <w:t xml:space="preserve">. </w:t>
      </w:r>
      <w:r>
        <w:rPr>
          <w:b/>
          <w:bCs/>
          <w:lang w:val="en-US"/>
        </w:rPr>
        <w:t>Co-mutations and association with drugs</w:t>
      </w:r>
      <w:r>
        <w:t xml:space="preserve">. </w:t>
      </w:r>
      <w:r w:rsidRPr="00A92496">
        <w:rPr>
          <w:b/>
          <w:bCs/>
        </w:rPr>
        <w:t>a.</w:t>
      </w:r>
      <w:r>
        <w:t xml:space="preserve"> </w:t>
      </w:r>
      <w:r w:rsidRPr="00FB4523">
        <w:t>Ranking of co</w:t>
      </w:r>
      <w:r>
        <w:t xml:space="preserve">-occurring mutations found in </w:t>
      </w:r>
      <w:r w:rsidRPr="00EA4E8F">
        <w:t xml:space="preserve">≥ </w:t>
      </w:r>
      <w:r>
        <w:t xml:space="preserve">10 PDOs or 7.24% of the analyzed PDOs for gene mutations. </w:t>
      </w:r>
      <w:r>
        <w:rPr>
          <w:b/>
          <w:bCs/>
        </w:rPr>
        <w:t>b</w:t>
      </w:r>
      <w:r w:rsidRPr="00FB4523">
        <w:rPr>
          <w:b/>
          <w:bCs/>
        </w:rPr>
        <w:t>.</w:t>
      </w:r>
      <w:r>
        <w:t xml:space="preserve"> Wilcoxon </w:t>
      </w:r>
      <w:r>
        <w:lastRenderedPageBreak/>
        <w:t xml:space="preserve">tests of EGFR inhibitors (left) as well as SN-38 and TAS-102 (right) with the sidedness of the primary tumor in the colon as grouped by </w:t>
      </w:r>
      <w:r w:rsidRPr="004F7C93">
        <w:rPr>
          <w:i/>
          <w:iCs/>
        </w:rPr>
        <w:t>RAS/BRAF</w:t>
      </w:r>
      <w:r w:rsidRPr="004F7C93">
        <w:rPr>
          <w:i/>
          <w:iCs/>
          <w:vertAlign w:val="superscript"/>
        </w:rPr>
        <w:t>V600E</w:t>
      </w:r>
      <w:r>
        <w:t xml:space="preserve"> mutations. </w:t>
      </w:r>
    </w:p>
    <w:p w14:paraId="1729ADE4" w14:textId="77777777" w:rsidR="0035410B" w:rsidRDefault="0035410B" w:rsidP="0035410B"/>
    <w:p w14:paraId="3500CF82" w14:textId="77777777" w:rsidR="0035410B" w:rsidRPr="00EA4E8F" w:rsidRDefault="0035410B" w:rsidP="0035410B">
      <w:r w:rsidRPr="00294FC8">
        <w:rPr>
          <w:b/>
          <w:bCs/>
        </w:rPr>
        <w:t xml:space="preserve">Extended Data Fig. </w:t>
      </w:r>
      <w:r>
        <w:rPr>
          <w:b/>
          <w:bCs/>
        </w:rPr>
        <w:t>7</w:t>
      </w:r>
      <w:r w:rsidRPr="0C627A5D">
        <w:rPr>
          <w:b/>
          <w:bCs/>
          <w:lang w:val="en-US"/>
        </w:rPr>
        <w:t>.</w:t>
      </w:r>
      <w:r>
        <w:rPr>
          <w:b/>
          <w:bCs/>
          <w:lang w:val="en-US"/>
        </w:rPr>
        <w:t xml:space="preserve"> Drug sensitivities in association with patient survival. </w:t>
      </w:r>
      <w:r>
        <w:t>Multivariable Cox proportional hazard models of overall survival after liver resection, including sensitivity to atorvastatin (HMG-CoA), bemcentinib (AXL inhibitor), afatinib and lapatinib, respectively.</w:t>
      </w:r>
    </w:p>
    <w:p w14:paraId="7B25733B" w14:textId="77777777" w:rsidR="0035410B" w:rsidRDefault="0035410B" w:rsidP="0035410B"/>
    <w:p w14:paraId="66C2A9CC" w14:textId="77777777" w:rsidR="0035410B" w:rsidRDefault="0035410B" w:rsidP="0035410B">
      <w:pPr>
        <w:rPr>
          <w:b/>
          <w:bCs/>
          <w:lang w:val="en-US"/>
        </w:rPr>
      </w:pPr>
      <w:r w:rsidRPr="0041092D">
        <w:rPr>
          <w:b/>
          <w:bCs/>
        </w:rPr>
        <w:t xml:space="preserve">Extended Data Fig. </w:t>
      </w:r>
      <w:r>
        <w:rPr>
          <w:b/>
          <w:bCs/>
        </w:rPr>
        <w:t>8</w:t>
      </w:r>
      <w:r w:rsidRPr="0041092D">
        <w:rPr>
          <w:b/>
          <w:bCs/>
          <w:lang w:val="en-US"/>
        </w:rPr>
        <w:t>.</w:t>
      </w:r>
      <w:r w:rsidRPr="0C627A5D">
        <w:rPr>
          <w:b/>
          <w:bCs/>
          <w:lang w:val="en-US"/>
        </w:rPr>
        <w:t xml:space="preserve"> PDO morphologies in association with gene mutations, protein expression and drug sensitivities. a. </w:t>
      </w:r>
      <w:r w:rsidRPr="0C627A5D">
        <w:rPr>
          <w:lang w:val="en-US"/>
        </w:rPr>
        <w:t xml:space="preserve">Association of the relative mean protein expression of diagnostic protein markers CDX2 and KRT20 in cystic PDOs compared to the rest (solid and mixed PDO morphologies) and solid PDOs compared to the rest (cystic and mixed PDO morphologies) analyzed using the Wilcoxon test. </w:t>
      </w:r>
      <w:r w:rsidRPr="0C627A5D">
        <w:rPr>
          <w:b/>
          <w:bCs/>
          <w:lang w:val="en-US"/>
        </w:rPr>
        <w:t>b.</w:t>
      </w:r>
      <w:r w:rsidRPr="0C627A5D">
        <w:rPr>
          <w:lang w:val="en-US"/>
        </w:rPr>
        <w:t xml:space="preserve"> CDX2 and KRT20 protein expression in PDOs with different morphologies. </w:t>
      </w:r>
      <w:r w:rsidRPr="0C627A5D">
        <w:rPr>
          <w:b/>
          <w:bCs/>
          <w:lang w:val="en-US"/>
        </w:rPr>
        <w:t>c.</w:t>
      </w:r>
      <w:r w:rsidRPr="0C627A5D">
        <w:rPr>
          <w:lang w:val="en-US"/>
        </w:rPr>
        <w:t xml:space="preserve"> </w:t>
      </w:r>
      <w:r>
        <w:t xml:space="preserve">PDO morphologies in association with </w:t>
      </w:r>
      <w:r w:rsidRPr="0C627A5D">
        <w:rPr>
          <w:i/>
          <w:iCs/>
        </w:rPr>
        <w:t>BRAF</w:t>
      </w:r>
      <w:r>
        <w:t xml:space="preserve"> mutation variants using Pearson’s chi-square test. </w:t>
      </w:r>
      <w:r w:rsidRPr="0C627A5D">
        <w:rPr>
          <w:b/>
          <w:bCs/>
        </w:rPr>
        <w:t>d</w:t>
      </w:r>
      <w:r>
        <w:t xml:space="preserve">. PDO morphologies in association with DSS of 5-FU, afatinib and lapatinib in </w:t>
      </w:r>
      <w:r w:rsidRPr="0C627A5D">
        <w:rPr>
          <w:i/>
          <w:iCs/>
        </w:rPr>
        <w:t>RAS/BRAF</w:t>
      </w:r>
      <w:r>
        <w:t xml:space="preserve"> wild type and mutated PDOs analyzed separately. </w:t>
      </w:r>
      <w:r w:rsidRPr="0C627A5D">
        <w:rPr>
          <w:b/>
          <w:bCs/>
        </w:rPr>
        <w:t>e.</w:t>
      </w:r>
      <w:r>
        <w:t xml:space="preserve"> Scatter plot of enrichment scores from analyses of a custom gene set collection (n=106) in cystic (negative scores) versus solid PDOs (positive scores) in the HTA and RNA sequencing datasets (total n=139 PDOs). Gene sets with significant enrichments in both data sets are indicated with fully colored dots (n=4 gene sets), while selected significant enrichments in either data set are shown with outlined dots.</w:t>
      </w:r>
    </w:p>
    <w:p w14:paraId="54F8F19E" w14:textId="77777777" w:rsidR="0035410B" w:rsidRDefault="0035410B" w:rsidP="0035410B">
      <w:pPr>
        <w:rPr>
          <w:b/>
        </w:rPr>
      </w:pPr>
    </w:p>
    <w:p w14:paraId="6D5A1390" w14:textId="77777777" w:rsidR="0035410B" w:rsidRDefault="0035410B" w:rsidP="0035410B">
      <w:pPr>
        <w:rPr>
          <w:lang w:val="en-US"/>
        </w:rPr>
      </w:pPr>
      <w:r w:rsidRPr="004133B1">
        <w:rPr>
          <w:b/>
          <w:bCs/>
        </w:rPr>
        <w:t xml:space="preserve">Extended Data Fig. </w:t>
      </w:r>
      <w:r>
        <w:rPr>
          <w:b/>
          <w:bCs/>
        </w:rPr>
        <w:t>9</w:t>
      </w:r>
      <w:r w:rsidRPr="004133B1">
        <w:rPr>
          <w:b/>
          <w:bCs/>
          <w:lang w:val="en-US"/>
        </w:rPr>
        <w:t>.</w:t>
      </w:r>
      <w:r w:rsidRPr="0C627A5D">
        <w:rPr>
          <w:b/>
          <w:bCs/>
          <w:lang w:val="en-US"/>
        </w:rPr>
        <w:t xml:space="preserve"> Heterogeneity of drug sensitivities and molecular traits in a patient case and across samples. a. </w:t>
      </w:r>
      <w:r w:rsidRPr="0C627A5D">
        <w:rPr>
          <w:lang w:val="en-US"/>
        </w:rPr>
        <w:t>Radiological</w:t>
      </w:r>
      <w:r w:rsidRPr="0C627A5D">
        <w:rPr>
          <w:b/>
          <w:bCs/>
          <w:lang w:val="en-US"/>
        </w:rPr>
        <w:t xml:space="preserve"> </w:t>
      </w:r>
      <w:r w:rsidRPr="0C627A5D">
        <w:rPr>
          <w:lang w:val="en-US"/>
        </w:rPr>
        <w:t>evaluation with magnetic resonance imaging (MRI) of two lines of oncological treatment for</w:t>
      </w:r>
      <w:r w:rsidRPr="0C627A5D">
        <w:rPr>
          <w:b/>
          <w:bCs/>
          <w:lang w:val="en-US"/>
        </w:rPr>
        <w:t xml:space="preserve"> </w:t>
      </w:r>
      <w:r w:rsidRPr="0C627A5D">
        <w:rPr>
          <w:lang w:val="en-US"/>
        </w:rPr>
        <w:t>patient Pn121 until liver surgery/PDO establishment. The latest treatment with three cycles of F</w:t>
      </w:r>
      <w:r>
        <w:rPr>
          <w:lang w:val="en-US"/>
        </w:rPr>
        <w:t>OLFIRI</w:t>
      </w:r>
      <w:r w:rsidRPr="0C627A5D">
        <w:rPr>
          <w:lang w:val="en-US"/>
        </w:rPr>
        <w:t xml:space="preserve"> (5-FU</w:t>
      </w:r>
      <w:r>
        <w:rPr>
          <w:lang w:val="en-US"/>
        </w:rPr>
        <w:t>, leucovorin</w:t>
      </w:r>
      <w:r w:rsidRPr="0C627A5D">
        <w:rPr>
          <w:lang w:val="en-US"/>
        </w:rPr>
        <w:t xml:space="preserve"> and irinotecan) and anti-EGFR panitumumab resulted in partial response (PR) that was in concordance with the PDO sensitivities to the same treatment </w:t>
      </w:r>
      <w:r w:rsidRPr="0C627A5D">
        <w:rPr>
          <w:i/>
          <w:iCs/>
          <w:lang w:val="en-US"/>
        </w:rPr>
        <w:t>ex vivo</w:t>
      </w:r>
      <w:r w:rsidRPr="0C627A5D">
        <w:rPr>
          <w:lang w:val="en-US"/>
        </w:rPr>
        <w:t xml:space="preserve">. T1 tumor tissue and corresponding PDO harbored an </w:t>
      </w:r>
      <w:r w:rsidRPr="0C627A5D">
        <w:rPr>
          <w:i/>
          <w:iCs/>
          <w:lang w:val="en-US"/>
        </w:rPr>
        <w:t>APC</w:t>
      </w:r>
      <w:r w:rsidRPr="0C627A5D">
        <w:rPr>
          <w:i/>
          <w:iCs/>
          <w:vertAlign w:val="superscript"/>
          <w:lang w:val="en-US"/>
        </w:rPr>
        <w:t>R213X</w:t>
      </w:r>
      <w:r w:rsidRPr="0C627A5D">
        <w:rPr>
          <w:lang w:val="en-US"/>
        </w:rPr>
        <w:t xml:space="preserve"> mutation that was not found in the T2 and T3 tumor tissues or PDOs. This inter-metastatic intra-patient mutation heterogeneity had an influence on the broader drug sensitivity heterogeneity (</w:t>
      </w:r>
      <w:r w:rsidRPr="0C627A5D">
        <w:rPr>
          <w:b/>
          <w:bCs/>
          <w:lang w:val="en-US"/>
        </w:rPr>
        <w:t>b</w:t>
      </w:r>
      <w:r w:rsidRPr="0C627A5D">
        <w:rPr>
          <w:lang w:val="en-US"/>
        </w:rPr>
        <w:t>) but did not influence the activity of the specific treatment that the patient received (</w:t>
      </w:r>
      <w:r w:rsidRPr="0C627A5D">
        <w:rPr>
          <w:b/>
          <w:bCs/>
          <w:lang w:val="en-US"/>
        </w:rPr>
        <w:t>a</w:t>
      </w:r>
      <w:r w:rsidRPr="0C627A5D">
        <w:rPr>
          <w:lang w:val="en-US"/>
        </w:rPr>
        <w:t>).</w:t>
      </w:r>
      <w:r>
        <w:rPr>
          <w:lang w:val="en-US"/>
        </w:rPr>
        <w:t xml:space="preserve"> </w:t>
      </w:r>
      <w:r w:rsidRPr="00A8704A">
        <w:rPr>
          <w:lang w:val="en-US"/>
        </w:rPr>
        <w:t xml:space="preserve">Preclinical FLOX (a combination of 5-FU and oxaliplatin in a </w:t>
      </w:r>
      <w:r>
        <w:rPr>
          <w:lang w:val="en-US"/>
        </w:rPr>
        <w:t>diagonal concentration</w:t>
      </w:r>
      <w:r w:rsidRPr="00A8704A">
        <w:rPr>
          <w:lang w:val="en-US"/>
        </w:rPr>
        <w:t xml:space="preserve"> ratio </w:t>
      </w:r>
      <w:r>
        <w:rPr>
          <w:lang w:val="en-US"/>
        </w:rPr>
        <w:t xml:space="preserve">of the single drugs </w:t>
      </w:r>
      <w:r w:rsidRPr="00A8704A">
        <w:rPr>
          <w:lang w:val="en-US"/>
        </w:rPr>
        <w:t>with</w:t>
      </w:r>
      <w:r>
        <w:rPr>
          <w:lang w:val="en-US"/>
        </w:rPr>
        <w:t xml:space="preserve"> fixed</w:t>
      </w:r>
      <w:r w:rsidRPr="00A8704A">
        <w:rPr>
          <w:lang w:val="en-US"/>
        </w:rPr>
        <w:t xml:space="preserve"> 10 µM leucovorin) and preclinical FLIRI (a combination of 5-FU and SN-38 in a </w:t>
      </w:r>
      <w:r>
        <w:rPr>
          <w:lang w:val="en-US"/>
        </w:rPr>
        <w:t>diagonal concentration</w:t>
      </w:r>
      <w:r w:rsidRPr="00A8704A">
        <w:rPr>
          <w:lang w:val="en-US"/>
        </w:rPr>
        <w:t xml:space="preserve"> ratio </w:t>
      </w:r>
      <w:r>
        <w:rPr>
          <w:lang w:val="en-US"/>
        </w:rPr>
        <w:t>of the single drugs</w:t>
      </w:r>
      <w:r w:rsidRPr="00A8704A">
        <w:rPr>
          <w:lang w:val="en-US"/>
        </w:rPr>
        <w:t xml:space="preserve"> with </w:t>
      </w:r>
      <w:r>
        <w:rPr>
          <w:lang w:val="en-US"/>
        </w:rPr>
        <w:t xml:space="preserve">fixed </w:t>
      </w:r>
      <w:r w:rsidRPr="00A8704A">
        <w:rPr>
          <w:lang w:val="en-US"/>
        </w:rPr>
        <w:t>10 µM leucovorin)</w:t>
      </w:r>
      <w:r>
        <w:rPr>
          <w:lang w:val="en-US"/>
        </w:rPr>
        <w:t>.</w:t>
      </w:r>
      <w:r w:rsidRPr="0C627A5D">
        <w:rPr>
          <w:lang w:val="en-US"/>
        </w:rPr>
        <w:t xml:space="preserve"> </w:t>
      </w:r>
      <w:r w:rsidRPr="0C627A5D">
        <w:rPr>
          <w:b/>
          <w:bCs/>
          <w:lang w:val="en-US"/>
        </w:rPr>
        <w:t>c</w:t>
      </w:r>
      <w:r w:rsidRPr="0C627A5D">
        <w:rPr>
          <w:lang w:val="en-US"/>
        </w:rPr>
        <w:t xml:space="preserve">. </w:t>
      </w:r>
      <w:r>
        <w:rPr>
          <w:lang w:val="en-US"/>
        </w:rPr>
        <w:t>Box plots of i</w:t>
      </w:r>
      <w:r w:rsidRPr="0C627A5D">
        <w:rPr>
          <w:lang w:val="en-US"/>
        </w:rPr>
        <w:t xml:space="preserve">ntra-patient pharmacological heterogeneity </w:t>
      </w:r>
      <w:r>
        <w:rPr>
          <w:lang w:val="en-US"/>
        </w:rPr>
        <w:t xml:space="preserve">scores for </w:t>
      </w:r>
      <w:r w:rsidRPr="0C627A5D">
        <w:rPr>
          <w:lang w:val="en-US"/>
        </w:rPr>
        <w:t xml:space="preserve">24 drugs colored based on their drug classes. The </w:t>
      </w:r>
      <w:r w:rsidRPr="0C627A5D">
        <w:rPr>
          <w:lang w:val="en-US"/>
        </w:rPr>
        <w:lastRenderedPageBreak/>
        <w:t>heterogeneity was assessed by calculating the maximum difference in DSS between any pairs of PDOs for each patient.</w:t>
      </w:r>
    </w:p>
    <w:p w14:paraId="33AD5AFF" w14:textId="77777777" w:rsidR="0035410B" w:rsidRDefault="0035410B" w:rsidP="0035410B">
      <w:pPr>
        <w:rPr>
          <w:lang w:val="en-US"/>
        </w:rPr>
      </w:pPr>
    </w:p>
    <w:p w14:paraId="1C88C0D4" w14:textId="77777777" w:rsidR="0035410B" w:rsidRDefault="0035410B" w:rsidP="0035410B">
      <w:pPr>
        <w:rPr>
          <w:lang w:val="en-US"/>
        </w:rPr>
      </w:pPr>
      <w:r w:rsidRPr="00523416">
        <w:rPr>
          <w:b/>
          <w:bCs/>
          <w:lang w:val="en-US"/>
        </w:rPr>
        <w:t>Extended Data Fig. 10.</w:t>
      </w:r>
      <w:r w:rsidRPr="0C627A5D">
        <w:rPr>
          <w:b/>
          <w:bCs/>
          <w:lang w:val="en-US"/>
        </w:rPr>
        <w:t xml:space="preserve"> Waterfall plots</w:t>
      </w:r>
      <w:r>
        <w:rPr>
          <w:b/>
          <w:bCs/>
          <w:lang w:val="en-US"/>
        </w:rPr>
        <w:t xml:space="preserve"> and</w:t>
      </w:r>
      <w:r w:rsidRPr="0C627A5D">
        <w:rPr>
          <w:b/>
          <w:bCs/>
          <w:lang w:val="en-US"/>
        </w:rPr>
        <w:t xml:space="preserve"> dose-response curves of </w:t>
      </w:r>
      <w:r>
        <w:rPr>
          <w:b/>
          <w:bCs/>
          <w:lang w:val="en-US"/>
        </w:rPr>
        <w:t xml:space="preserve">selected </w:t>
      </w:r>
      <w:r w:rsidRPr="0C627A5D">
        <w:rPr>
          <w:b/>
          <w:bCs/>
          <w:lang w:val="en-US"/>
        </w:rPr>
        <w:t>drug</w:t>
      </w:r>
      <w:r>
        <w:rPr>
          <w:b/>
          <w:bCs/>
          <w:lang w:val="en-US"/>
        </w:rPr>
        <w:t>s</w:t>
      </w:r>
      <w:r w:rsidRPr="0C627A5D">
        <w:rPr>
          <w:b/>
          <w:bCs/>
          <w:lang w:val="en-US"/>
        </w:rPr>
        <w:t xml:space="preserve"> in PDOs from two patient cases, Pt137 (a) and Pt160 (b)</w:t>
      </w:r>
      <w:r w:rsidRPr="0C627A5D">
        <w:rPr>
          <w:lang w:val="en-US"/>
        </w:rPr>
        <w:t xml:space="preserve">. The </w:t>
      </w:r>
      <w:r>
        <w:rPr>
          <w:lang w:val="en-US"/>
        </w:rPr>
        <w:t xml:space="preserve">waterfall </w:t>
      </w:r>
      <w:r w:rsidRPr="0C627A5D">
        <w:rPr>
          <w:lang w:val="en-US"/>
        </w:rPr>
        <w:t xml:space="preserve">plots </w:t>
      </w:r>
      <w:r>
        <w:rPr>
          <w:lang w:val="en-US"/>
        </w:rPr>
        <w:t xml:space="preserve">show </w:t>
      </w:r>
      <w:r w:rsidRPr="0C627A5D">
        <w:rPr>
          <w:lang w:val="en-US"/>
        </w:rPr>
        <w:t xml:space="preserve">the scaled and centered </w:t>
      </w:r>
      <w:r>
        <w:rPr>
          <w:lang w:val="en-US"/>
        </w:rPr>
        <w:t xml:space="preserve">DSS values </w:t>
      </w:r>
      <w:r w:rsidRPr="0C627A5D">
        <w:rPr>
          <w:lang w:val="en-US"/>
        </w:rPr>
        <w:t xml:space="preserve">(cDSS) based on the median values of drugs from lib2, compared to </w:t>
      </w:r>
      <w:r>
        <w:rPr>
          <w:lang w:val="en-US"/>
        </w:rPr>
        <w:t xml:space="preserve">the </w:t>
      </w:r>
      <w:r w:rsidRPr="0C627A5D">
        <w:rPr>
          <w:lang w:val="en-US"/>
        </w:rPr>
        <w:t xml:space="preserve">reference </w:t>
      </w:r>
      <w:r>
        <w:rPr>
          <w:lang w:val="en-US"/>
        </w:rPr>
        <w:t xml:space="preserve">set of PDOs </w:t>
      </w:r>
      <w:r w:rsidRPr="0C627A5D">
        <w:rPr>
          <w:lang w:val="en-US"/>
        </w:rPr>
        <w:t xml:space="preserve">screened with the same drug library. </w:t>
      </w:r>
      <w:r>
        <w:rPr>
          <w:lang w:val="en-US"/>
        </w:rPr>
        <w:t>D</w:t>
      </w:r>
      <w:r w:rsidRPr="0C627A5D">
        <w:rPr>
          <w:lang w:val="en-US"/>
        </w:rPr>
        <w:t xml:space="preserve">ose-response curves </w:t>
      </w:r>
      <w:r>
        <w:rPr>
          <w:lang w:val="en-US"/>
        </w:rPr>
        <w:t xml:space="preserve">are showed </w:t>
      </w:r>
      <w:r w:rsidRPr="0C627A5D">
        <w:rPr>
          <w:lang w:val="en-US"/>
        </w:rPr>
        <w:t xml:space="preserve">for relevant drugs and drug combinations. </w:t>
      </w:r>
      <w:r>
        <w:rPr>
          <w:lang w:val="en-US"/>
        </w:rPr>
        <w:t>R</w:t>
      </w:r>
      <w:r w:rsidRPr="0C627A5D">
        <w:rPr>
          <w:lang w:val="en-US"/>
        </w:rPr>
        <w:t xml:space="preserve">anked DSS </w:t>
      </w:r>
      <w:r>
        <w:rPr>
          <w:lang w:val="en-US"/>
        </w:rPr>
        <w:t xml:space="preserve">percentile values </w:t>
      </w:r>
      <w:r w:rsidRPr="0C627A5D">
        <w:rPr>
          <w:lang w:val="en-US"/>
        </w:rPr>
        <w:t>for the relevant drugs</w:t>
      </w:r>
      <w:r>
        <w:rPr>
          <w:lang w:val="en-US"/>
        </w:rPr>
        <w:t xml:space="preserve"> and PDOs are indicated in color</w:t>
      </w:r>
      <w:r w:rsidRPr="0C627A5D">
        <w:rPr>
          <w:lang w:val="en-US"/>
        </w:rPr>
        <w:t>.</w:t>
      </w:r>
      <w:r>
        <w:rPr>
          <w:lang w:val="en-US"/>
        </w:rPr>
        <w:t xml:space="preserve"> </w:t>
      </w:r>
      <w:r w:rsidRPr="00A8704A">
        <w:rPr>
          <w:lang w:val="en-US"/>
        </w:rPr>
        <w:t xml:space="preserve">Preclinical FLOX </w:t>
      </w:r>
      <w:r>
        <w:rPr>
          <w:lang w:val="en-US"/>
        </w:rPr>
        <w:t xml:space="preserve">and FLIRI is </w:t>
      </w:r>
      <w:r w:rsidRPr="00A8704A">
        <w:rPr>
          <w:lang w:val="en-US"/>
        </w:rPr>
        <w:t>a combination of 5-FU</w:t>
      </w:r>
      <w:r>
        <w:rPr>
          <w:lang w:val="en-US"/>
        </w:rPr>
        <w:t xml:space="preserve"> with </w:t>
      </w:r>
      <w:r w:rsidRPr="00A8704A">
        <w:rPr>
          <w:lang w:val="en-US"/>
        </w:rPr>
        <w:t xml:space="preserve">oxaliplatin </w:t>
      </w:r>
      <w:r>
        <w:rPr>
          <w:lang w:val="en-US"/>
        </w:rPr>
        <w:t xml:space="preserve">or </w:t>
      </w:r>
      <w:r w:rsidRPr="00A8704A">
        <w:rPr>
          <w:lang w:val="en-US"/>
        </w:rPr>
        <w:t>SN-38</w:t>
      </w:r>
      <w:r>
        <w:rPr>
          <w:lang w:val="en-US"/>
        </w:rPr>
        <w:t>, respectively.</w:t>
      </w:r>
      <w:r w:rsidRPr="00A8704A">
        <w:rPr>
          <w:lang w:val="en-US"/>
        </w:rPr>
        <w:t xml:space="preserve"> in a </w:t>
      </w:r>
      <w:r>
        <w:rPr>
          <w:lang w:val="en-US"/>
        </w:rPr>
        <w:t>diagonal concentration</w:t>
      </w:r>
      <w:r w:rsidRPr="00A8704A">
        <w:rPr>
          <w:lang w:val="en-US"/>
        </w:rPr>
        <w:t xml:space="preserve"> ratio </w:t>
      </w:r>
      <w:r>
        <w:rPr>
          <w:lang w:val="en-US"/>
        </w:rPr>
        <w:t xml:space="preserve">of the single drugs </w:t>
      </w:r>
      <w:r w:rsidRPr="00A8704A">
        <w:rPr>
          <w:lang w:val="en-US"/>
        </w:rPr>
        <w:t>with</w:t>
      </w:r>
      <w:r>
        <w:rPr>
          <w:lang w:val="en-US"/>
        </w:rPr>
        <w:t xml:space="preserve"> fixed</w:t>
      </w:r>
      <w:r w:rsidRPr="00A8704A">
        <w:rPr>
          <w:lang w:val="en-US"/>
        </w:rPr>
        <w:t xml:space="preserve"> 10 µM leucovorin</w:t>
      </w:r>
      <w:r>
        <w:rPr>
          <w:lang w:val="en-US"/>
        </w:rPr>
        <w:t>.</w:t>
      </w:r>
    </w:p>
    <w:p w14:paraId="29B9DA76" w14:textId="77777777" w:rsidR="00F45394" w:rsidRDefault="00F45394"/>
    <w:sectPr w:rsidR="00F45394" w:rsidSect="0035410B">
      <w:footerReference w:type="default" r:id="rId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A56D6" w14:textId="77777777" w:rsidR="00000000" w:rsidRDefault="00000000">
    <w:pPr>
      <w:jc w:val="right"/>
    </w:pPr>
    <w:r>
      <w:fldChar w:fldCharType="begin"/>
    </w:r>
    <w:r>
      <w:instrText>PAGE</w:instrText>
    </w:r>
    <w:r>
      <w:fldChar w:fldCharType="separate"/>
    </w:r>
    <w:r>
      <w:rPr>
        <w:noProof/>
      </w:rPr>
      <w:t>36</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10B"/>
    <w:rsid w:val="00014DE7"/>
    <w:rsid w:val="0035410B"/>
    <w:rsid w:val="00411924"/>
    <w:rsid w:val="004B6A48"/>
    <w:rsid w:val="00611A5F"/>
    <w:rsid w:val="00F453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B4AC0"/>
  <w15:chartTrackingRefBased/>
  <w15:docId w15:val="{9BA1E69E-B2CA-4D02-9FE5-3B3D7FD5B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410B"/>
    <w:pPr>
      <w:spacing w:after="0" w:line="360" w:lineRule="auto"/>
      <w:jc w:val="both"/>
    </w:pPr>
    <w:rPr>
      <w:rFonts w:ascii="Arial" w:eastAsia="Arial" w:hAnsi="Arial" w:cs="Arial"/>
      <w:kern w:val="0"/>
      <w:sz w:val="22"/>
      <w:szCs w:val="22"/>
      <w:lang w:val="en" w:eastAsia="en-GB"/>
      <w14:ligatures w14:val="none"/>
    </w:rPr>
  </w:style>
  <w:style w:type="paragraph" w:styleId="Heading1">
    <w:name w:val="heading 1"/>
    <w:basedOn w:val="Normal"/>
    <w:next w:val="Normal"/>
    <w:link w:val="Heading1Char"/>
    <w:uiPriority w:val="9"/>
    <w:qFormat/>
    <w:rsid w:val="0035410B"/>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35410B"/>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35410B"/>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35410B"/>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35410B"/>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35410B"/>
    <w:pPr>
      <w:keepNext/>
      <w:keepLines/>
      <w:spacing w:before="40" w:line="278" w:lineRule="auto"/>
      <w:jc w:val="left"/>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35410B"/>
    <w:pPr>
      <w:keepNext/>
      <w:keepLines/>
      <w:spacing w:before="40" w:line="278" w:lineRule="auto"/>
      <w:jc w:val="left"/>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35410B"/>
    <w:pPr>
      <w:keepNext/>
      <w:keepLines/>
      <w:spacing w:line="278" w:lineRule="auto"/>
      <w:jc w:val="left"/>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35410B"/>
    <w:pPr>
      <w:keepNext/>
      <w:keepLines/>
      <w:spacing w:line="278" w:lineRule="auto"/>
      <w:jc w:val="left"/>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41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41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41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41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41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41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41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41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410B"/>
    <w:rPr>
      <w:rFonts w:eastAsiaTheme="majorEastAsia" w:cstheme="majorBidi"/>
      <w:color w:val="272727" w:themeColor="text1" w:themeTint="D8"/>
    </w:rPr>
  </w:style>
  <w:style w:type="paragraph" w:styleId="Title">
    <w:name w:val="Title"/>
    <w:basedOn w:val="Normal"/>
    <w:next w:val="Normal"/>
    <w:link w:val="TitleChar"/>
    <w:uiPriority w:val="10"/>
    <w:qFormat/>
    <w:rsid w:val="0035410B"/>
    <w:pPr>
      <w:spacing w:after="80" w:line="240" w:lineRule="auto"/>
      <w:contextualSpacing/>
      <w:jc w:val="left"/>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3541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410B"/>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3541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410B"/>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35410B"/>
    <w:rPr>
      <w:i/>
      <w:iCs/>
      <w:color w:val="404040" w:themeColor="text1" w:themeTint="BF"/>
    </w:rPr>
  </w:style>
  <w:style w:type="paragraph" w:styleId="ListParagraph">
    <w:name w:val="List Paragraph"/>
    <w:basedOn w:val="Normal"/>
    <w:uiPriority w:val="34"/>
    <w:qFormat/>
    <w:rsid w:val="0035410B"/>
    <w:pPr>
      <w:spacing w:after="160" w:line="278" w:lineRule="auto"/>
      <w:ind w:left="720"/>
      <w:contextualSpacing/>
      <w:jc w:val="left"/>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35410B"/>
    <w:rPr>
      <w:i/>
      <w:iCs/>
      <w:color w:val="0F4761" w:themeColor="accent1" w:themeShade="BF"/>
    </w:rPr>
  </w:style>
  <w:style w:type="paragraph" w:styleId="IntenseQuote">
    <w:name w:val="Intense Quote"/>
    <w:basedOn w:val="Normal"/>
    <w:next w:val="Normal"/>
    <w:link w:val="IntenseQuoteChar"/>
    <w:uiPriority w:val="30"/>
    <w:qFormat/>
    <w:rsid w:val="0035410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35410B"/>
    <w:rPr>
      <w:i/>
      <w:iCs/>
      <w:color w:val="0F4761" w:themeColor="accent1" w:themeShade="BF"/>
    </w:rPr>
  </w:style>
  <w:style w:type="character" w:styleId="IntenseReference">
    <w:name w:val="Intense Reference"/>
    <w:basedOn w:val="DefaultParagraphFont"/>
    <w:uiPriority w:val="32"/>
    <w:qFormat/>
    <w:rsid w:val="0035410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1309</Words>
  <Characters>7465</Characters>
  <Application>Microsoft Office Word</Application>
  <DocSecurity>0</DocSecurity>
  <Lines>62</Lines>
  <Paragraphs>17</Paragraphs>
  <ScaleCrop>false</ScaleCrop>
  <Company>Springer Nature</Company>
  <LinksUpToDate>false</LinksUpToDate>
  <CharactersWithSpaces>8757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2025-04-29T10:54:00Z</dcterms:created>
  <dcterms:modified xsi:type="dcterms:W3CDTF">2025-04-29T10:54:00Z</dcterms:modified>
</cp:coreProperties>
</file>