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2A0AB" w14:textId="399CFB03" w:rsidR="004A470B" w:rsidRPr="00280E4D" w:rsidRDefault="00280E4D" w:rsidP="00280E4D">
      <w:pPr>
        <w:pStyle w:val="Nadpis1"/>
        <w:numPr>
          <w:ilvl w:val="0"/>
          <w:numId w:val="0"/>
        </w:numPr>
        <w:jc w:val="center"/>
        <w:rPr>
          <w:szCs w:val="28"/>
          <w:lang w:val="en-GB"/>
        </w:rPr>
      </w:pPr>
      <w:r w:rsidRPr="00280E4D">
        <w:rPr>
          <w:szCs w:val="28"/>
          <w:lang w:val="en-GB"/>
        </w:rPr>
        <w:t>Supplementary materials to</w:t>
      </w:r>
    </w:p>
    <w:p w14:paraId="5096DDE9" w14:textId="4CCF2004" w:rsidR="00280E4D" w:rsidRPr="00280E4D" w:rsidRDefault="00280E4D" w:rsidP="00280E4D">
      <w:pPr>
        <w:jc w:val="center"/>
        <w:rPr>
          <w:rStyle w:val="normaltextrun"/>
          <w:rFonts w:cs="Times New Roman"/>
          <w:b/>
          <w:sz w:val="28"/>
          <w:szCs w:val="28"/>
          <w:u w:val="single"/>
          <w:lang w:val="en-GB"/>
        </w:rPr>
      </w:pPr>
      <w:r w:rsidRPr="00280E4D">
        <w:rPr>
          <w:rStyle w:val="normaltextrun"/>
          <w:rFonts w:cs="Times New Roman"/>
          <w:b/>
          <w:sz w:val="28"/>
          <w:szCs w:val="28"/>
          <w:u w:val="single"/>
          <w:lang w:val="en-GB"/>
        </w:rPr>
        <w:t xml:space="preserve">Bronze Age copper ingots from the </w:t>
      </w:r>
      <w:proofErr w:type="spellStart"/>
      <w:r w:rsidRPr="00280E4D">
        <w:rPr>
          <w:rStyle w:val="normaltextrun"/>
          <w:rFonts w:cs="Times New Roman"/>
          <w:b/>
          <w:sz w:val="28"/>
          <w:szCs w:val="28"/>
          <w:u w:val="single"/>
          <w:lang w:val="en-GB"/>
        </w:rPr>
        <w:t>Domažlice</w:t>
      </w:r>
      <w:proofErr w:type="spellEnd"/>
      <w:r w:rsidRPr="00280E4D">
        <w:rPr>
          <w:rStyle w:val="normaltextrun"/>
          <w:rFonts w:cs="Times New Roman"/>
          <w:b/>
          <w:sz w:val="28"/>
          <w:szCs w:val="28"/>
          <w:u w:val="single"/>
          <w:lang w:val="en-GB"/>
        </w:rPr>
        <w:t xml:space="preserve"> region compared with the </w:t>
      </w:r>
      <w:proofErr w:type="spellStart"/>
      <w:r w:rsidRPr="00280E4D">
        <w:rPr>
          <w:rStyle w:val="normaltextrun"/>
          <w:rFonts w:cs="Times New Roman"/>
          <w:b/>
          <w:sz w:val="28"/>
          <w:szCs w:val="28"/>
          <w:u w:val="single"/>
          <w:lang w:val="en-GB"/>
        </w:rPr>
        <w:t>Mutěnín</w:t>
      </w:r>
      <w:proofErr w:type="spellEnd"/>
      <w:r w:rsidRPr="00280E4D">
        <w:rPr>
          <w:rStyle w:val="normaltextrun"/>
          <w:rFonts w:cs="Times New Roman"/>
          <w:b/>
          <w:sz w:val="28"/>
          <w:szCs w:val="28"/>
          <w:u w:val="single"/>
          <w:lang w:val="en-GB"/>
        </w:rPr>
        <w:t xml:space="preserve"> copper ore deposit in western Bohemia (Central Europe)</w:t>
      </w:r>
    </w:p>
    <w:p w14:paraId="1A4B9111" w14:textId="67D610F0" w:rsidR="00280E4D" w:rsidRPr="00280E4D" w:rsidRDefault="00280E4D" w:rsidP="00280E4D">
      <w:pPr>
        <w:jc w:val="center"/>
        <w:rPr>
          <w:rFonts w:cs="Times New Roman"/>
          <w:b/>
          <w:sz w:val="24"/>
          <w:szCs w:val="24"/>
          <w:lang w:val="en-GB"/>
        </w:rPr>
      </w:pPr>
      <w:r w:rsidRPr="00280E4D">
        <w:rPr>
          <w:rFonts w:cs="Times New Roman"/>
          <w:b/>
          <w:sz w:val="24"/>
          <w:szCs w:val="24"/>
          <w:lang w:val="en-GB"/>
        </w:rPr>
        <w:t>J</w:t>
      </w:r>
      <w:r w:rsidRPr="00280E4D">
        <w:rPr>
          <w:rFonts w:cs="Times New Roman"/>
          <w:b/>
          <w:sz w:val="24"/>
          <w:szCs w:val="24"/>
          <w:lang w:val="en-GB"/>
        </w:rPr>
        <w:t xml:space="preserve">. </w:t>
      </w:r>
      <w:proofErr w:type="spellStart"/>
      <w:r w:rsidRPr="00280E4D">
        <w:rPr>
          <w:rFonts w:cs="Times New Roman"/>
          <w:b/>
          <w:sz w:val="24"/>
          <w:szCs w:val="24"/>
          <w:lang w:val="en-GB"/>
        </w:rPr>
        <w:t>Kmošek</w:t>
      </w:r>
      <w:proofErr w:type="spellEnd"/>
      <w:r w:rsidRPr="00280E4D">
        <w:rPr>
          <w:rFonts w:cs="Times New Roman"/>
          <w:b/>
          <w:sz w:val="24"/>
          <w:szCs w:val="24"/>
          <w:lang w:val="en-GB"/>
        </w:rPr>
        <w:t>, M.</w:t>
      </w:r>
      <w:r w:rsidRPr="00280E4D">
        <w:rPr>
          <w:rFonts w:cs="Times New Roman"/>
          <w:b/>
          <w:sz w:val="24"/>
          <w:szCs w:val="24"/>
          <w:lang w:val="en-GB"/>
        </w:rPr>
        <w:t xml:space="preserve"> </w:t>
      </w:r>
      <w:proofErr w:type="spellStart"/>
      <w:r w:rsidRPr="00280E4D">
        <w:rPr>
          <w:rFonts w:cs="Times New Roman"/>
          <w:b/>
          <w:sz w:val="24"/>
          <w:szCs w:val="24"/>
          <w:lang w:val="en-GB"/>
        </w:rPr>
        <w:t>Augustýnová</w:t>
      </w:r>
      <w:proofErr w:type="spellEnd"/>
      <w:r w:rsidRPr="00280E4D">
        <w:rPr>
          <w:rFonts w:cs="Times New Roman"/>
          <w:b/>
          <w:sz w:val="24"/>
          <w:szCs w:val="24"/>
          <w:lang w:val="en-GB"/>
        </w:rPr>
        <w:t xml:space="preserve">, M. </w:t>
      </w:r>
      <w:proofErr w:type="spellStart"/>
      <w:r w:rsidRPr="00280E4D">
        <w:rPr>
          <w:rFonts w:cs="Times New Roman"/>
          <w:b/>
          <w:sz w:val="24"/>
          <w:szCs w:val="24"/>
          <w:lang w:val="en-GB"/>
        </w:rPr>
        <w:t>Fikrle</w:t>
      </w:r>
      <w:proofErr w:type="spellEnd"/>
      <w:r w:rsidRPr="00280E4D">
        <w:rPr>
          <w:rFonts w:cs="Times New Roman"/>
          <w:b/>
          <w:sz w:val="24"/>
          <w:szCs w:val="24"/>
          <w:lang w:val="en-GB"/>
        </w:rPr>
        <w:t xml:space="preserve">, </w:t>
      </w:r>
      <w:r w:rsidRPr="00280E4D">
        <w:rPr>
          <w:rFonts w:cs="Times New Roman"/>
          <w:b/>
          <w:sz w:val="24"/>
          <w:szCs w:val="24"/>
          <w:lang w:val="en-GB"/>
        </w:rPr>
        <w:t xml:space="preserve">Y. </w:t>
      </w:r>
      <w:r w:rsidRPr="00280E4D">
        <w:rPr>
          <w:rFonts w:cs="Times New Roman"/>
          <w:b/>
          <w:sz w:val="24"/>
          <w:szCs w:val="24"/>
          <w:lang w:val="en-GB"/>
        </w:rPr>
        <w:t xml:space="preserve">V. </w:t>
      </w:r>
      <w:proofErr w:type="spellStart"/>
      <w:r w:rsidRPr="00280E4D">
        <w:rPr>
          <w:rFonts w:cs="Times New Roman"/>
          <w:b/>
          <w:sz w:val="24"/>
          <w:szCs w:val="24"/>
          <w:lang w:val="en-GB"/>
        </w:rPr>
        <w:t>Erban</w:t>
      </w:r>
      <w:proofErr w:type="spellEnd"/>
      <w:r w:rsidRPr="00280E4D">
        <w:rPr>
          <w:rFonts w:cs="Times New Roman"/>
          <w:b/>
          <w:sz w:val="24"/>
          <w:szCs w:val="24"/>
          <w:lang w:val="en-GB"/>
        </w:rPr>
        <w:t xml:space="preserve"> </w:t>
      </w:r>
      <w:proofErr w:type="spellStart"/>
      <w:r w:rsidRPr="00280E4D">
        <w:rPr>
          <w:rFonts w:cs="Times New Roman"/>
          <w:b/>
          <w:sz w:val="24"/>
          <w:szCs w:val="24"/>
          <w:lang w:val="en-GB"/>
        </w:rPr>
        <w:t>Kochergina</w:t>
      </w:r>
      <w:proofErr w:type="spellEnd"/>
    </w:p>
    <w:p w14:paraId="410C1AEF" w14:textId="77777777" w:rsidR="00280E4D" w:rsidRPr="00280E4D" w:rsidRDefault="00280E4D" w:rsidP="00280E4D">
      <w:pPr>
        <w:jc w:val="center"/>
        <w:rPr>
          <w:b/>
          <w:sz w:val="24"/>
          <w:szCs w:val="24"/>
          <w:lang w:val="en-GB"/>
        </w:rPr>
      </w:pPr>
    </w:p>
    <w:p w14:paraId="478F41F8" w14:textId="2C2C598A" w:rsidR="004A470B" w:rsidRPr="00BD7D20" w:rsidRDefault="004A470B" w:rsidP="00BD7D20">
      <w:pPr>
        <w:rPr>
          <w:b/>
          <w:sz w:val="28"/>
          <w:szCs w:val="28"/>
          <w:lang w:val="en-GB"/>
        </w:rPr>
      </w:pPr>
      <w:r w:rsidRPr="00BD7D20">
        <w:rPr>
          <w:b/>
          <w:sz w:val="28"/>
          <w:szCs w:val="28"/>
          <w:lang w:val="en-GB"/>
        </w:rPr>
        <w:t>Detailed description of the used analytical methods and the methodology of measurements</w:t>
      </w:r>
      <w:bookmarkStart w:id="0" w:name="_GoBack"/>
      <w:bookmarkEnd w:id="0"/>
    </w:p>
    <w:p w14:paraId="5DE2AB45" w14:textId="77777777" w:rsidR="00E261D6" w:rsidRPr="00280E4D" w:rsidRDefault="00E261D6" w:rsidP="00E261D6">
      <w:pPr>
        <w:pStyle w:val="Nadpis2"/>
        <w:rPr>
          <w:lang w:val="en-GB"/>
        </w:rPr>
      </w:pPr>
      <w:r w:rsidRPr="00280E4D">
        <w:rPr>
          <w:lang w:val="en-GB"/>
        </w:rPr>
        <w:t>X-</w:t>
      </w:r>
      <w:r w:rsidR="004A470B" w:rsidRPr="00280E4D">
        <w:rPr>
          <w:lang w:val="en-GB"/>
        </w:rPr>
        <w:t>r</w:t>
      </w:r>
      <w:r w:rsidRPr="00280E4D">
        <w:rPr>
          <w:lang w:val="en-GB"/>
        </w:rPr>
        <w:t xml:space="preserve">ay powder diffraction analysis </w:t>
      </w:r>
    </w:p>
    <w:p w14:paraId="5BD170A6" w14:textId="77777777" w:rsidR="00E261D6" w:rsidRPr="00280E4D" w:rsidRDefault="00E261D6" w:rsidP="00E261D6">
      <w:pPr>
        <w:rPr>
          <w:lang w:val="en-GB"/>
        </w:rPr>
      </w:pPr>
      <w:r w:rsidRPr="00280E4D">
        <w:rPr>
          <w:lang w:val="en-GB"/>
        </w:rPr>
        <w:t xml:space="preserve">Powder X-ray diffraction (XRD) was used for a mineralogical analysis of the samples. The samples were gently pulverized under acetone in an agate mortar. The powder X-ray diffraction data were collected on a Bruker D8 Advance powder diffractometer in a Bragg-Brentano geometry. </w:t>
      </w:r>
      <w:proofErr w:type="spellStart"/>
      <w:r w:rsidRPr="00280E4D">
        <w:rPr>
          <w:lang w:val="en-GB"/>
        </w:rPr>
        <w:t>Cu</w:t>
      </w:r>
      <w:r w:rsidRPr="00280E4D">
        <w:rPr>
          <w:i/>
          <w:lang w:val="en-GB"/>
        </w:rPr>
        <w:t>K</w:t>
      </w:r>
      <w:proofErr w:type="spellEnd"/>
      <w:r w:rsidRPr="00280E4D">
        <w:rPr>
          <w:i/>
          <w:iCs/>
          <w:lang w:val="en-GB"/>
        </w:rPr>
        <w:t>α</w:t>
      </w:r>
      <w:r w:rsidRPr="00280E4D">
        <w:rPr>
          <w:lang w:val="en-GB"/>
        </w:rPr>
        <w:t xml:space="preserve"> radiation and Lynx Eye XE detector were used. The data were collected in the angular range 4-80° of 2Θ with a 0.015° step and 1 sec time per step.</w:t>
      </w:r>
    </w:p>
    <w:p w14:paraId="0CDB7071" w14:textId="2FE712D8" w:rsidR="00E261D6" w:rsidRPr="00280E4D" w:rsidRDefault="00E261D6" w:rsidP="00E261D6">
      <w:pPr>
        <w:rPr>
          <w:lang w:val="en-GB"/>
        </w:rPr>
      </w:pPr>
      <w:r w:rsidRPr="00280E4D">
        <w:rPr>
          <w:lang w:val="en-GB"/>
        </w:rPr>
        <w:t xml:space="preserve">The qualitative phase analysis was performed using the </w:t>
      </w:r>
      <w:proofErr w:type="spellStart"/>
      <w:r w:rsidRPr="00280E4D">
        <w:rPr>
          <w:lang w:val="en-GB"/>
        </w:rPr>
        <w:t>Diffrac</w:t>
      </w:r>
      <w:proofErr w:type="spellEnd"/>
      <w:r w:rsidRPr="00280E4D">
        <w:rPr>
          <w:lang w:val="en-GB"/>
        </w:rPr>
        <w:t xml:space="preserve">. Eva program (Bruker AXS, 2015). The subsequent quantitative phase analysis was performed by the Rietveld method. The program </w:t>
      </w:r>
      <w:proofErr w:type="spellStart"/>
      <w:r w:rsidRPr="00280E4D">
        <w:rPr>
          <w:lang w:val="en-GB"/>
        </w:rPr>
        <w:t>Topas</w:t>
      </w:r>
      <w:proofErr w:type="spellEnd"/>
      <w:r w:rsidRPr="00280E4D">
        <w:rPr>
          <w:lang w:val="en-GB"/>
        </w:rPr>
        <w:t xml:space="preserve"> 5 (Bruker AXS, 2014) was used. The crystal structures of mineral phases used in the refinement were obtained from the ICSD database. During the Rietveld refinement, only the scale factors, unit-cell parameters, and size of coherent-diffracting domains were refined. A correction for preferred orientation of calcite was applied.</w:t>
      </w:r>
      <w:r w:rsidR="004A470B" w:rsidRPr="00280E4D">
        <w:rPr>
          <w:lang w:val="en-GB"/>
        </w:rPr>
        <w:t xml:space="preserve"> The results are presented in </w:t>
      </w:r>
      <w:r w:rsidR="00734735" w:rsidRPr="00280E4D">
        <w:rPr>
          <w:lang w:val="en-GB"/>
        </w:rPr>
        <w:t>OSM3</w:t>
      </w:r>
      <w:r w:rsidR="004A470B" w:rsidRPr="00280E4D">
        <w:rPr>
          <w:lang w:val="en-GB"/>
        </w:rPr>
        <w:t>.</w:t>
      </w:r>
    </w:p>
    <w:p w14:paraId="59755440" w14:textId="77777777" w:rsidR="002F2574" w:rsidRPr="00280E4D" w:rsidRDefault="004A470B" w:rsidP="00E261D6">
      <w:pPr>
        <w:pStyle w:val="Nadpis2"/>
        <w:rPr>
          <w:lang w:val="en-GB"/>
        </w:rPr>
      </w:pPr>
      <w:r w:rsidRPr="00280E4D">
        <w:rPr>
          <w:lang w:val="en-GB"/>
        </w:rPr>
        <w:t>Instrumental neutron activation analysis</w:t>
      </w:r>
    </w:p>
    <w:p w14:paraId="052DF3BF" w14:textId="77777777" w:rsidR="00366262" w:rsidRPr="00280E4D" w:rsidRDefault="00366262" w:rsidP="00366262">
      <w:pPr>
        <w:rPr>
          <w:lang w:val="en-GB"/>
        </w:rPr>
      </w:pPr>
      <w:r w:rsidRPr="00280E4D">
        <w:rPr>
          <w:lang w:val="en-GB"/>
        </w:rPr>
        <w:t>Due to the nature of the samples, instrumental neutron activation analysis (INAA) can be used as the primary analytical method. The use of (micro)</w:t>
      </w:r>
      <w:r w:rsidR="004A470B" w:rsidRPr="00280E4D">
        <w:rPr>
          <w:lang w:val="en-GB"/>
        </w:rPr>
        <w:t xml:space="preserve"> </w:t>
      </w:r>
      <w:r w:rsidRPr="00280E4D">
        <w:rPr>
          <w:lang w:val="en-GB"/>
        </w:rPr>
        <w:t>destructive analytical methods is not yet widespread in our</w:t>
      </w:r>
      <w:r w:rsidR="00E42AD1" w:rsidRPr="00280E4D">
        <w:rPr>
          <w:lang w:val="en-GB"/>
        </w:rPr>
        <w:t xml:space="preserve"> (i.e. Czech)</w:t>
      </w:r>
      <w:r w:rsidRPr="00280E4D">
        <w:rPr>
          <w:lang w:val="en-GB"/>
        </w:rPr>
        <w:t xml:space="preserve"> </w:t>
      </w:r>
      <w:proofErr w:type="spellStart"/>
      <w:r w:rsidRPr="00280E4D">
        <w:rPr>
          <w:lang w:val="en-GB"/>
        </w:rPr>
        <w:t>archaeometry</w:t>
      </w:r>
      <w:proofErr w:type="spellEnd"/>
      <w:r w:rsidRPr="00280E4D">
        <w:rPr>
          <w:lang w:val="en-GB"/>
        </w:rPr>
        <w:t xml:space="preserve">. </w:t>
      </w:r>
    </w:p>
    <w:p w14:paraId="4EEC875B" w14:textId="68F792D7" w:rsidR="00366262" w:rsidRPr="00280E4D" w:rsidRDefault="00366262" w:rsidP="00366262">
      <w:pPr>
        <w:rPr>
          <w:lang w:val="en-GB"/>
        </w:rPr>
      </w:pPr>
      <w:r w:rsidRPr="00280E4D">
        <w:rPr>
          <w:lang w:val="en-GB"/>
        </w:rPr>
        <w:t xml:space="preserve">First, it </w:t>
      </w:r>
      <w:r w:rsidR="004A470B" w:rsidRPr="00280E4D">
        <w:rPr>
          <w:lang w:val="en-GB"/>
        </w:rPr>
        <w:t>was</w:t>
      </w:r>
      <w:r w:rsidRPr="00280E4D">
        <w:rPr>
          <w:lang w:val="en-GB"/>
        </w:rPr>
        <w:t xml:space="preserve"> necessary to divide the samples into two groups. The first </w:t>
      </w:r>
      <w:r w:rsidR="004A470B" w:rsidRPr="00280E4D">
        <w:rPr>
          <w:lang w:val="en-GB"/>
        </w:rPr>
        <w:t xml:space="preserve">was </w:t>
      </w:r>
      <w:r w:rsidRPr="00280E4D">
        <w:rPr>
          <w:lang w:val="en-GB"/>
        </w:rPr>
        <w:t>characterised as metal artefacts, the second as minerals. Samples</w:t>
      </w:r>
      <w:r w:rsidR="004A470B" w:rsidRPr="00280E4D">
        <w:rPr>
          <w:lang w:val="en-GB"/>
        </w:rPr>
        <w:t xml:space="preserve"> of metal artefact</w:t>
      </w:r>
      <w:r w:rsidR="00E42AD1" w:rsidRPr="00280E4D">
        <w:rPr>
          <w:lang w:val="en-GB"/>
        </w:rPr>
        <w:t>s</w:t>
      </w:r>
      <w:r w:rsidRPr="00280E4D">
        <w:rPr>
          <w:lang w:val="en-GB"/>
        </w:rPr>
        <w:t xml:space="preserve"> are in the possession of various institutions such as museums, the Institute for Archaeological Heritage, etc. Therefore, the </w:t>
      </w:r>
      <w:r w:rsidR="00E42AD1" w:rsidRPr="00280E4D">
        <w:rPr>
          <w:lang w:val="en-GB"/>
        </w:rPr>
        <w:t xml:space="preserve">sub-sampling </w:t>
      </w:r>
      <w:r w:rsidRPr="00280E4D">
        <w:rPr>
          <w:lang w:val="en-GB"/>
        </w:rPr>
        <w:t xml:space="preserve">of these artefacts had to be authorised and the number of collection sites was limited (as was the final quantity of material). This is one of the limiting factors for data evaluation, as knowledge of the homogeneity of the artefacts is scarce and difficult to obtain - especially for ingots. Only one site could be sampled from each </w:t>
      </w:r>
      <w:r w:rsidR="004A470B" w:rsidRPr="00280E4D">
        <w:rPr>
          <w:lang w:val="en-GB"/>
        </w:rPr>
        <w:t>artefact</w:t>
      </w:r>
      <w:r w:rsidRPr="00280E4D">
        <w:rPr>
          <w:lang w:val="en-GB"/>
        </w:rPr>
        <w:t xml:space="preserve">. A small tungsten carbide </w:t>
      </w:r>
      <w:proofErr w:type="spellStart"/>
      <w:r w:rsidRPr="00280E4D">
        <w:rPr>
          <w:lang w:val="en-GB"/>
        </w:rPr>
        <w:t>microdrill</w:t>
      </w:r>
      <w:proofErr w:type="spellEnd"/>
      <w:r w:rsidRPr="00280E4D">
        <w:rPr>
          <w:lang w:val="en-GB"/>
        </w:rPr>
        <w:t xml:space="preserve"> (1 to 2 mm) was used for sampling. The total amount of material drilled ranged from 5 to 20 mg depending on the nature and </w:t>
      </w:r>
      <w:r w:rsidRPr="00280E4D">
        <w:rPr>
          <w:lang w:val="en-GB"/>
        </w:rPr>
        <w:lastRenderedPageBreak/>
        <w:t xml:space="preserve">weight of the primary </w:t>
      </w:r>
      <w:r w:rsidR="004A470B" w:rsidRPr="00280E4D">
        <w:rPr>
          <w:lang w:val="en-GB"/>
        </w:rPr>
        <w:t>artefact</w:t>
      </w:r>
      <w:r w:rsidRPr="00280E4D">
        <w:rPr>
          <w:lang w:val="en-GB"/>
        </w:rPr>
        <w:t>. In cases where the primary artefact was small, the sample taken was less than 5 mg (less than one in the extreme case</w:t>
      </w:r>
      <w:r w:rsidR="00E42AD1" w:rsidRPr="00280E4D">
        <w:rPr>
          <w:lang w:val="en-GB"/>
        </w:rPr>
        <w:t>s</w:t>
      </w:r>
      <w:r w:rsidRPr="00280E4D">
        <w:rPr>
          <w:lang w:val="en-GB"/>
        </w:rPr>
        <w:t>).</w:t>
      </w:r>
    </w:p>
    <w:p w14:paraId="631184E6" w14:textId="1ED77365" w:rsidR="00366262" w:rsidRPr="00280E4D" w:rsidRDefault="00366262" w:rsidP="00366262">
      <w:pPr>
        <w:rPr>
          <w:lang w:val="en-GB"/>
        </w:rPr>
      </w:pPr>
      <w:r w:rsidRPr="00280E4D">
        <w:rPr>
          <w:lang w:val="en-GB"/>
        </w:rPr>
        <w:t xml:space="preserve">The second group involved the study of mineralogical samples collected by the authors for appropriate final sample processing. The samples were crushed in a set of plastic bags using a mechanical press with a pressure of approximately 0.5 to 1 tonne (up to a maximum of 5 tonnes). </w:t>
      </w:r>
      <w:r w:rsidR="00E42AD1" w:rsidRPr="00280E4D">
        <w:rPr>
          <w:lang w:val="en-GB"/>
        </w:rPr>
        <w:t xml:space="preserve">The plastic was used to protect against contamination. Sieving was then carried out using two sets of analytical sieves. This procedure allowed three different </w:t>
      </w:r>
      <w:proofErr w:type="spellStart"/>
      <w:r w:rsidR="00E42AD1" w:rsidRPr="00280E4D">
        <w:rPr>
          <w:lang w:val="en-GB"/>
        </w:rPr>
        <w:t>coarsenesses</w:t>
      </w:r>
      <w:proofErr w:type="spellEnd"/>
      <w:r w:rsidR="00E42AD1" w:rsidRPr="00280E4D">
        <w:rPr>
          <w:lang w:val="en-GB"/>
        </w:rPr>
        <w:t xml:space="preserve"> to be analysed, but only the finest and second finest fractions were analysed.</w:t>
      </w:r>
      <w:r w:rsidRPr="00280E4D">
        <w:rPr>
          <w:lang w:val="en-GB"/>
        </w:rPr>
        <w:t xml:space="preserve"> </w:t>
      </w:r>
      <w:r w:rsidR="000F648A" w:rsidRPr="00280E4D">
        <w:rPr>
          <w:lang w:val="en-GB"/>
        </w:rPr>
        <w:t xml:space="preserve">The mineralogical samples we sampled was much larger than is appropriate for an INAA sample. The total amount was approximately 1.5 g with an inferred copper concentration greater than 10 </w:t>
      </w:r>
      <w:proofErr w:type="spellStart"/>
      <w:r w:rsidR="000F648A" w:rsidRPr="00280E4D">
        <w:rPr>
          <w:lang w:val="en-GB"/>
        </w:rPr>
        <w:t>wt</w:t>
      </w:r>
      <w:proofErr w:type="spellEnd"/>
      <w:r w:rsidR="000F648A" w:rsidRPr="00280E4D">
        <w:rPr>
          <w:lang w:val="en-GB"/>
        </w:rPr>
        <w:t xml:space="preserve">%. A theoretical sample could therefore contain about 100 mg of copper. Irradiation of such a sample will produce an activity of almost 200 </w:t>
      </w:r>
      <w:proofErr w:type="spellStart"/>
      <w:r w:rsidR="000F648A" w:rsidRPr="00280E4D">
        <w:rPr>
          <w:lang w:val="en-GB"/>
        </w:rPr>
        <w:t>MBq</w:t>
      </w:r>
      <w:proofErr w:type="spellEnd"/>
      <w:r w:rsidR="000F648A" w:rsidRPr="00280E4D">
        <w:rPr>
          <w:lang w:val="en-GB"/>
        </w:rPr>
        <w:t xml:space="preserve"> at measurement day. There are two main problems. First, we are not able to measure this activity on our systems under standard conditions. The second problem is the radiation protection of the operator. The dose rate of this sample (still simplified to pure copper) is about 400 </w:t>
      </w:r>
      <w:proofErr w:type="spellStart"/>
      <w:r w:rsidR="000F648A" w:rsidRPr="00280E4D">
        <w:rPr>
          <w:lang w:val="en-GB"/>
        </w:rPr>
        <w:t>microsieverts</w:t>
      </w:r>
      <w:proofErr w:type="spellEnd"/>
      <w:r w:rsidR="000F648A" w:rsidRPr="00280E4D">
        <w:rPr>
          <w:lang w:val="en-GB"/>
        </w:rPr>
        <w:t xml:space="preserve"> per hour at standard working distance (20 cm). This is unacceptable from a radiation protection point of view. Therefore, we have to prepare a much smaller sample and have decided to use crushing. The sieving was partly the result of crushing. After crushing, there were visibly different parts in the sample, so it was useful to use sieves to separate them. We used two sieves (i.e. three fractions) of 0.5 and 0.16 mesh. Only two of them - the finest and the medium - were used for the analysis. We assumed that the finest one would have the highest copper concentration. Therefore, the concentration of other elements that may be part of the final ingot may be underestimated. We therefore decided to analyse the middle fraction, which might help us to correct this slightly.</w:t>
      </w:r>
    </w:p>
    <w:p w14:paraId="32245967" w14:textId="70CEB6C2" w:rsidR="00E261D6" w:rsidRPr="00280E4D" w:rsidRDefault="00366262" w:rsidP="00366262">
      <w:pPr>
        <w:rPr>
          <w:lang w:val="en-GB"/>
        </w:rPr>
      </w:pPr>
      <w:r w:rsidRPr="00280E4D">
        <w:rPr>
          <w:lang w:val="en-GB"/>
        </w:rPr>
        <w:t>As mentioned above, INAA was used. The weighed sample (metals and minerals) was sealed in a small PE capsule. The weight of the metal and mineral samples was approximately 5 mg and 45 mg respectively. The sample set together with standards and reference materials were packed in an irradiation capsule and irradiated in the LVR15 nuclear reactor. The thermal neutron flux was 8</w:t>
      </w:r>
      <w:r w:rsidR="004A470B" w:rsidRPr="00280E4D">
        <w:rPr>
          <w:rFonts w:cs="Times New Roman"/>
          <w:lang w:val="en-GB"/>
        </w:rPr>
        <w:t>·</w:t>
      </w:r>
      <w:r w:rsidRPr="00280E4D">
        <w:rPr>
          <w:lang w:val="en-GB"/>
        </w:rPr>
        <w:t>10</w:t>
      </w:r>
      <w:r w:rsidRPr="00280E4D">
        <w:rPr>
          <w:vertAlign w:val="superscript"/>
          <w:lang w:val="en-GB"/>
        </w:rPr>
        <w:t>13</w:t>
      </w:r>
      <w:r w:rsidRPr="00280E4D">
        <w:rPr>
          <w:lang w:val="en-GB"/>
        </w:rPr>
        <w:t xml:space="preserve"> n</w:t>
      </w:r>
      <w:r w:rsidR="004A470B" w:rsidRPr="00280E4D">
        <w:rPr>
          <w:rFonts w:cs="Times New Roman"/>
          <w:lang w:val="en-GB"/>
        </w:rPr>
        <w:t>·</w:t>
      </w:r>
      <w:r w:rsidRPr="00280E4D">
        <w:rPr>
          <w:lang w:val="en-GB"/>
        </w:rPr>
        <w:t>cm</w:t>
      </w:r>
      <w:r w:rsidRPr="00280E4D">
        <w:rPr>
          <w:vertAlign w:val="superscript"/>
          <w:lang w:val="en-GB"/>
        </w:rPr>
        <w:t>-2</w:t>
      </w:r>
      <w:r w:rsidR="004A470B" w:rsidRPr="00280E4D">
        <w:rPr>
          <w:rFonts w:cs="Times New Roman"/>
          <w:lang w:val="en-GB"/>
        </w:rPr>
        <w:t>·</w:t>
      </w:r>
      <w:r w:rsidRPr="00280E4D">
        <w:rPr>
          <w:lang w:val="en-GB"/>
        </w:rPr>
        <w:t>s</w:t>
      </w:r>
      <w:r w:rsidRPr="00280E4D">
        <w:rPr>
          <w:vertAlign w:val="superscript"/>
          <w:lang w:val="en-GB"/>
        </w:rPr>
        <w:t>-1</w:t>
      </w:r>
      <w:r w:rsidRPr="00280E4D">
        <w:rPr>
          <w:lang w:val="en-GB"/>
        </w:rPr>
        <w:t xml:space="preserve"> and the samples were irradiated for 120 minutes. The irradiated samples were measured three times approximately 5, 10 and 30 days after irradiation. The measured spectra were evaluated in DEIMOS software and the final results were calculated</w:t>
      </w:r>
      <w:r w:rsidR="00FE44C9" w:rsidRPr="00280E4D">
        <w:rPr>
          <w:lang w:val="en-GB"/>
        </w:rPr>
        <w:t xml:space="preserve"> for the following elements: Fe, Cu, Ni, Zn, </w:t>
      </w:r>
      <w:proofErr w:type="gramStart"/>
      <w:r w:rsidR="00FE44C9" w:rsidRPr="00280E4D">
        <w:rPr>
          <w:lang w:val="en-GB"/>
        </w:rPr>
        <w:t>Sn</w:t>
      </w:r>
      <w:proofErr w:type="gramEnd"/>
      <w:r w:rsidR="00FE44C9" w:rsidRPr="00280E4D">
        <w:rPr>
          <w:lang w:val="en-GB"/>
        </w:rPr>
        <w:t>, As, Sb, Cr, Co, Ag, Au, Se and U</w:t>
      </w:r>
      <w:r w:rsidRPr="00280E4D">
        <w:rPr>
          <w:lang w:val="en-GB"/>
        </w:rPr>
        <w:t>. For quality control of the whole process, standard reference materials were irradiated, measured and evaluated under the same conditions as the unknown samples.</w:t>
      </w:r>
      <w:r w:rsidR="004A470B" w:rsidRPr="00280E4D">
        <w:rPr>
          <w:lang w:val="en-GB"/>
        </w:rPr>
        <w:t xml:space="preserve"> </w:t>
      </w:r>
      <w:r w:rsidRPr="00280E4D">
        <w:rPr>
          <w:lang w:val="en-GB"/>
        </w:rPr>
        <w:t>The results are presented in Table</w:t>
      </w:r>
      <w:r w:rsidR="004A470B" w:rsidRPr="00280E4D">
        <w:rPr>
          <w:lang w:val="en-GB"/>
        </w:rPr>
        <w:t xml:space="preserve"> 1 and </w:t>
      </w:r>
      <w:r w:rsidR="00FE44C9" w:rsidRPr="00280E4D">
        <w:rPr>
          <w:lang w:val="en-GB"/>
        </w:rPr>
        <w:t xml:space="preserve">Table </w:t>
      </w:r>
      <w:r w:rsidR="004A470B" w:rsidRPr="00280E4D">
        <w:rPr>
          <w:lang w:val="en-GB"/>
        </w:rPr>
        <w:t>3</w:t>
      </w:r>
      <w:r w:rsidRPr="00280E4D">
        <w:rPr>
          <w:lang w:val="en-GB"/>
        </w:rPr>
        <w:t>.</w:t>
      </w:r>
    </w:p>
    <w:p w14:paraId="378682D6" w14:textId="77777777" w:rsidR="00E261D6" w:rsidRPr="00280E4D" w:rsidRDefault="004A470B" w:rsidP="00E261D6">
      <w:pPr>
        <w:pStyle w:val="Nadpis2"/>
        <w:rPr>
          <w:lang w:val="en-GB"/>
        </w:rPr>
      </w:pPr>
      <w:r w:rsidRPr="00280E4D">
        <w:rPr>
          <w:lang w:val="en-GB"/>
        </w:rPr>
        <w:t>Energy dispersive X-ray fluorescence analysis</w:t>
      </w:r>
    </w:p>
    <w:p w14:paraId="3E560AFB" w14:textId="77777777" w:rsidR="003F4589" w:rsidRPr="00280E4D" w:rsidRDefault="003F4589" w:rsidP="003F4589">
      <w:pPr>
        <w:rPr>
          <w:lang w:val="en-GB"/>
        </w:rPr>
      </w:pPr>
      <w:r w:rsidRPr="00280E4D">
        <w:rPr>
          <w:lang w:val="en-GB"/>
        </w:rPr>
        <w:t>In this study, X-ray fluorescence analysis (</w:t>
      </w:r>
      <w:r w:rsidR="004A470B" w:rsidRPr="00280E4D">
        <w:rPr>
          <w:lang w:val="en-GB"/>
        </w:rPr>
        <w:t>ED-</w:t>
      </w:r>
      <w:r w:rsidRPr="00280E4D">
        <w:rPr>
          <w:lang w:val="en-GB"/>
        </w:rPr>
        <w:t xml:space="preserve">XRF) was used as a complementary method to INAA for both metals and minerals, but on different equipment. For metals this was a laboratory ED-XRF </w:t>
      </w:r>
      <w:r w:rsidRPr="00280E4D">
        <w:rPr>
          <w:lang w:val="en-GB"/>
        </w:rPr>
        <w:lastRenderedPageBreak/>
        <w:t xml:space="preserve">system and for minerals a portable system (actually also ED-XRF). A description of the portable system is given in Section 1.4. </w:t>
      </w:r>
    </w:p>
    <w:p w14:paraId="05F024B7" w14:textId="143F3FC3" w:rsidR="00366262" w:rsidRPr="00280E4D" w:rsidRDefault="003F4589" w:rsidP="003F4589">
      <w:pPr>
        <w:rPr>
          <w:highlight w:val="magenta"/>
          <w:lang w:val="en-GB"/>
        </w:rPr>
      </w:pPr>
      <w:r w:rsidRPr="00280E4D">
        <w:rPr>
          <w:lang w:val="en-GB"/>
        </w:rPr>
        <w:t xml:space="preserve">The metal artefacts were first abraded to remove the corrosion layer. The abraded area was usually round with a maximum diameter of 1 to 2 mm. The depth varied but the aim was to ensure that only the corrosion layer was removed. Measurements were taken on the part of the abraded area that was visually cleanest (i.e. the corrosion was most likely to have been removed). The prepared sample was measured using a </w:t>
      </w:r>
      <w:proofErr w:type="spellStart"/>
      <w:r w:rsidRPr="00280E4D">
        <w:rPr>
          <w:lang w:val="en-GB"/>
        </w:rPr>
        <w:t>Spectro</w:t>
      </w:r>
      <w:proofErr w:type="spellEnd"/>
      <w:r w:rsidRPr="00280E4D">
        <w:rPr>
          <w:lang w:val="en-GB"/>
        </w:rPr>
        <w:t xml:space="preserve"> </w:t>
      </w:r>
      <w:proofErr w:type="spellStart"/>
      <w:r w:rsidRPr="00280E4D">
        <w:rPr>
          <w:lang w:val="en-GB"/>
        </w:rPr>
        <w:t>Midex</w:t>
      </w:r>
      <w:proofErr w:type="spellEnd"/>
      <w:r w:rsidRPr="00280E4D">
        <w:rPr>
          <w:lang w:val="en-GB"/>
        </w:rPr>
        <w:t xml:space="preserve"> (3rd generation) with an automatic stage for sample placement. This model is equipped with a He flushing system (not used for these samples) so that the distance between the sample and the detector is </w:t>
      </w:r>
      <w:r w:rsidR="000F79E4" w:rsidRPr="00280E4D">
        <w:rPr>
          <w:lang w:val="en-GB"/>
        </w:rPr>
        <w:t>2 mm</w:t>
      </w:r>
      <w:r w:rsidRPr="00280E4D">
        <w:rPr>
          <w:lang w:val="en-GB"/>
        </w:rPr>
        <w:t>. Different collimators can be used, a square one with a 0</w:t>
      </w:r>
      <w:r w:rsidR="004A470B" w:rsidRPr="00280E4D">
        <w:rPr>
          <w:lang w:val="en-GB"/>
        </w:rPr>
        <w:t>.</w:t>
      </w:r>
      <w:r w:rsidRPr="00280E4D">
        <w:rPr>
          <w:lang w:val="en-GB"/>
        </w:rPr>
        <w:t>1 mm edge was used. The measurement conditions were as follows: voltage 40 kV, current 0</w:t>
      </w:r>
      <w:r w:rsidR="004A470B" w:rsidRPr="00280E4D">
        <w:rPr>
          <w:lang w:val="en-GB"/>
        </w:rPr>
        <w:t>.</w:t>
      </w:r>
      <w:r w:rsidRPr="00280E4D">
        <w:rPr>
          <w:lang w:val="en-GB"/>
        </w:rPr>
        <w:t xml:space="preserve">5 mA and time 900 s. For the evaluation, the </w:t>
      </w:r>
      <w:proofErr w:type="spellStart"/>
      <w:r w:rsidRPr="00280E4D">
        <w:rPr>
          <w:lang w:val="en-GB"/>
        </w:rPr>
        <w:t>Spectro</w:t>
      </w:r>
      <w:proofErr w:type="spellEnd"/>
      <w:r w:rsidRPr="00280E4D">
        <w:rPr>
          <w:lang w:val="en-GB"/>
        </w:rPr>
        <w:t xml:space="preserve"> X-</w:t>
      </w:r>
      <w:proofErr w:type="spellStart"/>
      <w:r w:rsidRPr="00280E4D">
        <w:rPr>
          <w:lang w:val="en-GB"/>
        </w:rPr>
        <w:t>labPro</w:t>
      </w:r>
      <w:proofErr w:type="spellEnd"/>
      <w:r w:rsidRPr="00280E4D">
        <w:rPr>
          <w:lang w:val="en-GB"/>
        </w:rPr>
        <w:t xml:space="preserve"> system was used with the "standard based fundamental parameters" calculation algorithm.</w:t>
      </w:r>
      <w:r w:rsidR="004A470B" w:rsidRPr="00280E4D">
        <w:rPr>
          <w:lang w:val="en-GB"/>
        </w:rPr>
        <w:t xml:space="preserve"> </w:t>
      </w:r>
      <w:r w:rsidR="00FE44C9" w:rsidRPr="00280E4D">
        <w:rPr>
          <w:lang w:val="en-GB"/>
        </w:rPr>
        <w:t xml:space="preserve">The following elements were analysed: Fe, Cu, Ni, Zn, Sn, </w:t>
      </w:r>
      <w:proofErr w:type="spellStart"/>
      <w:r w:rsidR="00FE44C9" w:rsidRPr="00280E4D">
        <w:rPr>
          <w:lang w:val="en-GB"/>
        </w:rPr>
        <w:t>Pb</w:t>
      </w:r>
      <w:proofErr w:type="spellEnd"/>
      <w:r w:rsidR="00FE44C9" w:rsidRPr="00280E4D">
        <w:rPr>
          <w:lang w:val="en-GB"/>
        </w:rPr>
        <w:t xml:space="preserve">, As, Sb, Bi, Co, Ag and Au. </w:t>
      </w:r>
      <w:r w:rsidR="004A470B" w:rsidRPr="00280E4D">
        <w:rPr>
          <w:lang w:val="en-GB"/>
        </w:rPr>
        <w:t>The results are presented in Table 3.</w:t>
      </w:r>
    </w:p>
    <w:p w14:paraId="68BD38AD" w14:textId="77777777" w:rsidR="002F2574" w:rsidRPr="00280E4D" w:rsidRDefault="002F2574" w:rsidP="00E261D6">
      <w:pPr>
        <w:pStyle w:val="Nadpis2"/>
        <w:rPr>
          <w:lang w:val="en-GB"/>
        </w:rPr>
      </w:pPr>
      <w:r w:rsidRPr="00280E4D">
        <w:rPr>
          <w:lang w:val="en-GB"/>
        </w:rPr>
        <w:t>Portable X-Ray fluorescence analysis</w:t>
      </w:r>
    </w:p>
    <w:p w14:paraId="3E342787" w14:textId="273D7030" w:rsidR="00E261D6" w:rsidRPr="00280E4D" w:rsidRDefault="002F2574" w:rsidP="00E261D6">
      <w:pPr>
        <w:rPr>
          <w:highlight w:val="magenta"/>
          <w:lang w:val="en-GB"/>
        </w:rPr>
      </w:pPr>
      <w:r w:rsidRPr="00280E4D">
        <w:rPr>
          <w:lang w:val="en-GB"/>
        </w:rPr>
        <w:t>The concentrations of SiO</w:t>
      </w:r>
      <w:r w:rsidRPr="00280E4D">
        <w:rPr>
          <w:vertAlign w:val="subscript"/>
          <w:lang w:val="en-GB"/>
        </w:rPr>
        <w:t>2</w:t>
      </w:r>
      <w:r w:rsidRPr="00280E4D">
        <w:rPr>
          <w:lang w:val="en-GB"/>
        </w:rPr>
        <w:t>, Al</w:t>
      </w:r>
      <w:r w:rsidRPr="00280E4D">
        <w:rPr>
          <w:vertAlign w:val="subscript"/>
          <w:lang w:val="en-GB"/>
        </w:rPr>
        <w:t>2</w:t>
      </w:r>
      <w:r w:rsidRPr="00280E4D">
        <w:rPr>
          <w:lang w:val="en-GB"/>
        </w:rPr>
        <w:t>O</w:t>
      </w:r>
      <w:r w:rsidRPr="00280E4D">
        <w:rPr>
          <w:vertAlign w:val="subscript"/>
          <w:lang w:val="en-GB"/>
        </w:rPr>
        <w:t>3</w:t>
      </w:r>
      <w:r w:rsidRPr="00280E4D">
        <w:rPr>
          <w:lang w:val="en-GB"/>
        </w:rPr>
        <w:t xml:space="preserve">, </w:t>
      </w:r>
      <w:proofErr w:type="spellStart"/>
      <w:r w:rsidRPr="00280E4D">
        <w:rPr>
          <w:lang w:val="en-GB"/>
        </w:rPr>
        <w:t>M</w:t>
      </w:r>
      <w:r w:rsidR="00E261D6" w:rsidRPr="00280E4D">
        <w:rPr>
          <w:lang w:val="en-GB"/>
        </w:rPr>
        <w:t>n</w:t>
      </w:r>
      <w:r w:rsidRPr="00280E4D">
        <w:rPr>
          <w:lang w:val="en-GB"/>
        </w:rPr>
        <w:t>O</w:t>
      </w:r>
      <w:proofErr w:type="spellEnd"/>
      <w:r w:rsidRPr="00280E4D">
        <w:rPr>
          <w:lang w:val="en-GB"/>
        </w:rPr>
        <w:t xml:space="preserve">, </w:t>
      </w:r>
      <w:proofErr w:type="spellStart"/>
      <w:r w:rsidRPr="00280E4D">
        <w:rPr>
          <w:lang w:val="en-GB"/>
        </w:rPr>
        <w:t>MgO</w:t>
      </w:r>
      <w:proofErr w:type="spellEnd"/>
      <w:r w:rsidRPr="00280E4D">
        <w:rPr>
          <w:lang w:val="en-GB"/>
        </w:rPr>
        <w:t xml:space="preserve">, </w:t>
      </w:r>
      <w:proofErr w:type="spellStart"/>
      <w:r w:rsidRPr="00280E4D">
        <w:rPr>
          <w:lang w:val="en-GB"/>
        </w:rPr>
        <w:t>CaO</w:t>
      </w:r>
      <w:proofErr w:type="spellEnd"/>
      <w:r w:rsidRPr="00280E4D">
        <w:rPr>
          <w:lang w:val="en-GB"/>
        </w:rPr>
        <w:t>, K</w:t>
      </w:r>
      <w:r w:rsidRPr="00280E4D">
        <w:rPr>
          <w:vertAlign w:val="subscript"/>
          <w:lang w:val="en-GB"/>
        </w:rPr>
        <w:t>2</w:t>
      </w:r>
      <w:r w:rsidRPr="00280E4D">
        <w:rPr>
          <w:lang w:val="en-GB"/>
        </w:rPr>
        <w:t>O, TiO</w:t>
      </w:r>
      <w:r w:rsidRPr="00280E4D">
        <w:rPr>
          <w:vertAlign w:val="subscript"/>
          <w:lang w:val="en-GB"/>
        </w:rPr>
        <w:t>2</w:t>
      </w:r>
      <w:r w:rsidRPr="00280E4D">
        <w:rPr>
          <w:lang w:val="en-GB"/>
        </w:rPr>
        <w:t>, P</w:t>
      </w:r>
      <w:r w:rsidRPr="00280E4D">
        <w:rPr>
          <w:vertAlign w:val="subscript"/>
          <w:lang w:val="en-GB"/>
        </w:rPr>
        <w:t>2</w:t>
      </w:r>
      <w:r w:rsidRPr="00280E4D">
        <w:rPr>
          <w:lang w:val="en-GB"/>
        </w:rPr>
        <w:t>O</w:t>
      </w:r>
      <w:r w:rsidRPr="00280E4D">
        <w:rPr>
          <w:vertAlign w:val="subscript"/>
          <w:lang w:val="en-GB"/>
        </w:rPr>
        <w:t>5</w:t>
      </w:r>
      <w:r w:rsidR="00C97127" w:rsidRPr="00280E4D">
        <w:rPr>
          <w:lang w:val="en-GB"/>
        </w:rPr>
        <w:t xml:space="preserve"> and</w:t>
      </w:r>
      <w:r w:rsidR="00E261D6" w:rsidRPr="00280E4D">
        <w:rPr>
          <w:lang w:val="en-GB"/>
        </w:rPr>
        <w:t xml:space="preserve"> S</w:t>
      </w:r>
      <w:r w:rsidRPr="00280E4D">
        <w:rPr>
          <w:lang w:val="en-GB"/>
        </w:rPr>
        <w:t xml:space="preserve"> were determined by the </w:t>
      </w:r>
      <w:proofErr w:type="spellStart"/>
      <w:r w:rsidRPr="00280E4D">
        <w:rPr>
          <w:lang w:val="en-GB"/>
        </w:rPr>
        <w:t>pXRF</w:t>
      </w:r>
      <w:proofErr w:type="spellEnd"/>
      <w:r w:rsidRPr="00280E4D">
        <w:rPr>
          <w:lang w:val="en-GB"/>
        </w:rPr>
        <w:t xml:space="preserve"> method on samples of ground and </w:t>
      </w:r>
      <w:r w:rsidR="00BC3D8E" w:rsidRPr="00280E4D">
        <w:rPr>
          <w:lang w:val="en-GB"/>
        </w:rPr>
        <w:t xml:space="preserve">homogenised </w:t>
      </w:r>
      <w:r w:rsidRPr="00280E4D">
        <w:rPr>
          <w:lang w:val="en-GB"/>
        </w:rPr>
        <w:t xml:space="preserve">mineral samples pressed into starch tablets. </w:t>
      </w:r>
      <w:r w:rsidR="00D323AA" w:rsidRPr="00280E4D">
        <w:rPr>
          <w:lang w:val="en-GB"/>
        </w:rPr>
        <w:t xml:space="preserve">The samples </w:t>
      </w:r>
      <w:r w:rsidR="00BC3D8E" w:rsidRPr="00280E4D">
        <w:rPr>
          <w:lang w:val="en-GB"/>
        </w:rPr>
        <w:t xml:space="preserve">were analysed with </w:t>
      </w:r>
      <w:r w:rsidRPr="00280E4D">
        <w:rPr>
          <w:lang w:val="en-GB"/>
        </w:rPr>
        <w:t xml:space="preserve">the portable X-ray fluorescence spectrometer Bruker S1 Titan 600 (Bruker, USA). The parameters of the X-ray fluorescence analysis were as follows: voltage 15/40 kV; current 27/10 </w:t>
      </w:r>
      <w:proofErr w:type="spellStart"/>
      <w:r w:rsidRPr="00280E4D">
        <w:rPr>
          <w:lang w:val="en-GB"/>
        </w:rPr>
        <w:t>μA</w:t>
      </w:r>
      <w:proofErr w:type="spellEnd"/>
      <w:r w:rsidRPr="00280E4D">
        <w:rPr>
          <w:lang w:val="en-GB"/>
        </w:rPr>
        <w:t>; time of each measurement 180 s; graphene window silicon drift detector; Rh target X-ray tube and 3 mm collimator. The spectra</w:t>
      </w:r>
      <w:r w:rsidR="00476E7B" w:rsidRPr="00280E4D">
        <w:rPr>
          <w:lang w:val="en-GB"/>
        </w:rPr>
        <w:t xml:space="preserve"> obtained</w:t>
      </w:r>
      <w:r w:rsidRPr="00280E4D">
        <w:rPr>
          <w:lang w:val="en-GB"/>
        </w:rPr>
        <w:t xml:space="preserve"> were evaluated using the Bruker </w:t>
      </w:r>
      <w:proofErr w:type="spellStart"/>
      <w:r w:rsidRPr="00280E4D">
        <w:rPr>
          <w:lang w:val="en-GB"/>
        </w:rPr>
        <w:t>Artax</w:t>
      </w:r>
      <w:proofErr w:type="spellEnd"/>
      <w:r w:rsidRPr="00280E4D">
        <w:rPr>
          <w:lang w:val="en-GB"/>
        </w:rPr>
        <w:t xml:space="preserve"> software. </w:t>
      </w:r>
      <w:r w:rsidR="00476E7B" w:rsidRPr="00280E4D">
        <w:rPr>
          <w:lang w:val="en-GB"/>
        </w:rPr>
        <w:t>Q</w:t>
      </w:r>
      <w:r w:rsidRPr="00280E4D">
        <w:rPr>
          <w:lang w:val="en-GB"/>
        </w:rPr>
        <w:t>uantification was made using the internal calibration standards (geochemical analysis).</w:t>
      </w:r>
      <w:r w:rsidR="00C97127" w:rsidRPr="00280E4D">
        <w:rPr>
          <w:lang w:val="en-GB"/>
        </w:rPr>
        <w:t xml:space="preserve"> The results are presented as a part of the</w:t>
      </w:r>
      <w:r w:rsidR="004A470B" w:rsidRPr="00280E4D">
        <w:rPr>
          <w:lang w:val="en-GB"/>
        </w:rPr>
        <w:t xml:space="preserve"> Table 1.</w:t>
      </w:r>
    </w:p>
    <w:p w14:paraId="71DD4859" w14:textId="77777777" w:rsidR="00E261D6" w:rsidRPr="00280E4D" w:rsidRDefault="00E261D6" w:rsidP="004A470B">
      <w:pPr>
        <w:pStyle w:val="Nadpis2"/>
        <w:rPr>
          <w:lang w:val="en-GB"/>
        </w:rPr>
      </w:pPr>
      <w:r w:rsidRPr="00280E4D">
        <w:rPr>
          <w:lang w:val="en-GB"/>
        </w:rPr>
        <w:t xml:space="preserve">Magnetic sector field </w:t>
      </w:r>
      <w:r w:rsidR="004A470B" w:rsidRPr="00280E4D">
        <w:rPr>
          <w:lang w:val="en-GB"/>
        </w:rPr>
        <w:t>Inductively Coupled Plasma Mass Spectrometry</w:t>
      </w:r>
    </w:p>
    <w:p w14:paraId="512D6429" w14:textId="3DBE9413" w:rsidR="00390716" w:rsidRPr="00280E4D" w:rsidRDefault="00E261D6" w:rsidP="00E261D6">
      <w:pPr>
        <w:rPr>
          <w:lang w:val="en-GB"/>
        </w:rPr>
      </w:pPr>
      <w:r w:rsidRPr="00280E4D">
        <w:rPr>
          <w:lang w:val="en-GB"/>
        </w:rPr>
        <w:t xml:space="preserve">Concentration of </w:t>
      </w:r>
      <w:proofErr w:type="spellStart"/>
      <w:r w:rsidRPr="00280E4D">
        <w:rPr>
          <w:lang w:val="en-GB"/>
        </w:rPr>
        <w:t>Pb</w:t>
      </w:r>
      <w:proofErr w:type="spellEnd"/>
      <w:r w:rsidRPr="00280E4D">
        <w:rPr>
          <w:lang w:val="en-GB"/>
        </w:rPr>
        <w:t xml:space="preserve"> and Bi of all </w:t>
      </w:r>
      <w:r w:rsidR="000F648A" w:rsidRPr="00280E4D">
        <w:rPr>
          <w:lang w:val="en-GB"/>
        </w:rPr>
        <w:t>mineralogical samples and selected ingots samples</w:t>
      </w:r>
      <w:r w:rsidRPr="00280E4D">
        <w:rPr>
          <w:lang w:val="en-GB"/>
        </w:rPr>
        <w:t xml:space="preserve"> were analysed through their stable isotopes (</w:t>
      </w:r>
      <w:r w:rsidRPr="00280E4D">
        <w:rPr>
          <w:vertAlign w:val="superscript"/>
          <w:lang w:val="en-GB"/>
        </w:rPr>
        <w:t>208</w:t>
      </w:r>
      <w:r w:rsidRPr="00280E4D">
        <w:rPr>
          <w:lang w:val="en-GB"/>
        </w:rPr>
        <w:t xml:space="preserve">Pb and </w:t>
      </w:r>
      <w:r w:rsidRPr="00280E4D">
        <w:rPr>
          <w:vertAlign w:val="superscript"/>
          <w:lang w:val="en-GB"/>
        </w:rPr>
        <w:t>209</w:t>
      </w:r>
      <w:r w:rsidRPr="00280E4D">
        <w:rPr>
          <w:lang w:val="en-GB"/>
        </w:rPr>
        <w:t xml:space="preserve">Bi) using a magnetic sector field ICP-MS (Element2, </w:t>
      </w:r>
      <w:proofErr w:type="spellStart"/>
      <w:r w:rsidRPr="00280E4D">
        <w:rPr>
          <w:lang w:val="en-GB"/>
        </w:rPr>
        <w:t>Thermo</w:t>
      </w:r>
      <w:proofErr w:type="spellEnd"/>
      <w:r w:rsidRPr="00280E4D">
        <w:rPr>
          <w:lang w:val="en-GB"/>
        </w:rPr>
        <w:t xml:space="preserve"> Scientific), equipped with a double pass quartz spray chamber, a PFA </w:t>
      </w:r>
      <w:proofErr w:type="spellStart"/>
      <w:r w:rsidRPr="00280E4D">
        <w:rPr>
          <w:lang w:val="en-GB"/>
        </w:rPr>
        <w:t>microflow</w:t>
      </w:r>
      <w:proofErr w:type="spellEnd"/>
      <w:r w:rsidRPr="00280E4D">
        <w:rPr>
          <w:lang w:val="en-GB"/>
        </w:rPr>
        <w:t xml:space="preserve"> nebulizer (Elemental Scientific) and a peristaltic pump for sample uptake. Samples were diluted in 2% HNO</w:t>
      </w:r>
      <w:r w:rsidRPr="00280E4D">
        <w:rPr>
          <w:vertAlign w:val="subscript"/>
          <w:lang w:val="en-GB"/>
        </w:rPr>
        <w:t>3</w:t>
      </w:r>
      <w:r w:rsidRPr="00280E4D">
        <w:rPr>
          <w:lang w:val="en-GB"/>
        </w:rPr>
        <w:t xml:space="preserve"> before analysis. External calibration was applied using a three-point calibration line prepared from certified calibration solutions (</w:t>
      </w:r>
      <w:proofErr w:type="spellStart"/>
      <w:r w:rsidRPr="00280E4D">
        <w:rPr>
          <w:lang w:val="en-GB"/>
        </w:rPr>
        <w:t>CPAchem</w:t>
      </w:r>
      <w:proofErr w:type="spellEnd"/>
      <w:r w:rsidRPr="00280E4D">
        <w:rPr>
          <w:lang w:val="en-GB"/>
        </w:rPr>
        <w:t xml:space="preserve">), and a blank solution. A solution of 10 µg/L indium was mixed with both samples and calibration standards via a Y-piece before entrance to the nebulizer and 115In was used as an internal standard to correct for instrument drift.  </w:t>
      </w:r>
      <w:r w:rsidR="004A470B" w:rsidRPr="00280E4D">
        <w:rPr>
          <w:lang w:val="en-GB"/>
        </w:rPr>
        <w:t>The results are presented in Tables 1.</w:t>
      </w:r>
    </w:p>
    <w:p w14:paraId="55684D0A" w14:textId="77777777" w:rsidR="002F2574" w:rsidRPr="00280E4D" w:rsidRDefault="002F2574" w:rsidP="00E261D6">
      <w:pPr>
        <w:pStyle w:val="Nadpis2"/>
        <w:rPr>
          <w:lang w:val="en-GB"/>
        </w:rPr>
      </w:pPr>
      <w:r w:rsidRPr="00280E4D">
        <w:rPr>
          <w:lang w:val="en-GB"/>
        </w:rPr>
        <w:lastRenderedPageBreak/>
        <w:t xml:space="preserve">High resolution </w:t>
      </w:r>
      <w:proofErr w:type="spellStart"/>
      <w:r w:rsidRPr="00280E4D">
        <w:rPr>
          <w:lang w:val="en-GB"/>
        </w:rPr>
        <w:t>multicollector</w:t>
      </w:r>
      <w:proofErr w:type="spellEnd"/>
      <w:r w:rsidRPr="00280E4D">
        <w:rPr>
          <w:lang w:val="en-GB"/>
        </w:rPr>
        <w:t>-Inductively Coupled Plasma Mass Spectrometry</w:t>
      </w:r>
    </w:p>
    <w:p w14:paraId="07B20B0D" w14:textId="77777777" w:rsidR="001E2C02" w:rsidRPr="00280E4D" w:rsidRDefault="001E2C02" w:rsidP="001E2C02">
      <w:pPr>
        <w:rPr>
          <w:lang w:val="en-GB"/>
        </w:rPr>
      </w:pPr>
      <w:r w:rsidRPr="00280E4D">
        <w:rPr>
          <w:lang w:val="en-GB"/>
        </w:rPr>
        <w:t xml:space="preserve">Stable lead isotope ratios of the copper ore samples were analysed by the method of </w:t>
      </w:r>
      <w:proofErr w:type="spellStart"/>
      <w:r w:rsidRPr="00280E4D">
        <w:rPr>
          <w:lang w:val="en-GB"/>
        </w:rPr>
        <w:t>Multicollector</w:t>
      </w:r>
      <w:proofErr w:type="spellEnd"/>
      <w:r w:rsidRPr="00280E4D">
        <w:rPr>
          <w:lang w:val="en-GB"/>
        </w:rPr>
        <w:t xml:space="preserve">-Inductively Coupled Plasma Mass Spectrometry (MC-ICP-MS). All geological and metallic samples were analysed using the </w:t>
      </w:r>
      <w:proofErr w:type="spellStart"/>
      <w:r w:rsidRPr="00280E4D">
        <w:rPr>
          <w:lang w:val="en-GB"/>
        </w:rPr>
        <w:t>Thermo</w:t>
      </w:r>
      <w:proofErr w:type="spellEnd"/>
      <w:r w:rsidRPr="00280E4D">
        <w:rPr>
          <w:lang w:val="en-GB"/>
        </w:rPr>
        <w:t xml:space="preserve"> Scientific Neptune mass spectrometer housed at Czech Geological Survey in Prague. For the measurements, the solutions with a lead concentration of 100 ng/ml were prepared after dissolution of the solid samples and chemical separation of the lead. For the separation of lead, the samples were rinsed with 2M HNO</w:t>
      </w:r>
      <w:r w:rsidRPr="00280E4D">
        <w:rPr>
          <w:vertAlign w:val="subscript"/>
          <w:lang w:val="en-GB"/>
        </w:rPr>
        <w:t>3</w:t>
      </w:r>
      <w:r w:rsidRPr="00280E4D">
        <w:rPr>
          <w:lang w:val="en-GB"/>
        </w:rPr>
        <w:t xml:space="preserve"> to remove surface contamination. Samples used for </w:t>
      </w:r>
      <w:proofErr w:type="spellStart"/>
      <w:r w:rsidRPr="00280E4D">
        <w:rPr>
          <w:lang w:val="en-GB"/>
        </w:rPr>
        <w:t>Pb</w:t>
      </w:r>
      <w:proofErr w:type="spellEnd"/>
      <w:r w:rsidRPr="00280E4D">
        <w:rPr>
          <w:lang w:val="en-GB"/>
        </w:rPr>
        <w:t xml:space="preserve"> isotope analyses are dissolved in a mixture of ultrapure (</w:t>
      </w:r>
      <w:proofErr w:type="spellStart"/>
      <w:r w:rsidRPr="00280E4D">
        <w:rPr>
          <w:lang w:val="en-GB"/>
        </w:rPr>
        <w:t>Romil</w:t>
      </w:r>
      <w:proofErr w:type="spellEnd"/>
      <w:r w:rsidRPr="00280E4D">
        <w:rPr>
          <w:lang w:val="en-GB"/>
        </w:rPr>
        <w:t>®) HNO</w:t>
      </w:r>
      <w:r w:rsidRPr="00280E4D">
        <w:rPr>
          <w:vertAlign w:val="subscript"/>
          <w:lang w:val="en-GB"/>
        </w:rPr>
        <w:t>3</w:t>
      </w:r>
      <w:r w:rsidRPr="00280E4D">
        <w:rPr>
          <w:lang w:val="en-GB"/>
        </w:rPr>
        <w:t xml:space="preserve"> and 6M </w:t>
      </w:r>
      <w:proofErr w:type="spellStart"/>
      <w:r w:rsidRPr="00280E4D">
        <w:rPr>
          <w:lang w:val="en-GB"/>
        </w:rPr>
        <w:t>HCl</w:t>
      </w:r>
      <w:proofErr w:type="spellEnd"/>
      <w:r w:rsidRPr="00280E4D">
        <w:rPr>
          <w:lang w:val="en-GB"/>
        </w:rPr>
        <w:t xml:space="preserve"> (1:1 v/v) in single-use, pre-cleaned poly vials, and are gently evaporated at 60 °C to dryness. The residue completely dissolves in 4 ml of 6 M </w:t>
      </w:r>
      <w:proofErr w:type="spellStart"/>
      <w:r w:rsidRPr="00280E4D">
        <w:rPr>
          <w:lang w:val="en-GB"/>
        </w:rPr>
        <w:t>HCl</w:t>
      </w:r>
      <w:proofErr w:type="spellEnd"/>
      <w:r w:rsidRPr="00280E4D">
        <w:rPr>
          <w:lang w:val="en-GB"/>
        </w:rPr>
        <w:t>. Insoluble residues were removed by centrifugation.</w:t>
      </w:r>
    </w:p>
    <w:p w14:paraId="545EA832" w14:textId="51E90B91" w:rsidR="001E2C02" w:rsidRPr="00280E4D" w:rsidRDefault="001E2C02" w:rsidP="001E2C02">
      <w:pPr>
        <w:rPr>
          <w:lang w:val="en-GB"/>
        </w:rPr>
      </w:pPr>
      <w:r w:rsidRPr="00280E4D">
        <w:rPr>
          <w:lang w:val="en-GB"/>
        </w:rPr>
        <w:t xml:space="preserve">Dissolved samples are stored in 6 M </w:t>
      </w:r>
      <w:proofErr w:type="spellStart"/>
      <w:r w:rsidRPr="00280E4D">
        <w:rPr>
          <w:lang w:val="en-GB"/>
        </w:rPr>
        <w:t>HCl</w:t>
      </w:r>
      <w:proofErr w:type="spellEnd"/>
      <w:r w:rsidRPr="00280E4D">
        <w:rPr>
          <w:lang w:val="en-GB"/>
        </w:rPr>
        <w:t xml:space="preserve">. One day before the first separation step, the solution aliquot is transferred to a new beaker, evaporated to dryness, and dissolved in 1.5 ml 2 M HNO3. </w:t>
      </w:r>
      <w:proofErr w:type="spellStart"/>
      <w:r w:rsidRPr="00280E4D">
        <w:rPr>
          <w:lang w:val="en-GB"/>
        </w:rPr>
        <w:t>Sr</w:t>
      </w:r>
      <w:proofErr w:type="spellEnd"/>
      <w:r w:rsidRPr="00280E4D">
        <w:rPr>
          <w:lang w:val="en-GB"/>
        </w:rPr>
        <w:t xml:space="preserve"> resin was used for </w:t>
      </w:r>
      <w:proofErr w:type="spellStart"/>
      <w:r w:rsidRPr="00280E4D">
        <w:rPr>
          <w:lang w:val="en-GB"/>
        </w:rPr>
        <w:t>Pb</w:t>
      </w:r>
      <w:proofErr w:type="spellEnd"/>
      <w:r w:rsidRPr="00280E4D">
        <w:rPr>
          <w:lang w:val="en-GB"/>
        </w:rPr>
        <w:t xml:space="preserve"> sepa</w:t>
      </w:r>
      <w:r w:rsidR="00280E4D" w:rsidRPr="00280E4D">
        <w:rPr>
          <w:lang w:val="en-GB"/>
        </w:rPr>
        <w:t>ration (</w:t>
      </w:r>
      <w:proofErr w:type="spellStart"/>
      <w:r w:rsidR="00280E4D" w:rsidRPr="00280E4D">
        <w:rPr>
          <w:lang w:val="en-GB"/>
        </w:rPr>
        <w:t>Erban</w:t>
      </w:r>
      <w:proofErr w:type="spellEnd"/>
      <w:r w:rsidR="00280E4D" w:rsidRPr="00280E4D">
        <w:rPr>
          <w:lang w:val="en-GB"/>
        </w:rPr>
        <w:t xml:space="preserve"> </w:t>
      </w:r>
      <w:proofErr w:type="spellStart"/>
      <w:r w:rsidR="00280E4D" w:rsidRPr="00280E4D">
        <w:rPr>
          <w:lang w:val="en-GB"/>
        </w:rPr>
        <w:t>Kochergina</w:t>
      </w:r>
      <w:proofErr w:type="spellEnd"/>
      <w:r w:rsidR="00280E4D" w:rsidRPr="00280E4D">
        <w:rPr>
          <w:lang w:val="en-GB"/>
        </w:rPr>
        <w:t xml:space="preserve"> et al.</w:t>
      </w:r>
      <w:r w:rsidRPr="00280E4D">
        <w:rPr>
          <w:lang w:val="en-GB"/>
        </w:rPr>
        <w:t xml:space="preserve"> 2022). The </w:t>
      </w:r>
      <w:proofErr w:type="spellStart"/>
      <w:r w:rsidRPr="00280E4D">
        <w:rPr>
          <w:lang w:val="en-GB"/>
        </w:rPr>
        <w:t>Pb</w:t>
      </w:r>
      <w:proofErr w:type="spellEnd"/>
      <w:r w:rsidRPr="00280E4D">
        <w:rPr>
          <w:lang w:val="en-GB"/>
        </w:rPr>
        <w:t xml:space="preserve"> fraction was eluted using the 6M </w:t>
      </w:r>
      <w:proofErr w:type="spellStart"/>
      <w:r w:rsidRPr="00280E4D">
        <w:rPr>
          <w:lang w:val="en-GB"/>
        </w:rPr>
        <w:t>HCl</w:t>
      </w:r>
      <w:proofErr w:type="spellEnd"/>
      <w:r w:rsidRPr="00280E4D">
        <w:rPr>
          <w:lang w:val="en-GB"/>
        </w:rPr>
        <w:t xml:space="preserve"> and then gently evaporated at 60°C to dryness. </w:t>
      </w:r>
    </w:p>
    <w:p w14:paraId="1D6051CD" w14:textId="4A9E9CFC" w:rsidR="00280E4D" w:rsidRPr="00280E4D" w:rsidRDefault="001E2C02" w:rsidP="001E2C02">
      <w:pPr>
        <w:rPr>
          <w:lang w:val="en-GB"/>
        </w:rPr>
      </w:pPr>
      <w:r w:rsidRPr="00280E4D">
        <w:rPr>
          <w:lang w:val="en-GB"/>
        </w:rPr>
        <w:t>The MC-ICPMS is run in static low-resolution mode, using Faraday detectors and 10</w:t>
      </w:r>
      <w:r w:rsidRPr="00280E4D">
        <w:rPr>
          <w:vertAlign w:val="superscript"/>
          <w:lang w:val="en-GB"/>
        </w:rPr>
        <w:t>11</w:t>
      </w:r>
      <w:r w:rsidRPr="00280E4D">
        <w:rPr>
          <w:lang w:val="en-GB"/>
        </w:rPr>
        <w:t xml:space="preserve">Ω amplifiers. A quartz dual cyclone spray chamber with micro concentric 50 µl nebulizer is utilized for sample introduction, which provides at least 4.5 V at </w:t>
      </w:r>
      <w:r w:rsidRPr="00280E4D">
        <w:rPr>
          <w:vertAlign w:val="superscript"/>
          <w:lang w:val="en-GB"/>
        </w:rPr>
        <w:t>208</w:t>
      </w:r>
      <w:r w:rsidRPr="00280E4D">
        <w:rPr>
          <w:lang w:val="en-GB"/>
        </w:rPr>
        <w:t xml:space="preserve">Pb for 100 ppb lead concentration. Samples for </w:t>
      </w:r>
      <w:proofErr w:type="spellStart"/>
      <w:r w:rsidRPr="00280E4D">
        <w:rPr>
          <w:lang w:val="en-GB"/>
        </w:rPr>
        <w:t>Pb</w:t>
      </w:r>
      <w:proofErr w:type="spellEnd"/>
      <w:r w:rsidRPr="00280E4D">
        <w:rPr>
          <w:lang w:val="en-GB"/>
        </w:rPr>
        <w:t xml:space="preserve"> isotopic analysis are spiked with NIST SRM 997 thallium reference material and the mass bias is corrected with the generalized power law using </w:t>
      </w:r>
      <w:r w:rsidRPr="00280E4D">
        <w:rPr>
          <w:vertAlign w:val="superscript"/>
          <w:lang w:val="en-GB"/>
        </w:rPr>
        <w:t>205</w:t>
      </w:r>
      <w:r w:rsidRPr="00280E4D">
        <w:rPr>
          <w:lang w:val="en-GB"/>
        </w:rPr>
        <w:t>Tl/</w:t>
      </w:r>
      <w:r w:rsidRPr="00280E4D">
        <w:rPr>
          <w:vertAlign w:val="superscript"/>
          <w:lang w:val="en-GB"/>
        </w:rPr>
        <w:t>203</w:t>
      </w:r>
      <w:r w:rsidRPr="00280E4D">
        <w:rPr>
          <w:lang w:val="en-GB"/>
        </w:rPr>
        <w:t xml:space="preserve">Tl = 2.3871 (Ridley 2005). Ideally, the signal intensities of </w:t>
      </w:r>
      <w:r w:rsidRPr="00280E4D">
        <w:rPr>
          <w:vertAlign w:val="superscript"/>
          <w:lang w:val="en-GB"/>
        </w:rPr>
        <w:t>204</w:t>
      </w:r>
      <w:r w:rsidRPr="00280E4D">
        <w:rPr>
          <w:lang w:val="en-GB"/>
        </w:rPr>
        <w:t xml:space="preserve">Pb and </w:t>
      </w:r>
      <w:r w:rsidRPr="00280E4D">
        <w:rPr>
          <w:vertAlign w:val="superscript"/>
          <w:lang w:val="en-GB"/>
        </w:rPr>
        <w:t>205</w:t>
      </w:r>
      <w:r w:rsidRPr="00280E4D">
        <w:rPr>
          <w:lang w:val="en-GB"/>
        </w:rPr>
        <w:t>Tl should be equal. The reported data are the uncertainty-weighted mean of at least three replicate measurements and are corrected by a standard–sample bracketing approach relative to NIST declared values for the SRM 981 reference material (</w:t>
      </w:r>
      <w:proofErr w:type="spellStart"/>
      <w:r w:rsidRPr="00280E4D">
        <w:rPr>
          <w:lang w:val="en-GB"/>
        </w:rPr>
        <w:t>Košler</w:t>
      </w:r>
      <w:proofErr w:type="spellEnd"/>
      <w:r w:rsidRPr="00280E4D">
        <w:rPr>
          <w:lang w:val="en-GB"/>
        </w:rPr>
        <w:t xml:space="preserve"> 2008). Potential </w:t>
      </w:r>
      <w:r w:rsidRPr="00280E4D">
        <w:rPr>
          <w:vertAlign w:val="superscript"/>
          <w:lang w:val="en-GB"/>
        </w:rPr>
        <w:t>204</w:t>
      </w:r>
      <w:r w:rsidRPr="00280E4D">
        <w:rPr>
          <w:lang w:val="en-GB"/>
        </w:rPr>
        <w:t xml:space="preserve">Hg isobaric interference on </w:t>
      </w:r>
      <w:r w:rsidRPr="00280E4D">
        <w:rPr>
          <w:vertAlign w:val="superscript"/>
          <w:lang w:val="en-GB"/>
        </w:rPr>
        <w:t>204</w:t>
      </w:r>
      <w:r w:rsidRPr="00280E4D">
        <w:rPr>
          <w:lang w:val="en-GB"/>
        </w:rPr>
        <w:t>Pb is monitored at mass 202 (</w:t>
      </w:r>
      <w:r w:rsidRPr="00280E4D">
        <w:rPr>
          <w:vertAlign w:val="superscript"/>
          <w:lang w:val="en-GB"/>
        </w:rPr>
        <w:t>202</w:t>
      </w:r>
      <w:r w:rsidRPr="00280E4D">
        <w:rPr>
          <w:lang w:val="en-GB"/>
        </w:rPr>
        <w:t>Hg) and corrected by assuming natural Hg isotope ratios (</w:t>
      </w:r>
      <w:r w:rsidRPr="00280E4D">
        <w:rPr>
          <w:vertAlign w:val="superscript"/>
          <w:lang w:val="en-GB"/>
        </w:rPr>
        <w:t>202</w:t>
      </w:r>
      <w:r w:rsidRPr="00280E4D">
        <w:rPr>
          <w:lang w:val="en-GB"/>
        </w:rPr>
        <w:t>Hg/</w:t>
      </w:r>
      <w:r w:rsidRPr="00280E4D">
        <w:rPr>
          <w:vertAlign w:val="superscript"/>
          <w:lang w:val="en-GB"/>
        </w:rPr>
        <w:t>204</w:t>
      </w:r>
      <w:r w:rsidRPr="00280E4D">
        <w:rPr>
          <w:lang w:val="en-GB"/>
        </w:rPr>
        <w:t>Hg = 4.35) (</w:t>
      </w:r>
      <w:proofErr w:type="spellStart"/>
      <w:r w:rsidRPr="00280E4D">
        <w:rPr>
          <w:lang w:val="en-GB"/>
        </w:rPr>
        <w:t>Zadnik</w:t>
      </w:r>
      <w:proofErr w:type="spellEnd"/>
      <w:r w:rsidRPr="00280E4D">
        <w:rPr>
          <w:lang w:val="en-GB"/>
        </w:rPr>
        <w:t xml:space="preserve"> et al. 1989). External reproducibility of </w:t>
      </w:r>
      <w:proofErr w:type="spellStart"/>
      <w:r w:rsidRPr="00280E4D">
        <w:rPr>
          <w:lang w:val="en-GB"/>
        </w:rPr>
        <w:t>Pb</w:t>
      </w:r>
      <w:proofErr w:type="spellEnd"/>
      <w:r w:rsidRPr="00280E4D">
        <w:rPr>
          <w:lang w:val="en-GB"/>
        </w:rPr>
        <w:t xml:space="preserve"> isotopic measurements is given by repeat analyses of NIST SRM 981 isotopic sta</w:t>
      </w:r>
      <w:r w:rsidR="000F648A" w:rsidRPr="00280E4D">
        <w:rPr>
          <w:lang w:val="en-GB"/>
        </w:rPr>
        <w:t>n</w:t>
      </w:r>
      <w:r w:rsidRPr="00280E4D">
        <w:rPr>
          <w:lang w:val="en-GB"/>
        </w:rPr>
        <w:t>dard (</w:t>
      </w:r>
      <w:r w:rsidRPr="00280E4D">
        <w:rPr>
          <w:vertAlign w:val="superscript"/>
          <w:lang w:val="en-GB"/>
        </w:rPr>
        <w:t>206</w:t>
      </w:r>
      <w:r w:rsidRPr="00280E4D">
        <w:rPr>
          <w:lang w:val="en-GB"/>
        </w:rPr>
        <w:t>Pb/</w:t>
      </w:r>
      <w:r w:rsidRPr="00280E4D">
        <w:rPr>
          <w:vertAlign w:val="superscript"/>
          <w:lang w:val="en-GB"/>
        </w:rPr>
        <w:t>204</w:t>
      </w:r>
      <w:r w:rsidRPr="00280E4D">
        <w:rPr>
          <w:lang w:val="en-GB"/>
        </w:rPr>
        <w:t xml:space="preserve">Pb = 16.931±50; </w:t>
      </w:r>
      <w:r w:rsidRPr="00280E4D">
        <w:rPr>
          <w:vertAlign w:val="superscript"/>
          <w:lang w:val="en-GB"/>
        </w:rPr>
        <w:t>207</w:t>
      </w:r>
      <w:r w:rsidRPr="00280E4D">
        <w:rPr>
          <w:lang w:val="en-GB"/>
        </w:rPr>
        <w:t>Pb/</w:t>
      </w:r>
      <w:r w:rsidRPr="00280E4D">
        <w:rPr>
          <w:vertAlign w:val="superscript"/>
          <w:lang w:val="en-GB"/>
        </w:rPr>
        <w:t>204</w:t>
      </w:r>
      <w:r w:rsidRPr="00280E4D">
        <w:rPr>
          <w:lang w:val="en-GB"/>
        </w:rPr>
        <w:t xml:space="preserve">Pb = 15.490±22; </w:t>
      </w:r>
      <w:r w:rsidRPr="00280E4D">
        <w:rPr>
          <w:vertAlign w:val="superscript"/>
          <w:lang w:val="en-GB"/>
        </w:rPr>
        <w:t>208</w:t>
      </w:r>
      <w:r w:rsidRPr="00280E4D">
        <w:rPr>
          <w:lang w:val="en-GB"/>
        </w:rPr>
        <w:t>Pb/</w:t>
      </w:r>
      <w:r w:rsidRPr="00280E4D">
        <w:rPr>
          <w:vertAlign w:val="superscript"/>
          <w:lang w:val="en-GB"/>
        </w:rPr>
        <w:t>204</w:t>
      </w:r>
      <w:r w:rsidRPr="00280E4D">
        <w:rPr>
          <w:lang w:val="en-GB"/>
        </w:rPr>
        <w:t xml:space="preserve">Pb = 36.688±124; </w:t>
      </w:r>
      <w:r w:rsidRPr="00280E4D">
        <w:rPr>
          <w:vertAlign w:val="superscript"/>
          <w:lang w:val="en-GB"/>
        </w:rPr>
        <w:t>208</w:t>
      </w:r>
      <w:r w:rsidRPr="00280E4D">
        <w:rPr>
          <w:lang w:val="en-GB"/>
        </w:rPr>
        <w:t>Pb/</w:t>
      </w:r>
      <w:r w:rsidRPr="00280E4D">
        <w:rPr>
          <w:vertAlign w:val="superscript"/>
          <w:lang w:val="en-GB"/>
        </w:rPr>
        <w:t>206</w:t>
      </w:r>
      <w:r w:rsidRPr="00280E4D">
        <w:rPr>
          <w:lang w:val="en-GB"/>
        </w:rPr>
        <w:t xml:space="preserve">Pb = 2.166±2; </w:t>
      </w:r>
      <w:r w:rsidRPr="00280E4D">
        <w:rPr>
          <w:vertAlign w:val="superscript"/>
          <w:lang w:val="en-GB"/>
        </w:rPr>
        <w:t>207</w:t>
      </w:r>
      <w:r w:rsidRPr="00280E4D">
        <w:rPr>
          <w:lang w:val="en-GB"/>
        </w:rPr>
        <w:t>Pb/</w:t>
      </w:r>
      <w:r w:rsidRPr="00280E4D">
        <w:rPr>
          <w:vertAlign w:val="superscript"/>
          <w:lang w:val="en-GB"/>
        </w:rPr>
        <w:t>206</w:t>
      </w:r>
      <w:r w:rsidRPr="00280E4D">
        <w:rPr>
          <w:lang w:val="en-GB"/>
        </w:rPr>
        <w:t>Pb = 0.9146±7; n</w:t>
      </w:r>
      <w:r w:rsidR="00280E4D" w:rsidRPr="00280E4D">
        <w:rPr>
          <w:lang w:val="en-GB"/>
        </w:rPr>
        <w:t xml:space="preserve"> = 117, </w:t>
      </w:r>
      <w:proofErr w:type="spellStart"/>
      <w:r w:rsidR="00280E4D" w:rsidRPr="00280E4D">
        <w:rPr>
          <w:lang w:val="en-GB"/>
        </w:rPr>
        <w:t>Erban</w:t>
      </w:r>
      <w:proofErr w:type="spellEnd"/>
      <w:r w:rsidR="00280E4D" w:rsidRPr="00280E4D">
        <w:rPr>
          <w:lang w:val="en-GB"/>
        </w:rPr>
        <w:t xml:space="preserve"> </w:t>
      </w:r>
      <w:proofErr w:type="spellStart"/>
      <w:r w:rsidR="00280E4D" w:rsidRPr="00280E4D">
        <w:rPr>
          <w:lang w:val="en-GB"/>
        </w:rPr>
        <w:t>Kochergina</w:t>
      </w:r>
      <w:proofErr w:type="spellEnd"/>
      <w:r w:rsidR="00280E4D" w:rsidRPr="00280E4D">
        <w:rPr>
          <w:lang w:val="en-GB"/>
        </w:rPr>
        <w:t xml:space="preserve"> et al.</w:t>
      </w:r>
      <w:r w:rsidRPr="00280E4D">
        <w:rPr>
          <w:lang w:val="en-GB"/>
        </w:rPr>
        <w:t xml:space="preserve"> 2022). </w:t>
      </w:r>
      <w:r w:rsidR="001E2C4F" w:rsidRPr="00280E4D">
        <w:rPr>
          <w:lang w:val="en-GB"/>
        </w:rPr>
        <w:t>Results of lead isotope ratios analysis are listed in the Table 2.</w:t>
      </w:r>
    </w:p>
    <w:p w14:paraId="41F94903" w14:textId="77777777" w:rsidR="00280E4D" w:rsidRPr="00280E4D" w:rsidRDefault="00280E4D">
      <w:pPr>
        <w:spacing w:after="160" w:line="259" w:lineRule="auto"/>
        <w:rPr>
          <w:lang w:val="en-GB"/>
        </w:rPr>
      </w:pPr>
      <w:r w:rsidRPr="00280E4D">
        <w:rPr>
          <w:lang w:val="en-GB"/>
        </w:rPr>
        <w:br w:type="page"/>
      </w:r>
    </w:p>
    <w:p w14:paraId="746D8DE4" w14:textId="406F18D0" w:rsidR="00280E4D" w:rsidRPr="00280E4D" w:rsidRDefault="00280E4D" w:rsidP="00280E4D">
      <w:pPr>
        <w:spacing w:line="276" w:lineRule="auto"/>
        <w:rPr>
          <w:lang w:val="en-GB"/>
        </w:rPr>
      </w:pPr>
      <w:r w:rsidRPr="00280E4D">
        <w:rPr>
          <w:b/>
          <w:lang w:val="en-GB"/>
        </w:rPr>
        <w:lastRenderedPageBreak/>
        <w:t>Tab. S1</w:t>
      </w:r>
      <w:r w:rsidRPr="00280E4D">
        <w:rPr>
          <w:lang w:val="en-GB"/>
        </w:rPr>
        <w:t xml:space="preserve"> </w:t>
      </w:r>
      <w:r w:rsidRPr="00280E4D">
        <w:rPr>
          <w:rFonts w:cs="Times New Roman"/>
          <w:lang w:val="en-GB"/>
        </w:rPr>
        <w:t>Summary of analysed copper ores and artefacts made of copper alloys with specification of the extent and type of performed analysis.</w:t>
      </w:r>
    </w:p>
    <w:tbl>
      <w:tblPr>
        <w:tblW w:w="9100" w:type="dxa"/>
        <w:tblLook w:val="04A0" w:firstRow="1" w:lastRow="0" w:firstColumn="1" w:lastColumn="0" w:noHBand="0" w:noVBand="1"/>
      </w:tblPr>
      <w:tblGrid>
        <w:gridCol w:w="1691"/>
        <w:gridCol w:w="1889"/>
        <w:gridCol w:w="920"/>
        <w:gridCol w:w="920"/>
        <w:gridCol w:w="920"/>
        <w:gridCol w:w="920"/>
        <w:gridCol w:w="920"/>
        <w:gridCol w:w="920"/>
      </w:tblGrid>
      <w:tr w:rsidR="00280E4D" w:rsidRPr="00280E4D" w14:paraId="6CF4186C" w14:textId="77777777" w:rsidTr="00280E4D">
        <w:trPr>
          <w:trHeight w:val="204"/>
        </w:trPr>
        <w:tc>
          <w:tcPr>
            <w:tcW w:w="1691"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0DA36AB" w14:textId="77777777" w:rsidR="00280E4D" w:rsidRPr="00280E4D" w:rsidRDefault="00280E4D" w:rsidP="00280E4D">
            <w:pPr>
              <w:spacing w:after="0" w:line="240" w:lineRule="auto"/>
              <w:rPr>
                <w:rFonts w:eastAsia="Times New Roman" w:cs="Times New Roman"/>
                <w:color w:val="000000"/>
                <w:sz w:val="16"/>
                <w:szCs w:val="16"/>
                <w:lang w:val="en-GB" w:eastAsia="en-GB"/>
              </w:rPr>
            </w:pPr>
            <w:bookmarkStart w:id="1" w:name="RANGE!A1:H24"/>
            <w:r w:rsidRPr="00280E4D">
              <w:rPr>
                <w:rFonts w:eastAsia="Times New Roman" w:cs="Times New Roman"/>
                <w:color w:val="000000"/>
                <w:sz w:val="16"/>
                <w:szCs w:val="16"/>
                <w:lang w:val="en-GB" w:eastAsia="en-GB"/>
              </w:rPr>
              <w:t>Analysed sample</w:t>
            </w:r>
            <w:bookmarkEnd w:id="1"/>
          </w:p>
        </w:tc>
        <w:tc>
          <w:tcPr>
            <w:tcW w:w="1889" w:type="dxa"/>
            <w:tcBorders>
              <w:top w:val="single" w:sz="8" w:space="0" w:color="auto"/>
              <w:left w:val="nil"/>
              <w:bottom w:val="single" w:sz="4" w:space="0" w:color="auto"/>
              <w:right w:val="single" w:sz="4" w:space="0" w:color="auto"/>
            </w:tcBorders>
            <w:shd w:val="clear" w:color="000000" w:fill="D9D9D9"/>
            <w:noWrap/>
            <w:vAlign w:val="bottom"/>
            <w:hideMark/>
          </w:tcPr>
          <w:p w14:paraId="3E6FFEC9"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Type of sample</w:t>
            </w:r>
          </w:p>
        </w:tc>
        <w:tc>
          <w:tcPr>
            <w:tcW w:w="920" w:type="dxa"/>
            <w:tcBorders>
              <w:top w:val="single" w:sz="8" w:space="0" w:color="auto"/>
              <w:left w:val="nil"/>
              <w:bottom w:val="single" w:sz="4" w:space="0" w:color="auto"/>
              <w:right w:val="single" w:sz="4" w:space="0" w:color="auto"/>
            </w:tcBorders>
            <w:shd w:val="clear" w:color="000000" w:fill="D9D9D9"/>
            <w:noWrap/>
            <w:vAlign w:val="center"/>
            <w:hideMark/>
          </w:tcPr>
          <w:p w14:paraId="698E357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LIA</w:t>
            </w:r>
          </w:p>
        </w:tc>
        <w:tc>
          <w:tcPr>
            <w:tcW w:w="920" w:type="dxa"/>
            <w:tcBorders>
              <w:top w:val="single" w:sz="8" w:space="0" w:color="auto"/>
              <w:left w:val="nil"/>
              <w:bottom w:val="single" w:sz="4" w:space="0" w:color="auto"/>
              <w:right w:val="single" w:sz="4" w:space="0" w:color="auto"/>
            </w:tcBorders>
            <w:shd w:val="clear" w:color="000000" w:fill="D9D9D9"/>
            <w:noWrap/>
            <w:vAlign w:val="center"/>
            <w:hideMark/>
          </w:tcPr>
          <w:p w14:paraId="0FA6FFC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ICP-MS (</w:t>
            </w:r>
            <w:proofErr w:type="spellStart"/>
            <w:r w:rsidRPr="00280E4D">
              <w:rPr>
                <w:rFonts w:eastAsia="Times New Roman" w:cs="Times New Roman"/>
                <w:color w:val="000000"/>
                <w:sz w:val="16"/>
                <w:szCs w:val="16"/>
                <w:lang w:val="en-GB" w:eastAsia="en-GB"/>
              </w:rPr>
              <w:t>Pb</w:t>
            </w:r>
            <w:proofErr w:type="spellEnd"/>
            <w:r w:rsidRPr="00280E4D">
              <w:rPr>
                <w:rFonts w:eastAsia="Times New Roman" w:cs="Times New Roman"/>
                <w:color w:val="000000"/>
                <w:sz w:val="16"/>
                <w:szCs w:val="16"/>
                <w:lang w:val="en-GB" w:eastAsia="en-GB"/>
              </w:rPr>
              <w:t>, Bi)</w:t>
            </w:r>
          </w:p>
        </w:tc>
        <w:tc>
          <w:tcPr>
            <w:tcW w:w="920" w:type="dxa"/>
            <w:tcBorders>
              <w:top w:val="single" w:sz="8" w:space="0" w:color="auto"/>
              <w:left w:val="nil"/>
              <w:bottom w:val="single" w:sz="4" w:space="0" w:color="auto"/>
              <w:right w:val="single" w:sz="4" w:space="0" w:color="auto"/>
            </w:tcBorders>
            <w:shd w:val="clear" w:color="000000" w:fill="D9D9D9"/>
            <w:noWrap/>
            <w:vAlign w:val="center"/>
            <w:hideMark/>
          </w:tcPr>
          <w:p w14:paraId="14AE9F47"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XRD</w:t>
            </w:r>
          </w:p>
        </w:tc>
        <w:tc>
          <w:tcPr>
            <w:tcW w:w="920" w:type="dxa"/>
            <w:tcBorders>
              <w:top w:val="single" w:sz="8" w:space="0" w:color="auto"/>
              <w:left w:val="nil"/>
              <w:bottom w:val="single" w:sz="4" w:space="0" w:color="auto"/>
              <w:right w:val="single" w:sz="4" w:space="0" w:color="auto"/>
            </w:tcBorders>
            <w:shd w:val="clear" w:color="000000" w:fill="D9D9D9"/>
            <w:noWrap/>
            <w:vAlign w:val="center"/>
            <w:hideMark/>
          </w:tcPr>
          <w:p w14:paraId="0A212C8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ED-XRF</w:t>
            </w:r>
          </w:p>
        </w:tc>
        <w:tc>
          <w:tcPr>
            <w:tcW w:w="920" w:type="dxa"/>
            <w:tcBorders>
              <w:top w:val="single" w:sz="8" w:space="0" w:color="auto"/>
              <w:left w:val="nil"/>
              <w:bottom w:val="single" w:sz="4" w:space="0" w:color="auto"/>
              <w:right w:val="single" w:sz="4" w:space="0" w:color="auto"/>
            </w:tcBorders>
            <w:shd w:val="clear" w:color="000000" w:fill="D9D9D9"/>
            <w:noWrap/>
            <w:vAlign w:val="center"/>
            <w:hideMark/>
          </w:tcPr>
          <w:p w14:paraId="35B6FB2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proofErr w:type="spellStart"/>
            <w:r w:rsidRPr="00280E4D">
              <w:rPr>
                <w:rFonts w:eastAsia="Times New Roman" w:cs="Times New Roman"/>
                <w:color w:val="000000"/>
                <w:sz w:val="16"/>
                <w:szCs w:val="16"/>
                <w:lang w:val="en-GB" w:eastAsia="en-GB"/>
              </w:rPr>
              <w:t>pXRF</w:t>
            </w:r>
            <w:proofErr w:type="spellEnd"/>
            <w:r w:rsidRPr="00280E4D">
              <w:rPr>
                <w:rFonts w:eastAsia="Times New Roman" w:cs="Times New Roman"/>
                <w:color w:val="000000"/>
                <w:sz w:val="16"/>
                <w:szCs w:val="16"/>
                <w:lang w:val="en-GB" w:eastAsia="en-GB"/>
              </w:rPr>
              <w:t xml:space="preserve"> </w:t>
            </w:r>
          </w:p>
        </w:tc>
        <w:tc>
          <w:tcPr>
            <w:tcW w:w="920" w:type="dxa"/>
            <w:tcBorders>
              <w:top w:val="single" w:sz="8" w:space="0" w:color="auto"/>
              <w:left w:val="nil"/>
              <w:bottom w:val="single" w:sz="4" w:space="0" w:color="auto"/>
              <w:right w:val="single" w:sz="8" w:space="0" w:color="auto"/>
            </w:tcBorders>
            <w:shd w:val="clear" w:color="000000" w:fill="D9D9D9"/>
            <w:noWrap/>
            <w:vAlign w:val="center"/>
            <w:hideMark/>
          </w:tcPr>
          <w:p w14:paraId="47CF0B5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INAA</w:t>
            </w:r>
          </w:p>
        </w:tc>
      </w:tr>
      <w:tr w:rsidR="00280E4D" w:rsidRPr="00280E4D" w14:paraId="70991F93"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6B59CA10"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Drahotin_P89.482</w:t>
            </w:r>
          </w:p>
        </w:tc>
        <w:tc>
          <w:tcPr>
            <w:tcW w:w="1889" w:type="dxa"/>
            <w:tcBorders>
              <w:top w:val="nil"/>
              <w:left w:val="nil"/>
              <w:bottom w:val="single" w:sz="4" w:space="0" w:color="auto"/>
              <w:right w:val="single" w:sz="4" w:space="0" w:color="auto"/>
            </w:tcBorders>
            <w:shd w:val="clear" w:color="auto" w:fill="auto"/>
            <w:noWrap/>
            <w:vAlign w:val="bottom"/>
            <w:hideMark/>
          </w:tcPr>
          <w:p w14:paraId="6EA9B821"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0009AE9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0E7CBB2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2242274"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F4AA37D"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0D6EB087"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6A76F4C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1F4C2AE0"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3D5D4DD4"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Drahotin_P89.483</w:t>
            </w:r>
          </w:p>
        </w:tc>
        <w:tc>
          <w:tcPr>
            <w:tcW w:w="1889" w:type="dxa"/>
            <w:tcBorders>
              <w:top w:val="nil"/>
              <w:left w:val="nil"/>
              <w:bottom w:val="single" w:sz="4" w:space="0" w:color="auto"/>
              <w:right w:val="single" w:sz="4" w:space="0" w:color="auto"/>
            </w:tcBorders>
            <w:shd w:val="clear" w:color="auto" w:fill="auto"/>
            <w:noWrap/>
            <w:vAlign w:val="bottom"/>
            <w:hideMark/>
          </w:tcPr>
          <w:p w14:paraId="3F7F8892"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1AA7189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1768152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0EFF6184"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64CC63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7A5D0DD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5EE8AD4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7174B439"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4815A20D"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Drahotin_P89.484</w:t>
            </w:r>
          </w:p>
        </w:tc>
        <w:tc>
          <w:tcPr>
            <w:tcW w:w="1889" w:type="dxa"/>
            <w:tcBorders>
              <w:top w:val="nil"/>
              <w:left w:val="nil"/>
              <w:bottom w:val="single" w:sz="4" w:space="0" w:color="auto"/>
              <w:right w:val="single" w:sz="4" w:space="0" w:color="auto"/>
            </w:tcBorders>
            <w:shd w:val="clear" w:color="auto" w:fill="auto"/>
            <w:noWrap/>
            <w:vAlign w:val="bottom"/>
            <w:hideMark/>
          </w:tcPr>
          <w:p w14:paraId="00F69BED"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0FC8865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AD6E777"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17A8B1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5380004"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206549DC"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68CF3D6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1B1AE268"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2532D3F0"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Drahotin_P89.485</w:t>
            </w:r>
          </w:p>
        </w:tc>
        <w:tc>
          <w:tcPr>
            <w:tcW w:w="1889" w:type="dxa"/>
            <w:tcBorders>
              <w:top w:val="nil"/>
              <w:left w:val="nil"/>
              <w:bottom w:val="single" w:sz="4" w:space="0" w:color="auto"/>
              <w:right w:val="single" w:sz="4" w:space="0" w:color="auto"/>
            </w:tcBorders>
            <w:shd w:val="clear" w:color="auto" w:fill="auto"/>
            <w:noWrap/>
            <w:vAlign w:val="bottom"/>
            <w:hideMark/>
          </w:tcPr>
          <w:p w14:paraId="29F960F3"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5F091E0C"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7BD28F0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57C68D4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726FFC2"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2E2EB84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5161418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16B93C49"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716C82E0"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Drahotin_P89.486</w:t>
            </w:r>
          </w:p>
        </w:tc>
        <w:tc>
          <w:tcPr>
            <w:tcW w:w="1889" w:type="dxa"/>
            <w:tcBorders>
              <w:top w:val="nil"/>
              <w:left w:val="nil"/>
              <w:bottom w:val="single" w:sz="4" w:space="0" w:color="auto"/>
              <w:right w:val="single" w:sz="4" w:space="0" w:color="auto"/>
            </w:tcBorders>
            <w:shd w:val="clear" w:color="auto" w:fill="auto"/>
            <w:noWrap/>
            <w:vAlign w:val="bottom"/>
            <w:hideMark/>
          </w:tcPr>
          <w:p w14:paraId="6AE5B612"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0986C38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208F18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C26CB2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74D058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0D96B2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0FF074B0"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689E8E89"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5B4A86C6"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Drahotin_P89.487</w:t>
            </w:r>
          </w:p>
        </w:tc>
        <w:tc>
          <w:tcPr>
            <w:tcW w:w="1889" w:type="dxa"/>
            <w:tcBorders>
              <w:top w:val="nil"/>
              <w:left w:val="nil"/>
              <w:bottom w:val="single" w:sz="4" w:space="0" w:color="auto"/>
              <w:right w:val="single" w:sz="4" w:space="0" w:color="auto"/>
            </w:tcBorders>
            <w:shd w:val="clear" w:color="auto" w:fill="auto"/>
            <w:noWrap/>
            <w:vAlign w:val="bottom"/>
            <w:hideMark/>
          </w:tcPr>
          <w:p w14:paraId="552133FE"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75D47DD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73ECE13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189170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3465BB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1D3936F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36FED0D7"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55CE0C7D"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25CF1415"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Drahotin_P89.488</w:t>
            </w:r>
          </w:p>
        </w:tc>
        <w:tc>
          <w:tcPr>
            <w:tcW w:w="1889" w:type="dxa"/>
            <w:tcBorders>
              <w:top w:val="nil"/>
              <w:left w:val="nil"/>
              <w:bottom w:val="single" w:sz="4" w:space="0" w:color="auto"/>
              <w:right w:val="single" w:sz="4" w:space="0" w:color="auto"/>
            </w:tcBorders>
            <w:shd w:val="clear" w:color="auto" w:fill="auto"/>
            <w:noWrap/>
            <w:vAlign w:val="bottom"/>
            <w:hideMark/>
          </w:tcPr>
          <w:p w14:paraId="14423C34"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4C0C50C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F84FEB4"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C2BE94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BA110E0"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2D11315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079E0FB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6AAED929"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5CC200E8"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Drahotin_P89.489</w:t>
            </w:r>
          </w:p>
        </w:tc>
        <w:tc>
          <w:tcPr>
            <w:tcW w:w="1889" w:type="dxa"/>
            <w:tcBorders>
              <w:top w:val="nil"/>
              <w:left w:val="nil"/>
              <w:bottom w:val="single" w:sz="4" w:space="0" w:color="auto"/>
              <w:right w:val="single" w:sz="4" w:space="0" w:color="auto"/>
            </w:tcBorders>
            <w:shd w:val="clear" w:color="auto" w:fill="auto"/>
            <w:noWrap/>
            <w:vAlign w:val="bottom"/>
            <w:hideMark/>
          </w:tcPr>
          <w:p w14:paraId="19A9BAE5"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1F73AB4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337E6C3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140AD812"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F0FECB2"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20F877C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7717E4B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3A55092F"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50CDE438"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Drahotin_P89.490</w:t>
            </w:r>
          </w:p>
        </w:tc>
        <w:tc>
          <w:tcPr>
            <w:tcW w:w="1889" w:type="dxa"/>
            <w:tcBorders>
              <w:top w:val="nil"/>
              <w:left w:val="nil"/>
              <w:bottom w:val="single" w:sz="4" w:space="0" w:color="auto"/>
              <w:right w:val="single" w:sz="4" w:space="0" w:color="auto"/>
            </w:tcBorders>
            <w:shd w:val="clear" w:color="auto" w:fill="auto"/>
            <w:noWrap/>
            <w:vAlign w:val="bottom"/>
            <w:hideMark/>
          </w:tcPr>
          <w:p w14:paraId="05B90885"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2688976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1262AE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047E45D"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110897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276979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7AA22AE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0C80F530"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6B4E1023"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Drahotin_P89.491</w:t>
            </w:r>
          </w:p>
        </w:tc>
        <w:tc>
          <w:tcPr>
            <w:tcW w:w="1889" w:type="dxa"/>
            <w:tcBorders>
              <w:top w:val="nil"/>
              <w:left w:val="nil"/>
              <w:bottom w:val="single" w:sz="4" w:space="0" w:color="auto"/>
              <w:right w:val="single" w:sz="4" w:space="0" w:color="auto"/>
            </w:tcBorders>
            <w:shd w:val="clear" w:color="auto" w:fill="auto"/>
            <w:noWrap/>
            <w:vAlign w:val="bottom"/>
            <w:hideMark/>
          </w:tcPr>
          <w:p w14:paraId="2CCDF42B"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741CED5C"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4CAD72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4AD19BC"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FC112F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D018D7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6F9D9C4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1AB7A1CA"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4A4AD820"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Drahotin_P89.492</w:t>
            </w:r>
          </w:p>
        </w:tc>
        <w:tc>
          <w:tcPr>
            <w:tcW w:w="1889" w:type="dxa"/>
            <w:tcBorders>
              <w:top w:val="nil"/>
              <w:left w:val="nil"/>
              <w:bottom w:val="single" w:sz="4" w:space="0" w:color="auto"/>
              <w:right w:val="single" w:sz="4" w:space="0" w:color="auto"/>
            </w:tcBorders>
            <w:shd w:val="clear" w:color="auto" w:fill="auto"/>
            <w:noWrap/>
            <w:vAlign w:val="bottom"/>
            <w:hideMark/>
          </w:tcPr>
          <w:p w14:paraId="34522B7A"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4F5AB7B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646E3DC"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8A05CD7"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B168FD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3B997FAD"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0AC3F5C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58CBB908"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11C69076"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Drahotin_P89.493</w:t>
            </w:r>
          </w:p>
        </w:tc>
        <w:tc>
          <w:tcPr>
            <w:tcW w:w="1889" w:type="dxa"/>
            <w:tcBorders>
              <w:top w:val="nil"/>
              <w:left w:val="nil"/>
              <w:bottom w:val="single" w:sz="4" w:space="0" w:color="auto"/>
              <w:right w:val="single" w:sz="4" w:space="0" w:color="auto"/>
            </w:tcBorders>
            <w:shd w:val="clear" w:color="auto" w:fill="auto"/>
            <w:noWrap/>
            <w:vAlign w:val="bottom"/>
            <w:hideMark/>
          </w:tcPr>
          <w:p w14:paraId="09A0BCB0"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767359C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248A0E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750B35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DFE495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4F502B9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51A5982C"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0B01AD37"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1A865B13"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Drahotin_P89.494</w:t>
            </w:r>
          </w:p>
        </w:tc>
        <w:tc>
          <w:tcPr>
            <w:tcW w:w="1889" w:type="dxa"/>
            <w:tcBorders>
              <w:top w:val="nil"/>
              <w:left w:val="nil"/>
              <w:bottom w:val="single" w:sz="4" w:space="0" w:color="auto"/>
              <w:right w:val="single" w:sz="4" w:space="0" w:color="auto"/>
            </w:tcBorders>
            <w:shd w:val="clear" w:color="auto" w:fill="auto"/>
            <w:noWrap/>
            <w:vAlign w:val="bottom"/>
            <w:hideMark/>
          </w:tcPr>
          <w:p w14:paraId="2F60A259"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2940FDE2"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3D58A0D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0C202F5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49C56D3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35FB581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066FD31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5016E635"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5A5ECFA0"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Drahotin_P89.495</w:t>
            </w:r>
          </w:p>
        </w:tc>
        <w:tc>
          <w:tcPr>
            <w:tcW w:w="1889" w:type="dxa"/>
            <w:tcBorders>
              <w:top w:val="nil"/>
              <w:left w:val="nil"/>
              <w:bottom w:val="single" w:sz="4" w:space="0" w:color="auto"/>
              <w:right w:val="single" w:sz="4" w:space="0" w:color="auto"/>
            </w:tcBorders>
            <w:shd w:val="clear" w:color="auto" w:fill="auto"/>
            <w:noWrap/>
            <w:vAlign w:val="bottom"/>
            <w:hideMark/>
          </w:tcPr>
          <w:p w14:paraId="02501342"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54FF6E3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63335E0"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55A6CEA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B53D02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5965A4C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2B6EAE0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58A0E787"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vAlign w:val="center"/>
            <w:hideMark/>
          </w:tcPr>
          <w:p w14:paraId="198A6AC7" w14:textId="77777777" w:rsidR="00280E4D" w:rsidRPr="00280E4D" w:rsidRDefault="00280E4D" w:rsidP="00280E4D">
            <w:pPr>
              <w:spacing w:after="0" w:line="240" w:lineRule="auto"/>
              <w:rPr>
                <w:rFonts w:eastAsia="Times New Roman" w:cs="Times New Roman"/>
                <w:sz w:val="18"/>
                <w:szCs w:val="18"/>
                <w:lang w:val="en-GB" w:eastAsia="en-GB"/>
              </w:rPr>
            </w:pPr>
            <w:proofErr w:type="spellStart"/>
            <w:r w:rsidRPr="00280E4D">
              <w:rPr>
                <w:rFonts w:eastAsia="Times New Roman" w:cs="Times New Roman"/>
                <w:sz w:val="18"/>
                <w:szCs w:val="18"/>
                <w:lang w:val="en-GB" w:eastAsia="en-GB"/>
              </w:rPr>
              <w:t>Kout</w:t>
            </w:r>
            <w:proofErr w:type="spellEnd"/>
            <w:r w:rsidRPr="00280E4D">
              <w:rPr>
                <w:rFonts w:eastAsia="Times New Roman" w:cs="Times New Roman"/>
                <w:sz w:val="18"/>
                <w:szCs w:val="18"/>
                <w:lang w:val="en-GB" w:eastAsia="en-GB"/>
              </w:rPr>
              <w:t xml:space="preserve"> </w:t>
            </w:r>
            <w:proofErr w:type="spellStart"/>
            <w:r w:rsidRPr="00280E4D">
              <w:rPr>
                <w:rFonts w:eastAsia="Times New Roman" w:cs="Times New Roman"/>
                <w:sz w:val="18"/>
                <w:szCs w:val="18"/>
                <w:lang w:val="en-GB" w:eastAsia="en-GB"/>
              </w:rPr>
              <w:t>na</w:t>
            </w:r>
            <w:proofErr w:type="spellEnd"/>
            <w:r w:rsidRPr="00280E4D">
              <w:rPr>
                <w:rFonts w:eastAsia="Times New Roman" w:cs="Times New Roman"/>
                <w:sz w:val="18"/>
                <w:szCs w:val="18"/>
                <w:lang w:val="en-GB" w:eastAsia="en-GB"/>
              </w:rPr>
              <w:t xml:space="preserve"> Sumave_P89.886</w:t>
            </w:r>
          </w:p>
        </w:tc>
        <w:tc>
          <w:tcPr>
            <w:tcW w:w="1889" w:type="dxa"/>
            <w:tcBorders>
              <w:top w:val="nil"/>
              <w:left w:val="nil"/>
              <w:bottom w:val="single" w:sz="4" w:space="0" w:color="auto"/>
              <w:right w:val="single" w:sz="4" w:space="0" w:color="auto"/>
            </w:tcBorders>
            <w:shd w:val="clear" w:color="auto" w:fill="auto"/>
            <w:noWrap/>
            <w:vAlign w:val="bottom"/>
            <w:hideMark/>
          </w:tcPr>
          <w:p w14:paraId="6E2F20DE"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210CD6E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049DA900"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F691E3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6EBA280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769EB03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40DC25B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1AD861E2"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2FDF0966"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Havlovice_11</w:t>
            </w:r>
          </w:p>
        </w:tc>
        <w:tc>
          <w:tcPr>
            <w:tcW w:w="1889" w:type="dxa"/>
            <w:tcBorders>
              <w:top w:val="nil"/>
              <w:left w:val="nil"/>
              <w:bottom w:val="single" w:sz="4" w:space="0" w:color="auto"/>
              <w:right w:val="single" w:sz="4" w:space="0" w:color="auto"/>
            </w:tcBorders>
            <w:shd w:val="clear" w:color="auto" w:fill="auto"/>
            <w:noWrap/>
            <w:vAlign w:val="bottom"/>
            <w:hideMark/>
          </w:tcPr>
          <w:p w14:paraId="1A78625A"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1761D770"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F9294C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561FC1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B10025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2036F8E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77F8B22D"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r>
      <w:tr w:rsidR="00280E4D" w:rsidRPr="00280E4D" w14:paraId="5166FDDB" w14:textId="77777777" w:rsidTr="00280E4D">
        <w:trPr>
          <w:trHeight w:val="240"/>
        </w:trPr>
        <w:tc>
          <w:tcPr>
            <w:tcW w:w="1691" w:type="dxa"/>
            <w:tcBorders>
              <w:top w:val="nil"/>
              <w:left w:val="single" w:sz="8" w:space="0" w:color="auto"/>
              <w:bottom w:val="single" w:sz="4" w:space="0" w:color="auto"/>
              <w:right w:val="single" w:sz="4" w:space="0" w:color="auto"/>
            </w:tcBorders>
            <w:shd w:val="clear" w:color="auto" w:fill="auto"/>
            <w:noWrap/>
            <w:vAlign w:val="center"/>
            <w:hideMark/>
          </w:tcPr>
          <w:p w14:paraId="7A2FE68D"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Havlovice_12</w:t>
            </w:r>
          </w:p>
        </w:tc>
        <w:tc>
          <w:tcPr>
            <w:tcW w:w="1889" w:type="dxa"/>
            <w:tcBorders>
              <w:top w:val="nil"/>
              <w:left w:val="nil"/>
              <w:bottom w:val="single" w:sz="4" w:space="0" w:color="auto"/>
              <w:right w:val="single" w:sz="4" w:space="0" w:color="auto"/>
            </w:tcBorders>
            <w:shd w:val="clear" w:color="auto" w:fill="auto"/>
            <w:noWrap/>
            <w:vAlign w:val="bottom"/>
            <w:hideMark/>
          </w:tcPr>
          <w:p w14:paraId="1AACAC0E" w14:textId="77777777" w:rsidR="00280E4D" w:rsidRPr="00280E4D" w:rsidRDefault="00280E4D" w:rsidP="00280E4D">
            <w:pPr>
              <w:spacing w:after="0" w:line="240" w:lineRule="auto"/>
              <w:rPr>
                <w:rFonts w:eastAsia="Times New Roman" w:cs="Times New Roman"/>
                <w:color w:val="000000"/>
                <w:sz w:val="18"/>
                <w:szCs w:val="18"/>
                <w:lang w:val="en-GB" w:eastAsia="en-GB"/>
              </w:rPr>
            </w:pPr>
            <w:r w:rsidRPr="00280E4D">
              <w:rPr>
                <w:rFonts w:eastAsia="Times New Roman" w:cs="Times New Roman"/>
                <w:color w:val="000000"/>
                <w:sz w:val="18"/>
                <w:szCs w:val="18"/>
                <w:lang w:val="en-GB" w:eastAsia="en-GB"/>
              </w:rPr>
              <w:t>copper ingot</w:t>
            </w:r>
          </w:p>
        </w:tc>
        <w:tc>
          <w:tcPr>
            <w:tcW w:w="920" w:type="dxa"/>
            <w:tcBorders>
              <w:top w:val="nil"/>
              <w:left w:val="nil"/>
              <w:bottom w:val="single" w:sz="4" w:space="0" w:color="auto"/>
              <w:right w:val="single" w:sz="4" w:space="0" w:color="auto"/>
            </w:tcBorders>
            <w:shd w:val="clear" w:color="auto" w:fill="auto"/>
            <w:noWrap/>
            <w:vAlign w:val="center"/>
            <w:hideMark/>
          </w:tcPr>
          <w:p w14:paraId="6D51603D"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5E5E51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3F938B8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1A5CE63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78F928A4"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8" w:space="0" w:color="auto"/>
            </w:tcBorders>
            <w:shd w:val="clear" w:color="auto" w:fill="auto"/>
            <w:noWrap/>
            <w:vAlign w:val="center"/>
            <w:hideMark/>
          </w:tcPr>
          <w:p w14:paraId="0999192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6E4DA979" w14:textId="77777777" w:rsidTr="00280E4D">
        <w:trPr>
          <w:trHeight w:val="204"/>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77258ABB"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MUT_01</w:t>
            </w:r>
          </w:p>
        </w:tc>
        <w:tc>
          <w:tcPr>
            <w:tcW w:w="1889" w:type="dxa"/>
            <w:tcBorders>
              <w:top w:val="nil"/>
              <w:left w:val="nil"/>
              <w:bottom w:val="single" w:sz="4" w:space="0" w:color="auto"/>
              <w:right w:val="single" w:sz="4" w:space="0" w:color="auto"/>
            </w:tcBorders>
            <w:shd w:val="clear" w:color="auto" w:fill="auto"/>
            <w:noWrap/>
            <w:vAlign w:val="bottom"/>
            <w:hideMark/>
          </w:tcPr>
          <w:p w14:paraId="76480F68"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secondary copper ore</w:t>
            </w:r>
          </w:p>
        </w:tc>
        <w:tc>
          <w:tcPr>
            <w:tcW w:w="920" w:type="dxa"/>
            <w:tcBorders>
              <w:top w:val="nil"/>
              <w:left w:val="nil"/>
              <w:bottom w:val="single" w:sz="4" w:space="0" w:color="auto"/>
              <w:right w:val="single" w:sz="4" w:space="0" w:color="auto"/>
            </w:tcBorders>
            <w:shd w:val="clear" w:color="auto" w:fill="auto"/>
            <w:noWrap/>
            <w:vAlign w:val="center"/>
            <w:hideMark/>
          </w:tcPr>
          <w:p w14:paraId="45840324"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7479476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BB4432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xml:space="preserve">x </w:t>
            </w:r>
          </w:p>
        </w:tc>
        <w:tc>
          <w:tcPr>
            <w:tcW w:w="920" w:type="dxa"/>
            <w:tcBorders>
              <w:top w:val="nil"/>
              <w:left w:val="nil"/>
              <w:bottom w:val="single" w:sz="4" w:space="0" w:color="auto"/>
              <w:right w:val="single" w:sz="4" w:space="0" w:color="auto"/>
            </w:tcBorders>
            <w:shd w:val="clear" w:color="auto" w:fill="auto"/>
            <w:noWrap/>
            <w:vAlign w:val="center"/>
            <w:hideMark/>
          </w:tcPr>
          <w:p w14:paraId="7D80429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C87B9E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8" w:space="0" w:color="auto"/>
            </w:tcBorders>
            <w:shd w:val="clear" w:color="auto" w:fill="auto"/>
            <w:noWrap/>
            <w:vAlign w:val="center"/>
            <w:hideMark/>
          </w:tcPr>
          <w:p w14:paraId="3DF4AAEA"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072C4E2B" w14:textId="77777777" w:rsidTr="00280E4D">
        <w:trPr>
          <w:trHeight w:val="204"/>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346B7853"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MUT_02</w:t>
            </w:r>
          </w:p>
        </w:tc>
        <w:tc>
          <w:tcPr>
            <w:tcW w:w="1889" w:type="dxa"/>
            <w:tcBorders>
              <w:top w:val="nil"/>
              <w:left w:val="nil"/>
              <w:bottom w:val="single" w:sz="4" w:space="0" w:color="auto"/>
              <w:right w:val="single" w:sz="4" w:space="0" w:color="auto"/>
            </w:tcBorders>
            <w:shd w:val="clear" w:color="auto" w:fill="auto"/>
            <w:noWrap/>
            <w:vAlign w:val="bottom"/>
            <w:hideMark/>
          </w:tcPr>
          <w:p w14:paraId="19F3DB40"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primary copper ore</w:t>
            </w:r>
          </w:p>
        </w:tc>
        <w:tc>
          <w:tcPr>
            <w:tcW w:w="920" w:type="dxa"/>
            <w:tcBorders>
              <w:top w:val="nil"/>
              <w:left w:val="nil"/>
              <w:bottom w:val="single" w:sz="4" w:space="0" w:color="auto"/>
              <w:right w:val="single" w:sz="4" w:space="0" w:color="auto"/>
            </w:tcBorders>
            <w:shd w:val="clear" w:color="auto" w:fill="auto"/>
            <w:noWrap/>
            <w:vAlign w:val="center"/>
            <w:hideMark/>
          </w:tcPr>
          <w:p w14:paraId="3B2EEA9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11EA492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404E34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2A9149DB"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2CB2F9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8" w:space="0" w:color="auto"/>
            </w:tcBorders>
            <w:shd w:val="clear" w:color="auto" w:fill="auto"/>
            <w:noWrap/>
            <w:vAlign w:val="center"/>
            <w:hideMark/>
          </w:tcPr>
          <w:p w14:paraId="67ECEC2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43127457" w14:textId="77777777" w:rsidTr="00280E4D">
        <w:trPr>
          <w:trHeight w:val="204"/>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49BF6B5D"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MUT_03</w:t>
            </w:r>
          </w:p>
        </w:tc>
        <w:tc>
          <w:tcPr>
            <w:tcW w:w="1889" w:type="dxa"/>
            <w:tcBorders>
              <w:top w:val="nil"/>
              <w:left w:val="nil"/>
              <w:bottom w:val="single" w:sz="4" w:space="0" w:color="auto"/>
              <w:right w:val="single" w:sz="4" w:space="0" w:color="auto"/>
            </w:tcBorders>
            <w:shd w:val="clear" w:color="auto" w:fill="auto"/>
            <w:noWrap/>
            <w:vAlign w:val="bottom"/>
            <w:hideMark/>
          </w:tcPr>
          <w:p w14:paraId="4F869AE9"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primary copper ore</w:t>
            </w:r>
          </w:p>
        </w:tc>
        <w:tc>
          <w:tcPr>
            <w:tcW w:w="920" w:type="dxa"/>
            <w:tcBorders>
              <w:top w:val="nil"/>
              <w:left w:val="nil"/>
              <w:bottom w:val="single" w:sz="4" w:space="0" w:color="auto"/>
              <w:right w:val="single" w:sz="4" w:space="0" w:color="auto"/>
            </w:tcBorders>
            <w:shd w:val="clear" w:color="auto" w:fill="auto"/>
            <w:noWrap/>
            <w:vAlign w:val="center"/>
            <w:hideMark/>
          </w:tcPr>
          <w:p w14:paraId="79F1CB7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4C176082"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37DE31C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228248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390E910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8" w:space="0" w:color="auto"/>
            </w:tcBorders>
            <w:shd w:val="clear" w:color="auto" w:fill="auto"/>
            <w:noWrap/>
            <w:vAlign w:val="center"/>
            <w:hideMark/>
          </w:tcPr>
          <w:p w14:paraId="7EDEC402"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358D4ED1" w14:textId="77777777" w:rsidTr="00280E4D">
        <w:trPr>
          <w:trHeight w:val="204"/>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360611EF"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MUT_04</w:t>
            </w:r>
          </w:p>
        </w:tc>
        <w:tc>
          <w:tcPr>
            <w:tcW w:w="1889" w:type="dxa"/>
            <w:tcBorders>
              <w:top w:val="nil"/>
              <w:left w:val="nil"/>
              <w:bottom w:val="single" w:sz="4" w:space="0" w:color="auto"/>
              <w:right w:val="single" w:sz="4" w:space="0" w:color="auto"/>
            </w:tcBorders>
            <w:shd w:val="clear" w:color="auto" w:fill="auto"/>
            <w:noWrap/>
            <w:vAlign w:val="bottom"/>
            <w:hideMark/>
          </w:tcPr>
          <w:p w14:paraId="21EADFFC"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secondary copper ore</w:t>
            </w:r>
          </w:p>
        </w:tc>
        <w:tc>
          <w:tcPr>
            <w:tcW w:w="920" w:type="dxa"/>
            <w:tcBorders>
              <w:top w:val="nil"/>
              <w:left w:val="nil"/>
              <w:bottom w:val="single" w:sz="4" w:space="0" w:color="auto"/>
              <w:right w:val="single" w:sz="4" w:space="0" w:color="auto"/>
            </w:tcBorders>
            <w:shd w:val="clear" w:color="auto" w:fill="auto"/>
            <w:noWrap/>
            <w:vAlign w:val="center"/>
            <w:hideMark/>
          </w:tcPr>
          <w:p w14:paraId="4A9F781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2CE4D3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1F75086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67D12871"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E097800"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8" w:space="0" w:color="auto"/>
            </w:tcBorders>
            <w:shd w:val="clear" w:color="auto" w:fill="auto"/>
            <w:noWrap/>
            <w:vAlign w:val="center"/>
            <w:hideMark/>
          </w:tcPr>
          <w:p w14:paraId="2C4D88F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135EE9D0" w14:textId="77777777" w:rsidTr="00280E4D">
        <w:trPr>
          <w:trHeight w:val="204"/>
        </w:trPr>
        <w:tc>
          <w:tcPr>
            <w:tcW w:w="1691" w:type="dxa"/>
            <w:tcBorders>
              <w:top w:val="nil"/>
              <w:left w:val="single" w:sz="8" w:space="0" w:color="auto"/>
              <w:bottom w:val="single" w:sz="4" w:space="0" w:color="auto"/>
              <w:right w:val="single" w:sz="4" w:space="0" w:color="auto"/>
            </w:tcBorders>
            <w:shd w:val="clear" w:color="auto" w:fill="auto"/>
            <w:noWrap/>
            <w:vAlign w:val="bottom"/>
            <w:hideMark/>
          </w:tcPr>
          <w:p w14:paraId="091579E7"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MUT_05</w:t>
            </w:r>
          </w:p>
        </w:tc>
        <w:tc>
          <w:tcPr>
            <w:tcW w:w="1889" w:type="dxa"/>
            <w:tcBorders>
              <w:top w:val="nil"/>
              <w:left w:val="nil"/>
              <w:bottom w:val="single" w:sz="4" w:space="0" w:color="auto"/>
              <w:right w:val="single" w:sz="4" w:space="0" w:color="auto"/>
            </w:tcBorders>
            <w:shd w:val="clear" w:color="auto" w:fill="auto"/>
            <w:noWrap/>
            <w:vAlign w:val="bottom"/>
            <w:hideMark/>
          </w:tcPr>
          <w:p w14:paraId="17F23B75"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primary copper ore</w:t>
            </w:r>
          </w:p>
        </w:tc>
        <w:tc>
          <w:tcPr>
            <w:tcW w:w="920" w:type="dxa"/>
            <w:tcBorders>
              <w:top w:val="nil"/>
              <w:left w:val="nil"/>
              <w:bottom w:val="single" w:sz="4" w:space="0" w:color="auto"/>
              <w:right w:val="single" w:sz="4" w:space="0" w:color="auto"/>
            </w:tcBorders>
            <w:shd w:val="clear" w:color="auto" w:fill="auto"/>
            <w:noWrap/>
            <w:vAlign w:val="center"/>
            <w:hideMark/>
          </w:tcPr>
          <w:p w14:paraId="42DFB53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1B38FF24"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4" w:space="0" w:color="auto"/>
            </w:tcBorders>
            <w:shd w:val="clear" w:color="auto" w:fill="auto"/>
            <w:noWrap/>
            <w:vAlign w:val="center"/>
            <w:hideMark/>
          </w:tcPr>
          <w:p w14:paraId="74A0C5F7"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56D79648"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4" w:space="0" w:color="auto"/>
              <w:right w:val="single" w:sz="4" w:space="0" w:color="auto"/>
            </w:tcBorders>
            <w:shd w:val="clear" w:color="auto" w:fill="auto"/>
            <w:noWrap/>
            <w:vAlign w:val="center"/>
            <w:hideMark/>
          </w:tcPr>
          <w:p w14:paraId="27AD243F"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4" w:space="0" w:color="auto"/>
              <w:right w:val="single" w:sz="8" w:space="0" w:color="auto"/>
            </w:tcBorders>
            <w:shd w:val="clear" w:color="auto" w:fill="auto"/>
            <w:noWrap/>
            <w:vAlign w:val="center"/>
            <w:hideMark/>
          </w:tcPr>
          <w:p w14:paraId="3854416E"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r w:rsidR="00280E4D" w:rsidRPr="00280E4D" w14:paraId="01643FFC" w14:textId="77777777" w:rsidTr="00280E4D">
        <w:trPr>
          <w:trHeight w:val="216"/>
        </w:trPr>
        <w:tc>
          <w:tcPr>
            <w:tcW w:w="1691" w:type="dxa"/>
            <w:tcBorders>
              <w:top w:val="nil"/>
              <w:left w:val="single" w:sz="8" w:space="0" w:color="auto"/>
              <w:bottom w:val="single" w:sz="8" w:space="0" w:color="auto"/>
              <w:right w:val="single" w:sz="4" w:space="0" w:color="auto"/>
            </w:tcBorders>
            <w:shd w:val="clear" w:color="auto" w:fill="auto"/>
            <w:noWrap/>
            <w:vAlign w:val="bottom"/>
            <w:hideMark/>
          </w:tcPr>
          <w:p w14:paraId="3B3C83AA"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MUT_12</w:t>
            </w:r>
          </w:p>
        </w:tc>
        <w:tc>
          <w:tcPr>
            <w:tcW w:w="1889" w:type="dxa"/>
            <w:tcBorders>
              <w:top w:val="nil"/>
              <w:left w:val="nil"/>
              <w:bottom w:val="single" w:sz="8" w:space="0" w:color="auto"/>
              <w:right w:val="single" w:sz="4" w:space="0" w:color="auto"/>
            </w:tcBorders>
            <w:shd w:val="clear" w:color="auto" w:fill="auto"/>
            <w:noWrap/>
            <w:vAlign w:val="bottom"/>
            <w:hideMark/>
          </w:tcPr>
          <w:p w14:paraId="1B93E5F4" w14:textId="77777777" w:rsidR="00280E4D" w:rsidRPr="00280E4D" w:rsidRDefault="00280E4D" w:rsidP="00280E4D">
            <w:pPr>
              <w:spacing w:after="0" w:line="240" w:lineRule="auto"/>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secondary copper ore</w:t>
            </w:r>
          </w:p>
        </w:tc>
        <w:tc>
          <w:tcPr>
            <w:tcW w:w="920" w:type="dxa"/>
            <w:tcBorders>
              <w:top w:val="nil"/>
              <w:left w:val="nil"/>
              <w:bottom w:val="single" w:sz="8" w:space="0" w:color="auto"/>
              <w:right w:val="single" w:sz="4" w:space="0" w:color="auto"/>
            </w:tcBorders>
            <w:shd w:val="clear" w:color="auto" w:fill="auto"/>
            <w:noWrap/>
            <w:vAlign w:val="center"/>
            <w:hideMark/>
          </w:tcPr>
          <w:p w14:paraId="13E98946"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8" w:space="0" w:color="auto"/>
              <w:right w:val="single" w:sz="4" w:space="0" w:color="auto"/>
            </w:tcBorders>
            <w:shd w:val="clear" w:color="auto" w:fill="auto"/>
            <w:noWrap/>
            <w:vAlign w:val="center"/>
            <w:hideMark/>
          </w:tcPr>
          <w:p w14:paraId="01440EC9"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8" w:space="0" w:color="auto"/>
              <w:right w:val="single" w:sz="4" w:space="0" w:color="auto"/>
            </w:tcBorders>
            <w:shd w:val="clear" w:color="auto" w:fill="auto"/>
            <w:noWrap/>
            <w:vAlign w:val="center"/>
            <w:hideMark/>
          </w:tcPr>
          <w:p w14:paraId="2AF7EC05"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8" w:space="0" w:color="auto"/>
              <w:right w:val="single" w:sz="4" w:space="0" w:color="auto"/>
            </w:tcBorders>
            <w:shd w:val="clear" w:color="auto" w:fill="auto"/>
            <w:noWrap/>
            <w:vAlign w:val="center"/>
            <w:hideMark/>
          </w:tcPr>
          <w:p w14:paraId="04263BBC"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 </w:t>
            </w:r>
          </w:p>
        </w:tc>
        <w:tc>
          <w:tcPr>
            <w:tcW w:w="920" w:type="dxa"/>
            <w:tcBorders>
              <w:top w:val="nil"/>
              <w:left w:val="nil"/>
              <w:bottom w:val="single" w:sz="8" w:space="0" w:color="auto"/>
              <w:right w:val="single" w:sz="4" w:space="0" w:color="auto"/>
            </w:tcBorders>
            <w:shd w:val="clear" w:color="auto" w:fill="auto"/>
            <w:noWrap/>
            <w:vAlign w:val="center"/>
            <w:hideMark/>
          </w:tcPr>
          <w:p w14:paraId="49CE57F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c>
          <w:tcPr>
            <w:tcW w:w="920" w:type="dxa"/>
            <w:tcBorders>
              <w:top w:val="nil"/>
              <w:left w:val="nil"/>
              <w:bottom w:val="single" w:sz="8" w:space="0" w:color="auto"/>
              <w:right w:val="single" w:sz="8" w:space="0" w:color="auto"/>
            </w:tcBorders>
            <w:shd w:val="clear" w:color="auto" w:fill="auto"/>
            <w:noWrap/>
            <w:vAlign w:val="center"/>
            <w:hideMark/>
          </w:tcPr>
          <w:p w14:paraId="0C10F3C3" w14:textId="77777777" w:rsidR="00280E4D" w:rsidRPr="00280E4D" w:rsidRDefault="00280E4D" w:rsidP="00280E4D">
            <w:pPr>
              <w:spacing w:after="0" w:line="240" w:lineRule="auto"/>
              <w:jc w:val="center"/>
              <w:rPr>
                <w:rFonts w:eastAsia="Times New Roman" w:cs="Times New Roman"/>
                <w:color w:val="000000"/>
                <w:sz w:val="16"/>
                <w:szCs w:val="16"/>
                <w:lang w:val="en-GB" w:eastAsia="en-GB"/>
              </w:rPr>
            </w:pPr>
            <w:r w:rsidRPr="00280E4D">
              <w:rPr>
                <w:rFonts w:eastAsia="Times New Roman" w:cs="Times New Roman"/>
                <w:color w:val="000000"/>
                <w:sz w:val="16"/>
                <w:szCs w:val="16"/>
                <w:lang w:val="en-GB" w:eastAsia="en-GB"/>
              </w:rPr>
              <w:t>x</w:t>
            </w:r>
          </w:p>
        </w:tc>
      </w:tr>
    </w:tbl>
    <w:p w14:paraId="06039DD8" w14:textId="77777777" w:rsidR="00280E4D" w:rsidRDefault="00280E4D" w:rsidP="001E2C02">
      <w:pPr>
        <w:rPr>
          <w:lang w:val="en-GB"/>
        </w:rPr>
      </w:pPr>
    </w:p>
    <w:p w14:paraId="73474B34" w14:textId="28F46C71" w:rsidR="002C6D5E" w:rsidRPr="00280E4D" w:rsidRDefault="002C6D5E" w:rsidP="001E2C02">
      <w:pPr>
        <w:rPr>
          <w:lang w:val="en-GB"/>
        </w:rPr>
      </w:pPr>
      <w:r w:rsidRPr="00280E4D">
        <w:rPr>
          <w:b/>
          <w:lang w:val="en-GB"/>
        </w:rPr>
        <w:t>Tab. S</w:t>
      </w:r>
      <w:r>
        <w:rPr>
          <w:b/>
          <w:lang w:val="en-GB"/>
        </w:rPr>
        <w:t>2</w:t>
      </w:r>
      <w:r w:rsidRPr="00280E4D">
        <w:rPr>
          <w:lang w:val="en-GB"/>
        </w:rPr>
        <w:t xml:space="preserve"> </w:t>
      </w:r>
      <w:proofErr w:type="spellStart"/>
      <w:r w:rsidRPr="003D0CB2">
        <w:rPr>
          <w:rFonts w:cs="Times New Roman"/>
        </w:rPr>
        <w:t>Results</w:t>
      </w:r>
      <w:proofErr w:type="spellEnd"/>
      <w:r w:rsidRPr="003D0CB2">
        <w:rPr>
          <w:rFonts w:cs="Times New Roman"/>
        </w:rPr>
        <w:t xml:space="preserve"> </w:t>
      </w:r>
      <w:proofErr w:type="spellStart"/>
      <w:r w:rsidRPr="003D0CB2">
        <w:rPr>
          <w:rFonts w:cs="Times New Roman"/>
        </w:rPr>
        <w:t>of</w:t>
      </w:r>
      <w:proofErr w:type="spellEnd"/>
      <w:r w:rsidRPr="003D0CB2">
        <w:rPr>
          <w:rFonts w:cs="Times New Roman"/>
        </w:rPr>
        <w:t xml:space="preserve"> XRD </w:t>
      </w:r>
      <w:proofErr w:type="spellStart"/>
      <w:r w:rsidRPr="003D0CB2">
        <w:rPr>
          <w:rFonts w:cs="Times New Roman"/>
        </w:rPr>
        <w:t>analysis</w:t>
      </w:r>
      <w:proofErr w:type="spellEnd"/>
      <w:r w:rsidRPr="003D0CB2">
        <w:rPr>
          <w:rFonts w:cs="Times New Roman"/>
        </w:rPr>
        <w:t xml:space="preserve"> </w:t>
      </w:r>
      <w:proofErr w:type="spellStart"/>
      <w:r w:rsidRPr="003D0CB2">
        <w:rPr>
          <w:rFonts w:cs="Times New Roman"/>
        </w:rPr>
        <w:t>of</w:t>
      </w:r>
      <w:proofErr w:type="spellEnd"/>
      <w:r w:rsidRPr="003D0CB2">
        <w:rPr>
          <w:rFonts w:cs="Times New Roman"/>
        </w:rPr>
        <w:t xml:space="preserve"> </w:t>
      </w:r>
      <w:proofErr w:type="spellStart"/>
      <w:r w:rsidRPr="003D0CB2">
        <w:rPr>
          <w:rFonts w:cs="Times New Roman"/>
        </w:rPr>
        <w:t>the</w:t>
      </w:r>
      <w:proofErr w:type="spellEnd"/>
      <w:r w:rsidRPr="003D0CB2">
        <w:rPr>
          <w:rFonts w:cs="Times New Roman"/>
        </w:rPr>
        <w:t xml:space="preserve"> </w:t>
      </w:r>
      <w:proofErr w:type="spellStart"/>
      <w:r w:rsidRPr="003D0CB2">
        <w:rPr>
          <w:rFonts w:cs="Times New Roman"/>
        </w:rPr>
        <w:t>samples</w:t>
      </w:r>
      <w:proofErr w:type="spellEnd"/>
      <w:r w:rsidRPr="003D0CB2">
        <w:rPr>
          <w:rFonts w:cs="Times New Roman"/>
        </w:rPr>
        <w:t xml:space="preserve"> </w:t>
      </w:r>
      <w:proofErr w:type="spellStart"/>
      <w:r w:rsidRPr="003D0CB2">
        <w:rPr>
          <w:rFonts w:cs="Times New Roman"/>
        </w:rPr>
        <w:t>mineralogical</w:t>
      </w:r>
      <w:proofErr w:type="spellEnd"/>
      <w:r w:rsidRPr="003D0CB2">
        <w:rPr>
          <w:rFonts w:cs="Times New Roman"/>
        </w:rPr>
        <w:t xml:space="preserve"> </w:t>
      </w:r>
      <w:proofErr w:type="spellStart"/>
      <w:r w:rsidRPr="003D0CB2">
        <w:rPr>
          <w:rFonts w:cs="Times New Roman"/>
        </w:rPr>
        <w:t>composition</w:t>
      </w:r>
      <w:proofErr w:type="spellEnd"/>
      <w:r w:rsidRPr="00AE09FA">
        <w:rPr>
          <w:rFonts w:cs="Times New Roman"/>
        </w:rPr>
        <w:t xml:space="preserve"> </w:t>
      </w:r>
      <w:proofErr w:type="spellStart"/>
      <w:r w:rsidRPr="003D0CB2">
        <w:rPr>
          <w:rFonts w:cs="Times New Roman"/>
        </w:rPr>
        <w:t>given</w:t>
      </w:r>
      <w:proofErr w:type="spellEnd"/>
      <w:r w:rsidRPr="003D0CB2">
        <w:rPr>
          <w:rFonts w:cs="Times New Roman"/>
        </w:rPr>
        <w:t xml:space="preserve"> in </w:t>
      </w:r>
      <w:proofErr w:type="spellStart"/>
      <w:r w:rsidRPr="003D0CB2">
        <w:rPr>
          <w:rFonts w:cs="Times New Roman"/>
        </w:rPr>
        <w:t>weight</w:t>
      </w:r>
      <w:proofErr w:type="spellEnd"/>
      <w:r w:rsidRPr="003D0CB2">
        <w:rPr>
          <w:rFonts w:cs="Times New Roman"/>
        </w:rPr>
        <w:t xml:space="preserve"> %. </w:t>
      </w:r>
    </w:p>
    <w:tbl>
      <w:tblPr>
        <w:tblW w:w="9106" w:type="dxa"/>
        <w:tblInd w:w="-10" w:type="dxa"/>
        <w:tblLook w:val="04A0" w:firstRow="1" w:lastRow="0" w:firstColumn="1" w:lastColumn="0" w:noHBand="0" w:noVBand="1"/>
      </w:tblPr>
      <w:tblGrid>
        <w:gridCol w:w="2038"/>
        <w:gridCol w:w="1385"/>
        <w:gridCol w:w="1411"/>
        <w:gridCol w:w="1406"/>
        <w:gridCol w:w="1482"/>
        <w:gridCol w:w="1384"/>
      </w:tblGrid>
      <w:tr w:rsidR="002C6D5E" w:rsidRPr="002C6D5E" w14:paraId="377E0FA2" w14:textId="77777777" w:rsidTr="002C6D5E">
        <w:trPr>
          <w:trHeight w:val="239"/>
        </w:trPr>
        <w:tc>
          <w:tcPr>
            <w:tcW w:w="2038" w:type="dxa"/>
            <w:vMerge w:val="restart"/>
            <w:tcBorders>
              <w:top w:val="single" w:sz="8" w:space="0" w:color="auto"/>
              <w:left w:val="single" w:sz="8" w:space="0" w:color="auto"/>
              <w:bottom w:val="single" w:sz="4" w:space="0" w:color="000000"/>
              <w:right w:val="single" w:sz="4" w:space="0" w:color="auto"/>
            </w:tcBorders>
            <w:shd w:val="clear" w:color="000000" w:fill="D9D9D9"/>
            <w:vAlign w:val="bottom"/>
            <w:hideMark/>
          </w:tcPr>
          <w:p w14:paraId="0BF2767C" w14:textId="77777777" w:rsidR="002C6D5E" w:rsidRPr="002C6D5E" w:rsidRDefault="002C6D5E" w:rsidP="002C6D5E">
            <w:pPr>
              <w:spacing w:after="0" w:line="240" w:lineRule="auto"/>
              <w:jc w:val="center"/>
              <w:rPr>
                <w:rFonts w:eastAsia="Times New Roman" w:cs="Times New Roman"/>
                <w:b/>
                <w:bCs/>
                <w:color w:val="000000"/>
                <w:sz w:val="18"/>
                <w:szCs w:val="18"/>
                <w:lang w:val="en-GB" w:eastAsia="en-GB"/>
              </w:rPr>
            </w:pPr>
            <w:bookmarkStart w:id="2" w:name="RANGE!A1:F6"/>
            <w:r w:rsidRPr="002C6D5E">
              <w:rPr>
                <w:rFonts w:eastAsia="Times New Roman" w:cs="Times New Roman"/>
                <w:b/>
                <w:bCs/>
                <w:color w:val="000000"/>
                <w:sz w:val="18"/>
                <w:szCs w:val="18"/>
                <w:lang w:val="en-GB" w:eastAsia="en-GB"/>
              </w:rPr>
              <w:t>Sample</w:t>
            </w:r>
            <w:bookmarkEnd w:id="2"/>
          </w:p>
        </w:tc>
        <w:tc>
          <w:tcPr>
            <w:tcW w:w="1385" w:type="dxa"/>
            <w:tcBorders>
              <w:top w:val="single" w:sz="8" w:space="0" w:color="auto"/>
              <w:left w:val="nil"/>
              <w:bottom w:val="single" w:sz="4" w:space="0" w:color="auto"/>
              <w:right w:val="single" w:sz="4" w:space="0" w:color="auto"/>
            </w:tcBorders>
            <w:shd w:val="clear" w:color="000000" w:fill="D9D9D9"/>
            <w:vAlign w:val="bottom"/>
            <w:hideMark/>
          </w:tcPr>
          <w:p w14:paraId="6FB83668" w14:textId="77777777" w:rsidR="002C6D5E" w:rsidRPr="002C6D5E" w:rsidRDefault="002C6D5E" w:rsidP="002C6D5E">
            <w:pPr>
              <w:spacing w:after="0" w:line="240" w:lineRule="auto"/>
              <w:jc w:val="center"/>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Quartz</w:t>
            </w:r>
          </w:p>
        </w:tc>
        <w:tc>
          <w:tcPr>
            <w:tcW w:w="1411" w:type="dxa"/>
            <w:tcBorders>
              <w:top w:val="single" w:sz="8" w:space="0" w:color="auto"/>
              <w:left w:val="nil"/>
              <w:bottom w:val="single" w:sz="4" w:space="0" w:color="auto"/>
              <w:right w:val="single" w:sz="4" w:space="0" w:color="auto"/>
            </w:tcBorders>
            <w:shd w:val="clear" w:color="000000" w:fill="D9D9D9"/>
            <w:vAlign w:val="bottom"/>
            <w:hideMark/>
          </w:tcPr>
          <w:p w14:paraId="090C18F0" w14:textId="77777777" w:rsidR="002C6D5E" w:rsidRPr="002C6D5E" w:rsidRDefault="002C6D5E" w:rsidP="002C6D5E">
            <w:pPr>
              <w:spacing w:after="0" w:line="240" w:lineRule="auto"/>
              <w:jc w:val="center"/>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Malachite</w:t>
            </w:r>
          </w:p>
        </w:tc>
        <w:tc>
          <w:tcPr>
            <w:tcW w:w="1406" w:type="dxa"/>
            <w:tcBorders>
              <w:top w:val="single" w:sz="8" w:space="0" w:color="auto"/>
              <w:left w:val="nil"/>
              <w:bottom w:val="single" w:sz="4" w:space="0" w:color="auto"/>
              <w:right w:val="single" w:sz="4" w:space="0" w:color="auto"/>
            </w:tcBorders>
            <w:shd w:val="clear" w:color="000000" w:fill="D9D9D9"/>
            <w:vAlign w:val="bottom"/>
            <w:hideMark/>
          </w:tcPr>
          <w:p w14:paraId="30256B0E" w14:textId="77777777" w:rsidR="002C6D5E" w:rsidRPr="002C6D5E" w:rsidRDefault="002C6D5E" w:rsidP="002C6D5E">
            <w:pPr>
              <w:spacing w:after="0" w:line="240" w:lineRule="auto"/>
              <w:jc w:val="center"/>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Chalcopyrite</w:t>
            </w:r>
          </w:p>
        </w:tc>
        <w:tc>
          <w:tcPr>
            <w:tcW w:w="1482" w:type="dxa"/>
            <w:tcBorders>
              <w:top w:val="single" w:sz="8" w:space="0" w:color="auto"/>
              <w:left w:val="nil"/>
              <w:bottom w:val="single" w:sz="4" w:space="0" w:color="auto"/>
              <w:right w:val="single" w:sz="4" w:space="0" w:color="auto"/>
            </w:tcBorders>
            <w:shd w:val="clear" w:color="000000" w:fill="D9D9D9"/>
            <w:vAlign w:val="bottom"/>
            <w:hideMark/>
          </w:tcPr>
          <w:p w14:paraId="2688D6F2" w14:textId="77777777" w:rsidR="002C6D5E" w:rsidRPr="002C6D5E" w:rsidRDefault="002C6D5E" w:rsidP="002C6D5E">
            <w:pPr>
              <w:spacing w:after="0" w:line="240" w:lineRule="auto"/>
              <w:jc w:val="center"/>
              <w:rPr>
                <w:rFonts w:eastAsia="Times New Roman" w:cs="Times New Roman"/>
                <w:b/>
                <w:bCs/>
                <w:color w:val="000000"/>
                <w:sz w:val="18"/>
                <w:szCs w:val="18"/>
                <w:lang w:val="en-GB" w:eastAsia="en-GB"/>
              </w:rPr>
            </w:pPr>
            <w:proofErr w:type="spellStart"/>
            <w:r w:rsidRPr="002C6D5E">
              <w:rPr>
                <w:rFonts w:eastAsia="Times New Roman" w:cs="Times New Roman"/>
                <w:b/>
                <w:bCs/>
                <w:color w:val="000000"/>
                <w:sz w:val="18"/>
                <w:szCs w:val="18"/>
                <w:lang w:val="en-GB" w:eastAsia="en-GB"/>
              </w:rPr>
              <w:t>Brochantite</w:t>
            </w:r>
            <w:proofErr w:type="spellEnd"/>
          </w:p>
        </w:tc>
        <w:tc>
          <w:tcPr>
            <w:tcW w:w="1384" w:type="dxa"/>
            <w:tcBorders>
              <w:top w:val="single" w:sz="8" w:space="0" w:color="auto"/>
              <w:left w:val="nil"/>
              <w:bottom w:val="single" w:sz="4" w:space="0" w:color="auto"/>
              <w:right w:val="single" w:sz="8" w:space="0" w:color="auto"/>
            </w:tcBorders>
            <w:shd w:val="clear" w:color="000000" w:fill="D9D9D9"/>
            <w:vAlign w:val="bottom"/>
            <w:hideMark/>
          </w:tcPr>
          <w:p w14:paraId="6AAADA1A" w14:textId="77777777" w:rsidR="002C6D5E" w:rsidRPr="002C6D5E" w:rsidRDefault="002C6D5E" w:rsidP="002C6D5E">
            <w:pPr>
              <w:spacing w:after="0" w:line="240" w:lineRule="auto"/>
              <w:jc w:val="center"/>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Calcite</w:t>
            </w:r>
          </w:p>
        </w:tc>
      </w:tr>
      <w:tr w:rsidR="002C6D5E" w:rsidRPr="002C6D5E" w14:paraId="6748BFFD" w14:textId="77777777" w:rsidTr="002C6D5E">
        <w:trPr>
          <w:trHeight w:val="287"/>
        </w:trPr>
        <w:tc>
          <w:tcPr>
            <w:tcW w:w="2038" w:type="dxa"/>
            <w:vMerge/>
            <w:tcBorders>
              <w:top w:val="single" w:sz="8" w:space="0" w:color="auto"/>
              <w:left w:val="single" w:sz="8" w:space="0" w:color="auto"/>
              <w:bottom w:val="single" w:sz="4" w:space="0" w:color="000000"/>
              <w:right w:val="single" w:sz="4" w:space="0" w:color="auto"/>
            </w:tcBorders>
            <w:vAlign w:val="center"/>
            <w:hideMark/>
          </w:tcPr>
          <w:p w14:paraId="7A2A7AD0" w14:textId="77777777" w:rsidR="002C6D5E" w:rsidRPr="002C6D5E" w:rsidRDefault="002C6D5E" w:rsidP="002C6D5E">
            <w:pPr>
              <w:spacing w:after="0" w:line="240" w:lineRule="auto"/>
              <w:rPr>
                <w:rFonts w:eastAsia="Times New Roman" w:cs="Times New Roman"/>
                <w:b/>
                <w:bCs/>
                <w:color w:val="000000"/>
                <w:sz w:val="18"/>
                <w:szCs w:val="18"/>
                <w:lang w:val="en-GB" w:eastAsia="en-GB"/>
              </w:rPr>
            </w:pPr>
          </w:p>
        </w:tc>
        <w:tc>
          <w:tcPr>
            <w:tcW w:w="1385" w:type="dxa"/>
            <w:tcBorders>
              <w:top w:val="nil"/>
              <w:left w:val="nil"/>
              <w:bottom w:val="single" w:sz="4" w:space="0" w:color="auto"/>
              <w:right w:val="single" w:sz="4" w:space="0" w:color="auto"/>
            </w:tcBorders>
            <w:shd w:val="clear" w:color="000000" w:fill="D9D9D9"/>
            <w:vAlign w:val="bottom"/>
            <w:hideMark/>
          </w:tcPr>
          <w:p w14:paraId="4AB669E9"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SiO</w:t>
            </w:r>
            <w:r w:rsidRPr="002C6D5E">
              <w:rPr>
                <w:rFonts w:eastAsia="Times New Roman" w:cs="Times New Roman"/>
                <w:color w:val="000000"/>
                <w:sz w:val="18"/>
                <w:szCs w:val="18"/>
                <w:vertAlign w:val="subscript"/>
                <w:lang w:val="en-GB" w:eastAsia="en-GB"/>
              </w:rPr>
              <w:t>2</w:t>
            </w:r>
          </w:p>
        </w:tc>
        <w:tc>
          <w:tcPr>
            <w:tcW w:w="1411" w:type="dxa"/>
            <w:tcBorders>
              <w:top w:val="nil"/>
              <w:left w:val="nil"/>
              <w:bottom w:val="single" w:sz="4" w:space="0" w:color="auto"/>
              <w:right w:val="single" w:sz="4" w:space="0" w:color="auto"/>
            </w:tcBorders>
            <w:shd w:val="clear" w:color="000000" w:fill="D9D9D9"/>
            <w:vAlign w:val="bottom"/>
            <w:hideMark/>
          </w:tcPr>
          <w:p w14:paraId="5309DC4C"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Cu</w:t>
            </w:r>
            <w:r w:rsidRPr="002C6D5E">
              <w:rPr>
                <w:rFonts w:eastAsia="Times New Roman" w:cs="Times New Roman"/>
                <w:color w:val="000000"/>
                <w:sz w:val="18"/>
                <w:szCs w:val="18"/>
                <w:vertAlign w:val="subscript"/>
                <w:lang w:val="en-GB" w:eastAsia="en-GB"/>
              </w:rPr>
              <w:t>2</w:t>
            </w:r>
            <w:r w:rsidRPr="002C6D5E">
              <w:rPr>
                <w:rFonts w:eastAsia="Times New Roman" w:cs="Times New Roman"/>
                <w:color w:val="000000"/>
                <w:sz w:val="18"/>
                <w:szCs w:val="18"/>
                <w:lang w:val="en-GB" w:eastAsia="en-GB"/>
              </w:rPr>
              <w:t>(OH)</w:t>
            </w:r>
            <w:r w:rsidRPr="002C6D5E">
              <w:rPr>
                <w:rFonts w:eastAsia="Times New Roman" w:cs="Times New Roman"/>
                <w:color w:val="000000"/>
                <w:sz w:val="18"/>
                <w:szCs w:val="18"/>
                <w:vertAlign w:val="subscript"/>
                <w:lang w:val="en-GB" w:eastAsia="en-GB"/>
              </w:rPr>
              <w:t>2</w:t>
            </w:r>
            <w:r w:rsidRPr="002C6D5E">
              <w:rPr>
                <w:rFonts w:eastAsia="Times New Roman" w:cs="Times New Roman"/>
                <w:color w:val="000000"/>
                <w:sz w:val="18"/>
                <w:szCs w:val="18"/>
                <w:lang w:val="en-GB" w:eastAsia="en-GB"/>
              </w:rPr>
              <w:t>CO</w:t>
            </w:r>
            <w:r w:rsidRPr="002C6D5E">
              <w:rPr>
                <w:rFonts w:eastAsia="Times New Roman" w:cs="Times New Roman"/>
                <w:color w:val="000000"/>
                <w:sz w:val="18"/>
                <w:szCs w:val="18"/>
                <w:vertAlign w:val="subscript"/>
                <w:lang w:val="en-GB" w:eastAsia="en-GB"/>
              </w:rPr>
              <w:t>3</w:t>
            </w:r>
          </w:p>
        </w:tc>
        <w:tc>
          <w:tcPr>
            <w:tcW w:w="1406" w:type="dxa"/>
            <w:tcBorders>
              <w:top w:val="nil"/>
              <w:left w:val="nil"/>
              <w:bottom w:val="single" w:sz="4" w:space="0" w:color="auto"/>
              <w:right w:val="single" w:sz="4" w:space="0" w:color="auto"/>
            </w:tcBorders>
            <w:shd w:val="clear" w:color="000000" w:fill="D9D9D9"/>
            <w:vAlign w:val="bottom"/>
            <w:hideMark/>
          </w:tcPr>
          <w:p w14:paraId="3C55227B"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CuFeS</w:t>
            </w:r>
            <w:r w:rsidRPr="002C6D5E">
              <w:rPr>
                <w:rFonts w:eastAsia="Times New Roman" w:cs="Times New Roman"/>
                <w:color w:val="000000"/>
                <w:sz w:val="18"/>
                <w:szCs w:val="18"/>
                <w:vertAlign w:val="subscript"/>
                <w:lang w:val="en-GB" w:eastAsia="en-GB"/>
              </w:rPr>
              <w:t>2</w:t>
            </w:r>
          </w:p>
        </w:tc>
        <w:tc>
          <w:tcPr>
            <w:tcW w:w="1482" w:type="dxa"/>
            <w:tcBorders>
              <w:top w:val="nil"/>
              <w:left w:val="nil"/>
              <w:bottom w:val="single" w:sz="4" w:space="0" w:color="auto"/>
              <w:right w:val="single" w:sz="4" w:space="0" w:color="auto"/>
            </w:tcBorders>
            <w:shd w:val="clear" w:color="000000" w:fill="D9D9D9"/>
            <w:vAlign w:val="bottom"/>
            <w:hideMark/>
          </w:tcPr>
          <w:p w14:paraId="29189E7A"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Cu</w:t>
            </w:r>
            <w:r w:rsidRPr="002C6D5E">
              <w:rPr>
                <w:rFonts w:eastAsia="Times New Roman" w:cs="Times New Roman"/>
                <w:color w:val="000000"/>
                <w:sz w:val="18"/>
                <w:szCs w:val="18"/>
                <w:vertAlign w:val="subscript"/>
                <w:lang w:val="en-GB" w:eastAsia="en-GB"/>
              </w:rPr>
              <w:t>4</w:t>
            </w:r>
            <w:r w:rsidRPr="002C6D5E">
              <w:rPr>
                <w:rFonts w:eastAsia="Times New Roman" w:cs="Times New Roman"/>
                <w:color w:val="000000"/>
                <w:sz w:val="18"/>
                <w:szCs w:val="18"/>
                <w:lang w:val="en-GB" w:eastAsia="en-GB"/>
              </w:rPr>
              <w:t>[(OH)</w:t>
            </w:r>
            <w:r w:rsidRPr="002C6D5E">
              <w:rPr>
                <w:rFonts w:eastAsia="Times New Roman" w:cs="Times New Roman"/>
                <w:color w:val="000000"/>
                <w:sz w:val="18"/>
                <w:szCs w:val="18"/>
                <w:vertAlign w:val="subscript"/>
                <w:lang w:val="en-GB" w:eastAsia="en-GB"/>
              </w:rPr>
              <w:t>6</w:t>
            </w:r>
            <w:r w:rsidRPr="002C6D5E">
              <w:rPr>
                <w:rFonts w:eastAsia="Times New Roman" w:cs="Times New Roman"/>
                <w:color w:val="000000"/>
                <w:sz w:val="18"/>
                <w:szCs w:val="18"/>
                <w:lang w:val="en-GB" w:eastAsia="en-GB"/>
              </w:rPr>
              <w:t>SO</w:t>
            </w:r>
            <w:r w:rsidRPr="002C6D5E">
              <w:rPr>
                <w:rFonts w:eastAsia="Times New Roman" w:cs="Times New Roman"/>
                <w:color w:val="000000"/>
                <w:sz w:val="18"/>
                <w:szCs w:val="18"/>
                <w:vertAlign w:val="subscript"/>
                <w:lang w:val="en-GB" w:eastAsia="en-GB"/>
              </w:rPr>
              <w:t>4</w:t>
            </w:r>
            <w:r w:rsidRPr="002C6D5E">
              <w:rPr>
                <w:rFonts w:eastAsia="Times New Roman" w:cs="Times New Roman"/>
                <w:color w:val="000000"/>
                <w:sz w:val="18"/>
                <w:szCs w:val="18"/>
                <w:lang w:val="en-GB" w:eastAsia="en-GB"/>
              </w:rPr>
              <w:t>]</w:t>
            </w:r>
          </w:p>
        </w:tc>
        <w:tc>
          <w:tcPr>
            <w:tcW w:w="1384" w:type="dxa"/>
            <w:tcBorders>
              <w:top w:val="nil"/>
              <w:left w:val="nil"/>
              <w:bottom w:val="single" w:sz="4" w:space="0" w:color="auto"/>
              <w:right w:val="single" w:sz="8" w:space="0" w:color="auto"/>
            </w:tcBorders>
            <w:shd w:val="clear" w:color="000000" w:fill="D9D9D9"/>
            <w:vAlign w:val="bottom"/>
            <w:hideMark/>
          </w:tcPr>
          <w:p w14:paraId="30848756"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CaCO</w:t>
            </w:r>
            <w:r w:rsidRPr="002C6D5E">
              <w:rPr>
                <w:rFonts w:eastAsia="Times New Roman" w:cs="Times New Roman"/>
                <w:color w:val="000000"/>
                <w:sz w:val="18"/>
                <w:szCs w:val="18"/>
                <w:vertAlign w:val="subscript"/>
                <w:lang w:val="en-GB" w:eastAsia="en-GB"/>
              </w:rPr>
              <w:t>3</w:t>
            </w:r>
          </w:p>
        </w:tc>
      </w:tr>
      <w:tr w:rsidR="002C6D5E" w:rsidRPr="002C6D5E" w14:paraId="0C2DD5AD" w14:textId="77777777" w:rsidTr="002C6D5E">
        <w:trPr>
          <w:trHeight w:val="239"/>
        </w:trPr>
        <w:tc>
          <w:tcPr>
            <w:tcW w:w="2038" w:type="dxa"/>
            <w:tcBorders>
              <w:top w:val="nil"/>
              <w:left w:val="single" w:sz="8" w:space="0" w:color="auto"/>
              <w:bottom w:val="single" w:sz="4" w:space="0" w:color="auto"/>
              <w:right w:val="single" w:sz="4" w:space="0" w:color="auto"/>
            </w:tcBorders>
            <w:shd w:val="clear" w:color="auto" w:fill="auto"/>
            <w:vAlign w:val="bottom"/>
            <w:hideMark/>
          </w:tcPr>
          <w:p w14:paraId="6CFA2D44" w14:textId="77777777" w:rsidR="002C6D5E" w:rsidRPr="002C6D5E" w:rsidRDefault="002C6D5E" w:rsidP="002C6D5E">
            <w:pPr>
              <w:spacing w:after="0" w:line="240" w:lineRule="auto"/>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MUT_01</w:t>
            </w:r>
          </w:p>
        </w:tc>
        <w:tc>
          <w:tcPr>
            <w:tcW w:w="1385" w:type="dxa"/>
            <w:tcBorders>
              <w:top w:val="nil"/>
              <w:left w:val="nil"/>
              <w:bottom w:val="single" w:sz="4" w:space="0" w:color="auto"/>
              <w:right w:val="single" w:sz="4" w:space="0" w:color="auto"/>
            </w:tcBorders>
            <w:shd w:val="clear" w:color="auto" w:fill="auto"/>
            <w:vAlign w:val="bottom"/>
            <w:hideMark/>
          </w:tcPr>
          <w:p w14:paraId="54A77A2B"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96</w:t>
            </w:r>
          </w:p>
        </w:tc>
        <w:tc>
          <w:tcPr>
            <w:tcW w:w="1411" w:type="dxa"/>
            <w:tcBorders>
              <w:top w:val="nil"/>
              <w:left w:val="nil"/>
              <w:bottom w:val="single" w:sz="4" w:space="0" w:color="auto"/>
              <w:right w:val="single" w:sz="4" w:space="0" w:color="auto"/>
            </w:tcBorders>
            <w:shd w:val="clear" w:color="auto" w:fill="auto"/>
            <w:vAlign w:val="bottom"/>
            <w:hideMark/>
          </w:tcPr>
          <w:p w14:paraId="3806B630"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4</w:t>
            </w:r>
          </w:p>
        </w:tc>
        <w:tc>
          <w:tcPr>
            <w:tcW w:w="1406" w:type="dxa"/>
            <w:tcBorders>
              <w:top w:val="nil"/>
              <w:left w:val="nil"/>
              <w:bottom w:val="single" w:sz="4" w:space="0" w:color="auto"/>
              <w:right w:val="single" w:sz="4" w:space="0" w:color="auto"/>
            </w:tcBorders>
            <w:shd w:val="clear" w:color="auto" w:fill="auto"/>
            <w:vAlign w:val="bottom"/>
            <w:hideMark/>
          </w:tcPr>
          <w:p w14:paraId="74881EDC"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c>
          <w:tcPr>
            <w:tcW w:w="1482" w:type="dxa"/>
            <w:tcBorders>
              <w:top w:val="nil"/>
              <w:left w:val="nil"/>
              <w:bottom w:val="single" w:sz="4" w:space="0" w:color="auto"/>
              <w:right w:val="single" w:sz="4" w:space="0" w:color="auto"/>
            </w:tcBorders>
            <w:shd w:val="clear" w:color="auto" w:fill="auto"/>
            <w:vAlign w:val="bottom"/>
            <w:hideMark/>
          </w:tcPr>
          <w:p w14:paraId="2514CC71"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c>
          <w:tcPr>
            <w:tcW w:w="1384" w:type="dxa"/>
            <w:tcBorders>
              <w:top w:val="nil"/>
              <w:left w:val="nil"/>
              <w:bottom w:val="single" w:sz="4" w:space="0" w:color="auto"/>
              <w:right w:val="single" w:sz="8" w:space="0" w:color="auto"/>
            </w:tcBorders>
            <w:shd w:val="clear" w:color="auto" w:fill="auto"/>
            <w:vAlign w:val="bottom"/>
            <w:hideMark/>
          </w:tcPr>
          <w:p w14:paraId="29F3E1E5"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r>
      <w:tr w:rsidR="002C6D5E" w:rsidRPr="002C6D5E" w14:paraId="7A510FC5" w14:textId="77777777" w:rsidTr="002C6D5E">
        <w:trPr>
          <w:trHeight w:val="239"/>
        </w:trPr>
        <w:tc>
          <w:tcPr>
            <w:tcW w:w="2038" w:type="dxa"/>
            <w:tcBorders>
              <w:top w:val="nil"/>
              <w:left w:val="single" w:sz="8" w:space="0" w:color="auto"/>
              <w:bottom w:val="single" w:sz="4" w:space="0" w:color="auto"/>
              <w:right w:val="single" w:sz="4" w:space="0" w:color="auto"/>
            </w:tcBorders>
            <w:shd w:val="clear" w:color="auto" w:fill="auto"/>
            <w:vAlign w:val="bottom"/>
            <w:hideMark/>
          </w:tcPr>
          <w:p w14:paraId="556B0C43" w14:textId="77777777" w:rsidR="002C6D5E" w:rsidRPr="002C6D5E" w:rsidRDefault="002C6D5E" w:rsidP="002C6D5E">
            <w:pPr>
              <w:spacing w:after="0" w:line="240" w:lineRule="auto"/>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MUT_02</w:t>
            </w:r>
          </w:p>
        </w:tc>
        <w:tc>
          <w:tcPr>
            <w:tcW w:w="1385" w:type="dxa"/>
            <w:tcBorders>
              <w:top w:val="nil"/>
              <w:left w:val="nil"/>
              <w:bottom w:val="single" w:sz="4" w:space="0" w:color="auto"/>
              <w:right w:val="single" w:sz="4" w:space="0" w:color="auto"/>
            </w:tcBorders>
            <w:shd w:val="clear" w:color="auto" w:fill="auto"/>
            <w:vAlign w:val="bottom"/>
            <w:hideMark/>
          </w:tcPr>
          <w:p w14:paraId="06C24BF2"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20</w:t>
            </w:r>
          </w:p>
        </w:tc>
        <w:tc>
          <w:tcPr>
            <w:tcW w:w="1411" w:type="dxa"/>
            <w:tcBorders>
              <w:top w:val="nil"/>
              <w:left w:val="nil"/>
              <w:bottom w:val="single" w:sz="4" w:space="0" w:color="auto"/>
              <w:right w:val="single" w:sz="4" w:space="0" w:color="auto"/>
            </w:tcBorders>
            <w:shd w:val="clear" w:color="auto" w:fill="auto"/>
            <w:vAlign w:val="bottom"/>
            <w:hideMark/>
          </w:tcPr>
          <w:p w14:paraId="66E84214"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c>
          <w:tcPr>
            <w:tcW w:w="1406" w:type="dxa"/>
            <w:tcBorders>
              <w:top w:val="nil"/>
              <w:left w:val="nil"/>
              <w:bottom w:val="single" w:sz="4" w:space="0" w:color="auto"/>
              <w:right w:val="single" w:sz="4" w:space="0" w:color="auto"/>
            </w:tcBorders>
            <w:shd w:val="clear" w:color="auto" w:fill="auto"/>
            <w:vAlign w:val="bottom"/>
            <w:hideMark/>
          </w:tcPr>
          <w:p w14:paraId="773BD7D2"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80</w:t>
            </w:r>
          </w:p>
        </w:tc>
        <w:tc>
          <w:tcPr>
            <w:tcW w:w="1482" w:type="dxa"/>
            <w:tcBorders>
              <w:top w:val="nil"/>
              <w:left w:val="nil"/>
              <w:bottom w:val="single" w:sz="4" w:space="0" w:color="auto"/>
              <w:right w:val="single" w:sz="4" w:space="0" w:color="auto"/>
            </w:tcBorders>
            <w:shd w:val="clear" w:color="auto" w:fill="auto"/>
            <w:vAlign w:val="bottom"/>
            <w:hideMark/>
          </w:tcPr>
          <w:p w14:paraId="4DD39C55"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c>
          <w:tcPr>
            <w:tcW w:w="1384" w:type="dxa"/>
            <w:tcBorders>
              <w:top w:val="nil"/>
              <w:left w:val="nil"/>
              <w:bottom w:val="single" w:sz="4" w:space="0" w:color="auto"/>
              <w:right w:val="single" w:sz="8" w:space="0" w:color="auto"/>
            </w:tcBorders>
            <w:shd w:val="clear" w:color="auto" w:fill="auto"/>
            <w:vAlign w:val="bottom"/>
            <w:hideMark/>
          </w:tcPr>
          <w:p w14:paraId="4A214B42"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r>
      <w:tr w:rsidR="002C6D5E" w:rsidRPr="002C6D5E" w14:paraId="2743FBE5" w14:textId="77777777" w:rsidTr="002C6D5E">
        <w:trPr>
          <w:trHeight w:val="239"/>
        </w:trPr>
        <w:tc>
          <w:tcPr>
            <w:tcW w:w="2038" w:type="dxa"/>
            <w:tcBorders>
              <w:top w:val="nil"/>
              <w:left w:val="single" w:sz="8" w:space="0" w:color="auto"/>
              <w:bottom w:val="single" w:sz="4" w:space="0" w:color="auto"/>
              <w:right w:val="single" w:sz="4" w:space="0" w:color="auto"/>
            </w:tcBorders>
            <w:shd w:val="clear" w:color="auto" w:fill="auto"/>
            <w:vAlign w:val="bottom"/>
            <w:hideMark/>
          </w:tcPr>
          <w:p w14:paraId="12D6EEE2" w14:textId="77777777" w:rsidR="002C6D5E" w:rsidRPr="002C6D5E" w:rsidRDefault="002C6D5E" w:rsidP="002C6D5E">
            <w:pPr>
              <w:spacing w:after="0" w:line="240" w:lineRule="auto"/>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MUT_03</w:t>
            </w:r>
          </w:p>
        </w:tc>
        <w:tc>
          <w:tcPr>
            <w:tcW w:w="1385" w:type="dxa"/>
            <w:tcBorders>
              <w:top w:val="nil"/>
              <w:left w:val="nil"/>
              <w:bottom w:val="single" w:sz="4" w:space="0" w:color="auto"/>
              <w:right w:val="single" w:sz="4" w:space="0" w:color="auto"/>
            </w:tcBorders>
            <w:shd w:val="clear" w:color="auto" w:fill="auto"/>
            <w:vAlign w:val="bottom"/>
            <w:hideMark/>
          </w:tcPr>
          <w:p w14:paraId="5A970062"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4</w:t>
            </w:r>
          </w:p>
        </w:tc>
        <w:tc>
          <w:tcPr>
            <w:tcW w:w="1411" w:type="dxa"/>
            <w:tcBorders>
              <w:top w:val="nil"/>
              <w:left w:val="nil"/>
              <w:bottom w:val="single" w:sz="4" w:space="0" w:color="auto"/>
              <w:right w:val="single" w:sz="4" w:space="0" w:color="auto"/>
            </w:tcBorders>
            <w:shd w:val="clear" w:color="auto" w:fill="auto"/>
            <w:vAlign w:val="bottom"/>
            <w:hideMark/>
          </w:tcPr>
          <w:p w14:paraId="6DF696DA"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c>
          <w:tcPr>
            <w:tcW w:w="1406" w:type="dxa"/>
            <w:tcBorders>
              <w:top w:val="nil"/>
              <w:left w:val="nil"/>
              <w:bottom w:val="single" w:sz="4" w:space="0" w:color="auto"/>
              <w:right w:val="single" w:sz="4" w:space="0" w:color="auto"/>
            </w:tcBorders>
            <w:shd w:val="clear" w:color="auto" w:fill="auto"/>
            <w:vAlign w:val="bottom"/>
            <w:hideMark/>
          </w:tcPr>
          <w:p w14:paraId="28060E93"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96</w:t>
            </w:r>
          </w:p>
        </w:tc>
        <w:tc>
          <w:tcPr>
            <w:tcW w:w="1482" w:type="dxa"/>
            <w:tcBorders>
              <w:top w:val="nil"/>
              <w:left w:val="nil"/>
              <w:bottom w:val="single" w:sz="4" w:space="0" w:color="auto"/>
              <w:right w:val="single" w:sz="4" w:space="0" w:color="auto"/>
            </w:tcBorders>
            <w:shd w:val="clear" w:color="auto" w:fill="auto"/>
            <w:vAlign w:val="bottom"/>
            <w:hideMark/>
          </w:tcPr>
          <w:p w14:paraId="0B69EE1B"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c>
          <w:tcPr>
            <w:tcW w:w="1384" w:type="dxa"/>
            <w:tcBorders>
              <w:top w:val="nil"/>
              <w:left w:val="nil"/>
              <w:bottom w:val="single" w:sz="4" w:space="0" w:color="auto"/>
              <w:right w:val="single" w:sz="8" w:space="0" w:color="auto"/>
            </w:tcBorders>
            <w:shd w:val="clear" w:color="auto" w:fill="auto"/>
            <w:vAlign w:val="bottom"/>
            <w:hideMark/>
          </w:tcPr>
          <w:p w14:paraId="79E026F8"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r>
      <w:tr w:rsidR="002C6D5E" w:rsidRPr="002C6D5E" w14:paraId="55F6AE9F" w14:textId="77777777" w:rsidTr="002C6D5E">
        <w:trPr>
          <w:trHeight w:val="251"/>
        </w:trPr>
        <w:tc>
          <w:tcPr>
            <w:tcW w:w="2038" w:type="dxa"/>
            <w:tcBorders>
              <w:top w:val="nil"/>
              <w:left w:val="single" w:sz="8" w:space="0" w:color="auto"/>
              <w:bottom w:val="single" w:sz="8" w:space="0" w:color="auto"/>
              <w:right w:val="single" w:sz="4" w:space="0" w:color="auto"/>
            </w:tcBorders>
            <w:shd w:val="clear" w:color="auto" w:fill="auto"/>
            <w:vAlign w:val="bottom"/>
            <w:hideMark/>
          </w:tcPr>
          <w:p w14:paraId="76234725" w14:textId="77777777" w:rsidR="002C6D5E" w:rsidRPr="002C6D5E" w:rsidRDefault="002C6D5E" w:rsidP="002C6D5E">
            <w:pPr>
              <w:spacing w:after="0" w:line="240" w:lineRule="auto"/>
              <w:rPr>
                <w:rFonts w:eastAsia="Times New Roman" w:cs="Times New Roman"/>
                <w:b/>
                <w:bCs/>
                <w:color w:val="000000"/>
                <w:sz w:val="18"/>
                <w:szCs w:val="18"/>
                <w:lang w:val="en-GB" w:eastAsia="en-GB"/>
              </w:rPr>
            </w:pPr>
            <w:r w:rsidRPr="002C6D5E">
              <w:rPr>
                <w:rFonts w:eastAsia="Times New Roman" w:cs="Times New Roman"/>
                <w:b/>
                <w:bCs/>
                <w:color w:val="000000"/>
                <w:sz w:val="18"/>
                <w:szCs w:val="18"/>
                <w:lang w:val="en-GB" w:eastAsia="en-GB"/>
              </w:rPr>
              <w:t>MUT_04</w:t>
            </w:r>
          </w:p>
        </w:tc>
        <w:tc>
          <w:tcPr>
            <w:tcW w:w="1385" w:type="dxa"/>
            <w:tcBorders>
              <w:top w:val="nil"/>
              <w:left w:val="nil"/>
              <w:bottom w:val="single" w:sz="8" w:space="0" w:color="auto"/>
              <w:right w:val="single" w:sz="4" w:space="0" w:color="auto"/>
            </w:tcBorders>
            <w:shd w:val="clear" w:color="auto" w:fill="auto"/>
            <w:vAlign w:val="bottom"/>
            <w:hideMark/>
          </w:tcPr>
          <w:p w14:paraId="426D572B"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22</w:t>
            </w:r>
          </w:p>
        </w:tc>
        <w:tc>
          <w:tcPr>
            <w:tcW w:w="1411" w:type="dxa"/>
            <w:tcBorders>
              <w:top w:val="nil"/>
              <w:left w:val="nil"/>
              <w:bottom w:val="single" w:sz="8" w:space="0" w:color="auto"/>
              <w:right w:val="single" w:sz="4" w:space="0" w:color="auto"/>
            </w:tcBorders>
            <w:shd w:val="clear" w:color="auto" w:fill="auto"/>
            <w:vAlign w:val="bottom"/>
            <w:hideMark/>
          </w:tcPr>
          <w:p w14:paraId="77B5E8DB"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60</w:t>
            </w:r>
          </w:p>
        </w:tc>
        <w:tc>
          <w:tcPr>
            <w:tcW w:w="1406" w:type="dxa"/>
            <w:tcBorders>
              <w:top w:val="nil"/>
              <w:left w:val="nil"/>
              <w:bottom w:val="single" w:sz="8" w:space="0" w:color="auto"/>
              <w:right w:val="single" w:sz="4" w:space="0" w:color="auto"/>
            </w:tcBorders>
            <w:shd w:val="clear" w:color="auto" w:fill="auto"/>
            <w:vAlign w:val="bottom"/>
            <w:hideMark/>
          </w:tcPr>
          <w:p w14:paraId="18B30A67"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 </w:t>
            </w:r>
          </w:p>
        </w:tc>
        <w:tc>
          <w:tcPr>
            <w:tcW w:w="1482" w:type="dxa"/>
            <w:tcBorders>
              <w:top w:val="nil"/>
              <w:left w:val="nil"/>
              <w:bottom w:val="single" w:sz="8" w:space="0" w:color="auto"/>
              <w:right w:val="single" w:sz="4" w:space="0" w:color="auto"/>
            </w:tcBorders>
            <w:shd w:val="clear" w:color="auto" w:fill="auto"/>
            <w:vAlign w:val="bottom"/>
            <w:hideMark/>
          </w:tcPr>
          <w:p w14:paraId="27A2DA2D"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16</w:t>
            </w:r>
          </w:p>
        </w:tc>
        <w:tc>
          <w:tcPr>
            <w:tcW w:w="1384" w:type="dxa"/>
            <w:tcBorders>
              <w:top w:val="nil"/>
              <w:left w:val="nil"/>
              <w:bottom w:val="single" w:sz="8" w:space="0" w:color="auto"/>
              <w:right w:val="single" w:sz="8" w:space="0" w:color="auto"/>
            </w:tcBorders>
            <w:shd w:val="clear" w:color="auto" w:fill="auto"/>
            <w:vAlign w:val="bottom"/>
            <w:hideMark/>
          </w:tcPr>
          <w:p w14:paraId="2D98B223" w14:textId="77777777" w:rsidR="002C6D5E" w:rsidRPr="002C6D5E" w:rsidRDefault="002C6D5E" w:rsidP="002C6D5E">
            <w:pPr>
              <w:spacing w:after="0" w:line="240" w:lineRule="auto"/>
              <w:jc w:val="center"/>
              <w:rPr>
                <w:rFonts w:eastAsia="Times New Roman" w:cs="Times New Roman"/>
                <w:color w:val="000000"/>
                <w:sz w:val="18"/>
                <w:szCs w:val="18"/>
                <w:lang w:val="en-GB" w:eastAsia="en-GB"/>
              </w:rPr>
            </w:pPr>
            <w:r w:rsidRPr="002C6D5E">
              <w:rPr>
                <w:rFonts w:eastAsia="Times New Roman" w:cs="Times New Roman"/>
                <w:color w:val="000000"/>
                <w:sz w:val="18"/>
                <w:szCs w:val="18"/>
                <w:lang w:val="en-GB" w:eastAsia="en-GB"/>
              </w:rPr>
              <w:t>2</w:t>
            </w:r>
          </w:p>
        </w:tc>
      </w:tr>
    </w:tbl>
    <w:p w14:paraId="62606845" w14:textId="77777777" w:rsidR="002C6D5E" w:rsidRDefault="002C6D5E" w:rsidP="00E261D6">
      <w:pPr>
        <w:rPr>
          <w:b/>
          <w:lang w:val="en-GB"/>
        </w:rPr>
      </w:pPr>
    </w:p>
    <w:p w14:paraId="132EDECC" w14:textId="56335812" w:rsidR="004D16E8" w:rsidRDefault="002C6D5E" w:rsidP="00E261D6">
      <w:pPr>
        <w:rPr>
          <w:lang w:val="en-GB"/>
        </w:rPr>
      </w:pPr>
      <w:r w:rsidRPr="00280E4D">
        <w:rPr>
          <w:b/>
          <w:lang w:val="en-GB"/>
        </w:rPr>
        <w:t>Tab. S</w:t>
      </w:r>
      <w:r>
        <w:rPr>
          <w:b/>
          <w:lang w:val="en-GB"/>
        </w:rPr>
        <w:t>2</w:t>
      </w:r>
      <w:r w:rsidRPr="00280E4D">
        <w:rPr>
          <w:lang w:val="en-GB"/>
        </w:rPr>
        <w:t xml:space="preserve"> </w:t>
      </w:r>
      <w:proofErr w:type="spellStart"/>
      <w:r>
        <w:rPr>
          <w:rFonts w:cs="Times New Roman"/>
        </w:rPr>
        <w:t>R</w:t>
      </w:r>
      <w:r w:rsidRPr="003D0CB2">
        <w:rPr>
          <w:rFonts w:cs="Times New Roman"/>
        </w:rPr>
        <w:t>esults</w:t>
      </w:r>
      <w:proofErr w:type="spellEnd"/>
      <w:r w:rsidRPr="003D0CB2">
        <w:rPr>
          <w:rFonts w:cs="Times New Roman"/>
        </w:rPr>
        <w:t xml:space="preserve"> </w:t>
      </w:r>
      <w:proofErr w:type="spellStart"/>
      <w:r w:rsidRPr="003D0CB2">
        <w:rPr>
          <w:rFonts w:cs="Times New Roman"/>
        </w:rPr>
        <w:t>of</w:t>
      </w:r>
      <w:proofErr w:type="spellEnd"/>
      <w:r w:rsidRPr="003D0CB2">
        <w:rPr>
          <w:rFonts w:cs="Times New Roman"/>
        </w:rPr>
        <w:t xml:space="preserve"> </w:t>
      </w:r>
      <w:r>
        <w:rPr>
          <w:rFonts w:cs="Times New Roman"/>
        </w:rPr>
        <w:t xml:space="preserve">INAA </w:t>
      </w:r>
      <w:proofErr w:type="spellStart"/>
      <w:r>
        <w:rPr>
          <w:rFonts w:cs="Times New Roman"/>
        </w:rPr>
        <w:t>analysis</w:t>
      </w:r>
      <w:proofErr w:type="spellEnd"/>
      <w:r>
        <w:rPr>
          <w:rFonts w:cs="Times New Roman"/>
        </w:rPr>
        <w:t xml:space="preserve"> </w:t>
      </w:r>
      <w:proofErr w:type="spellStart"/>
      <w:r>
        <w:rPr>
          <w:rFonts w:cs="Times New Roman"/>
        </w:rPr>
        <w:t>of</w:t>
      </w:r>
      <w:proofErr w:type="spellEnd"/>
      <w:r>
        <w:rPr>
          <w:rFonts w:cs="Times New Roman"/>
        </w:rPr>
        <w:t xml:space="preserve"> reference </w:t>
      </w:r>
      <w:proofErr w:type="spellStart"/>
      <w:r>
        <w:rPr>
          <w:rFonts w:cs="Times New Roman"/>
        </w:rPr>
        <w:t>standards</w:t>
      </w:r>
      <w:proofErr w:type="spellEnd"/>
      <w:r>
        <w:rPr>
          <w:rFonts w:cs="Times New Roman"/>
        </w:rPr>
        <w:t xml:space="preserve">. </w:t>
      </w:r>
      <w:proofErr w:type="spellStart"/>
      <w:r w:rsidRPr="003D0CB2">
        <w:rPr>
          <w:rFonts w:cs="Times New Roman"/>
        </w:rPr>
        <w:t>Results</w:t>
      </w:r>
      <w:proofErr w:type="spellEnd"/>
      <w:r w:rsidRPr="003D0CB2">
        <w:rPr>
          <w:rFonts w:cs="Times New Roman"/>
        </w:rPr>
        <w:t xml:space="preserve"> are </w:t>
      </w:r>
      <w:proofErr w:type="spellStart"/>
      <w:r w:rsidRPr="003D0CB2">
        <w:rPr>
          <w:rFonts w:cs="Times New Roman"/>
        </w:rPr>
        <w:t>given</w:t>
      </w:r>
      <w:proofErr w:type="spellEnd"/>
      <w:r w:rsidRPr="003D0CB2">
        <w:rPr>
          <w:rFonts w:cs="Times New Roman"/>
        </w:rPr>
        <w:t xml:space="preserve"> in </w:t>
      </w:r>
      <w:proofErr w:type="spellStart"/>
      <w:r w:rsidRPr="003D0CB2">
        <w:rPr>
          <w:rFonts w:cs="Times New Roman"/>
        </w:rPr>
        <w:t>weight</w:t>
      </w:r>
      <w:proofErr w:type="spellEnd"/>
      <w:r w:rsidRPr="003D0CB2">
        <w:rPr>
          <w:rFonts w:cs="Times New Roman"/>
        </w:rPr>
        <w:t xml:space="preserve"> % and µg.g</w:t>
      </w:r>
      <w:r w:rsidRPr="003D0CB2">
        <w:rPr>
          <w:rFonts w:cs="Times New Roman"/>
          <w:vertAlign w:val="superscript"/>
        </w:rPr>
        <w:t>-1</w:t>
      </w:r>
      <w:r w:rsidRPr="003D0CB2">
        <w:rPr>
          <w:rFonts w:cs="Times New Roman"/>
        </w:rPr>
        <w:t>.</w:t>
      </w:r>
    </w:p>
    <w:tbl>
      <w:tblPr>
        <w:tblW w:w="9298" w:type="dxa"/>
        <w:tblInd w:w="-10" w:type="dxa"/>
        <w:tblLook w:val="04A0" w:firstRow="1" w:lastRow="0" w:firstColumn="1" w:lastColumn="0" w:noHBand="0" w:noVBand="1"/>
      </w:tblPr>
      <w:tblGrid>
        <w:gridCol w:w="1128"/>
        <w:gridCol w:w="799"/>
        <w:gridCol w:w="601"/>
        <w:gridCol w:w="586"/>
        <w:gridCol w:w="628"/>
        <w:gridCol w:w="712"/>
        <w:gridCol w:w="712"/>
        <w:gridCol w:w="628"/>
        <w:gridCol w:w="543"/>
        <w:gridCol w:w="513"/>
        <w:gridCol w:w="755"/>
        <w:gridCol w:w="628"/>
        <w:gridCol w:w="513"/>
        <w:gridCol w:w="552"/>
      </w:tblGrid>
      <w:tr w:rsidR="002C6D5E" w:rsidRPr="002C6D5E" w14:paraId="08334584" w14:textId="77777777" w:rsidTr="002C6D5E">
        <w:trPr>
          <w:trHeight w:val="226"/>
        </w:trPr>
        <w:tc>
          <w:tcPr>
            <w:tcW w:w="1128"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7C8A1582" w14:textId="77777777" w:rsidR="002C6D5E" w:rsidRPr="002C6D5E" w:rsidRDefault="002C6D5E" w:rsidP="002C6D5E">
            <w:pPr>
              <w:spacing w:after="0" w:line="240" w:lineRule="auto"/>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Reference standard</w:t>
            </w:r>
          </w:p>
        </w:tc>
        <w:tc>
          <w:tcPr>
            <w:tcW w:w="799" w:type="dxa"/>
            <w:tcBorders>
              <w:top w:val="single" w:sz="8" w:space="0" w:color="auto"/>
              <w:left w:val="nil"/>
              <w:bottom w:val="single" w:sz="4" w:space="0" w:color="auto"/>
              <w:right w:val="single" w:sz="4" w:space="0" w:color="auto"/>
            </w:tcBorders>
            <w:shd w:val="clear" w:color="000000" w:fill="D9D9D9"/>
            <w:noWrap/>
            <w:vAlign w:val="center"/>
            <w:hideMark/>
          </w:tcPr>
          <w:p w14:paraId="5868148F" w14:textId="77777777" w:rsidR="002C6D5E" w:rsidRPr="002C6D5E" w:rsidRDefault="002C6D5E" w:rsidP="002C6D5E">
            <w:pPr>
              <w:spacing w:after="0" w:line="240" w:lineRule="auto"/>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INAA No</w:t>
            </w:r>
          </w:p>
        </w:tc>
        <w:tc>
          <w:tcPr>
            <w:tcW w:w="601" w:type="dxa"/>
            <w:tcBorders>
              <w:top w:val="single" w:sz="8" w:space="0" w:color="auto"/>
              <w:left w:val="nil"/>
              <w:bottom w:val="single" w:sz="4" w:space="0" w:color="auto"/>
              <w:right w:val="single" w:sz="4" w:space="0" w:color="auto"/>
            </w:tcBorders>
            <w:shd w:val="clear" w:color="000000" w:fill="D9D9D9"/>
            <w:noWrap/>
            <w:vAlign w:val="center"/>
            <w:hideMark/>
          </w:tcPr>
          <w:p w14:paraId="2BE9A75D"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Fe</w:t>
            </w:r>
          </w:p>
        </w:tc>
        <w:tc>
          <w:tcPr>
            <w:tcW w:w="586" w:type="dxa"/>
            <w:tcBorders>
              <w:top w:val="single" w:sz="8" w:space="0" w:color="auto"/>
              <w:left w:val="nil"/>
              <w:bottom w:val="single" w:sz="4" w:space="0" w:color="auto"/>
              <w:right w:val="single" w:sz="4" w:space="0" w:color="auto"/>
            </w:tcBorders>
            <w:shd w:val="clear" w:color="000000" w:fill="D9D9D9"/>
            <w:noWrap/>
            <w:vAlign w:val="center"/>
            <w:hideMark/>
          </w:tcPr>
          <w:p w14:paraId="3DC66677"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Cu</w:t>
            </w:r>
          </w:p>
        </w:tc>
        <w:tc>
          <w:tcPr>
            <w:tcW w:w="628" w:type="dxa"/>
            <w:tcBorders>
              <w:top w:val="single" w:sz="8" w:space="0" w:color="auto"/>
              <w:left w:val="nil"/>
              <w:bottom w:val="single" w:sz="4" w:space="0" w:color="auto"/>
              <w:right w:val="single" w:sz="4" w:space="0" w:color="auto"/>
            </w:tcBorders>
            <w:shd w:val="clear" w:color="000000" w:fill="D9D9D9"/>
            <w:noWrap/>
            <w:vAlign w:val="center"/>
            <w:hideMark/>
          </w:tcPr>
          <w:p w14:paraId="7F55A83C"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Ni</w:t>
            </w:r>
          </w:p>
        </w:tc>
        <w:tc>
          <w:tcPr>
            <w:tcW w:w="712" w:type="dxa"/>
            <w:tcBorders>
              <w:top w:val="single" w:sz="8" w:space="0" w:color="auto"/>
              <w:left w:val="nil"/>
              <w:bottom w:val="single" w:sz="4" w:space="0" w:color="auto"/>
              <w:right w:val="single" w:sz="4" w:space="0" w:color="auto"/>
            </w:tcBorders>
            <w:shd w:val="clear" w:color="000000" w:fill="D9D9D9"/>
            <w:noWrap/>
            <w:vAlign w:val="center"/>
            <w:hideMark/>
          </w:tcPr>
          <w:p w14:paraId="1424112B"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Zn</w:t>
            </w:r>
          </w:p>
        </w:tc>
        <w:tc>
          <w:tcPr>
            <w:tcW w:w="712" w:type="dxa"/>
            <w:tcBorders>
              <w:top w:val="single" w:sz="8" w:space="0" w:color="auto"/>
              <w:left w:val="nil"/>
              <w:bottom w:val="single" w:sz="4" w:space="0" w:color="auto"/>
              <w:right w:val="single" w:sz="4" w:space="0" w:color="auto"/>
            </w:tcBorders>
            <w:shd w:val="clear" w:color="000000" w:fill="D9D9D9"/>
            <w:noWrap/>
            <w:vAlign w:val="center"/>
            <w:hideMark/>
          </w:tcPr>
          <w:p w14:paraId="46B34C67"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Sn</w:t>
            </w:r>
          </w:p>
        </w:tc>
        <w:tc>
          <w:tcPr>
            <w:tcW w:w="628" w:type="dxa"/>
            <w:tcBorders>
              <w:top w:val="single" w:sz="8" w:space="0" w:color="auto"/>
              <w:left w:val="nil"/>
              <w:bottom w:val="single" w:sz="4" w:space="0" w:color="auto"/>
              <w:right w:val="single" w:sz="4" w:space="0" w:color="auto"/>
            </w:tcBorders>
            <w:shd w:val="clear" w:color="000000" w:fill="D9D9D9"/>
            <w:noWrap/>
            <w:vAlign w:val="center"/>
            <w:hideMark/>
          </w:tcPr>
          <w:p w14:paraId="6786E495"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As</w:t>
            </w:r>
          </w:p>
        </w:tc>
        <w:tc>
          <w:tcPr>
            <w:tcW w:w="543" w:type="dxa"/>
            <w:tcBorders>
              <w:top w:val="single" w:sz="8" w:space="0" w:color="auto"/>
              <w:left w:val="nil"/>
              <w:bottom w:val="single" w:sz="4" w:space="0" w:color="auto"/>
              <w:right w:val="single" w:sz="4" w:space="0" w:color="auto"/>
            </w:tcBorders>
            <w:shd w:val="clear" w:color="000000" w:fill="D9D9D9"/>
            <w:noWrap/>
            <w:vAlign w:val="center"/>
            <w:hideMark/>
          </w:tcPr>
          <w:p w14:paraId="3CFC07D0"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Sb</w:t>
            </w:r>
          </w:p>
        </w:tc>
        <w:tc>
          <w:tcPr>
            <w:tcW w:w="513" w:type="dxa"/>
            <w:tcBorders>
              <w:top w:val="single" w:sz="8" w:space="0" w:color="auto"/>
              <w:left w:val="nil"/>
              <w:bottom w:val="single" w:sz="4" w:space="0" w:color="auto"/>
              <w:right w:val="single" w:sz="4" w:space="0" w:color="auto"/>
            </w:tcBorders>
            <w:shd w:val="clear" w:color="000000" w:fill="D9D9D9"/>
            <w:noWrap/>
            <w:vAlign w:val="center"/>
            <w:hideMark/>
          </w:tcPr>
          <w:p w14:paraId="2BC48EAE"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Cr</w:t>
            </w:r>
          </w:p>
        </w:tc>
        <w:tc>
          <w:tcPr>
            <w:tcW w:w="755" w:type="dxa"/>
            <w:tcBorders>
              <w:top w:val="single" w:sz="8" w:space="0" w:color="auto"/>
              <w:left w:val="nil"/>
              <w:bottom w:val="single" w:sz="4" w:space="0" w:color="auto"/>
              <w:right w:val="single" w:sz="4" w:space="0" w:color="auto"/>
            </w:tcBorders>
            <w:shd w:val="clear" w:color="000000" w:fill="D9D9D9"/>
            <w:noWrap/>
            <w:vAlign w:val="center"/>
            <w:hideMark/>
          </w:tcPr>
          <w:p w14:paraId="2EA27411"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Co</w:t>
            </w:r>
          </w:p>
        </w:tc>
        <w:tc>
          <w:tcPr>
            <w:tcW w:w="628" w:type="dxa"/>
            <w:tcBorders>
              <w:top w:val="single" w:sz="8" w:space="0" w:color="auto"/>
              <w:left w:val="nil"/>
              <w:bottom w:val="single" w:sz="4" w:space="0" w:color="auto"/>
              <w:right w:val="single" w:sz="4" w:space="0" w:color="auto"/>
            </w:tcBorders>
            <w:shd w:val="clear" w:color="000000" w:fill="D9D9D9"/>
            <w:noWrap/>
            <w:vAlign w:val="center"/>
            <w:hideMark/>
          </w:tcPr>
          <w:p w14:paraId="294B7543"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Ag</w:t>
            </w:r>
          </w:p>
        </w:tc>
        <w:tc>
          <w:tcPr>
            <w:tcW w:w="513" w:type="dxa"/>
            <w:tcBorders>
              <w:top w:val="single" w:sz="8" w:space="0" w:color="auto"/>
              <w:left w:val="nil"/>
              <w:bottom w:val="single" w:sz="4" w:space="0" w:color="auto"/>
              <w:right w:val="single" w:sz="4" w:space="0" w:color="auto"/>
            </w:tcBorders>
            <w:shd w:val="clear" w:color="000000" w:fill="D9D9D9"/>
            <w:noWrap/>
            <w:vAlign w:val="center"/>
            <w:hideMark/>
          </w:tcPr>
          <w:p w14:paraId="4EDE50F3"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Au</w:t>
            </w:r>
          </w:p>
        </w:tc>
        <w:tc>
          <w:tcPr>
            <w:tcW w:w="552" w:type="dxa"/>
            <w:tcBorders>
              <w:top w:val="single" w:sz="8" w:space="0" w:color="auto"/>
              <w:left w:val="nil"/>
              <w:bottom w:val="single" w:sz="4" w:space="0" w:color="auto"/>
              <w:right w:val="single" w:sz="8" w:space="0" w:color="auto"/>
            </w:tcBorders>
            <w:shd w:val="clear" w:color="000000" w:fill="D9D9D9"/>
            <w:noWrap/>
            <w:vAlign w:val="center"/>
            <w:hideMark/>
          </w:tcPr>
          <w:p w14:paraId="41D44A4D" w14:textId="77777777" w:rsidR="002C6D5E" w:rsidRPr="002C6D5E" w:rsidRDefault="002C6D5E" w:rsidP="002C6D5E">
            <w:pPr>
              <w:spacing w:after="0" w:line="240" w:lineRule="auto"/>
              <w:jc w:val="center"/>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Se</w:t>
            </w:r>
          </w:p>
        </w:tc>
      </w:tr>
      <w:tr w:rsidR="002C6D5E" w:rsidRPr="002C6D5E" w14:paraId="3DDF4AF1" w14:textId="77777777" w:rsidTr="002C6D5E">
        <w:trPr>
          <w:trHeight w:val="272"/>
        </w:trPr>
        <w:tc>
          <w:tcPr>
            <w:tcW w:w="1128" w:type="dxa"/>
            <w:tcBorders>
              <w:top w:val="nil"/>
              <w:left w:val="single" w:sz="8" w:space="0" w:color="auto"/>
              <w:bottom w:val="single" w:sz="4" w:space="0" w:color="auto"/>
              <w:right w:val="single" w:sz="4" w:space="0" w:color="auto"/>
            </w:tcBorders>
            <w:shd w:val="clear" w:color="000000" w:fill="D9D9D9"/>
            <w:noWrap/>
            <w:vAlign w:val="center"/>
            <w:hideMark/>
          </w:tcPr>
          <w:p w14:paraId="31FE8EC1" w14:textId="77777777" w:rsidR="002C6D5E" w:rsidRPr="002C6D5E" w:rsidRDefault="002C6D5E" w:rsidP="002C6D5E">
            <w:pPr>
              <w:spacing w:after="0" w:line="240" w:lineRule="auto"/>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99" w:type="dxa"/>
            <w:tcBorders>
              <w:top w:val="nil"/>
              <w:left w:val="nil"/>
              <w:bottom w:val="single" w:sz="4" w:space="0" w:color="auto"/>
              <w:right w:val="single" w:sz="4" w:space="0" w:color="auto"/>
            </w:tcBorders>
            <w:shd w:val="clear" w:color="000000" w:fill="D9D9D9"/>
            <w:noWrap/>
            <w:vAlign w:val="center"/>
            <w:hideMark/>
          </w:tcPr>
          <w:p w14:paraId="0DB745A1" w14:textId="77777777" w:rsidR="002C6D5E" w:rsidRPr="002C6D5E" w:rsidRDefault="002C6D5E" w:rsidP="002C6D5E">
            <w:pPr>
              <w:spacing w:after="0" w:line="240" w:lineRule="auto"/>
              <w:rPr>
                <w:rFonts w:eastAsia="Times New Roman" w:cs="Times New Roman"/>
                <w:b/>
                <w:bCs/>
                <w:color w:val="000000"/>
                <w:sz w:val="16"/>
                <w:szCs w:val="16"/>
                <w:lang w:val="en-GB" w:eastAsia="en-GB"/>
              </w:rPr>
            </w:pPr>
            <w:r w:rsidRPr="002C6D5E">
              <w:rPr>
                <w:rFonts w:eastAsia="Times New Roman" w:cs="Times New Roman"/>
                <w:b/>
                <w:bCs/>
                <w:color w:val="000000"/>
                <w:sz w:val="16"/>
                <w:szCs w:val="16"/>
                <w:lang w:val="en-GB" w:eastAsia="en-GB"/>
              </w:rPr>
              <w:t> </w:t>
            </w:r>
          </w:p>
        </w:tc>
        <w:tc>
          <w:tcPr>
            <w:tcW w:w="118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AF6D7DA"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wt. %</w:t>
            </w:r>
          </w:p>
        </w:tc>
        <w:tc>
          <w:tcPr>
            <w:tcW w:w="6184" w:type="dxa"/>
            <w:gridSpan w:val="10"/>
            <w:tcBorders>
              <w:top w:val="single" w:sz="4" w:space="0" w:color="auto"/>
              <w:left w:val="nil"/>
              <w:bottom w:val="single" w:sz="4" w:space="0" w:color="auto"/>
              <w:right w:val="single" w:sz="8" w:space="0" w:color="000000"/>
            </w:tcBorders>
            <w:shd w:val="clear" w:color="000000" w:fill="D9D9D9"/>
            <w:noWrap/>
            <w:vAlign w:val="center"/>
            <w:hideMark/>
          </w:tcPr>
          <w:p w14:paraId="7AC3A008"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xml:space="preserve">µg.g-1 </w:t>
            </w:r>
          </w:p>
        </w:tc>
      </w:tr>
      <w:tr w:rsidR="002C6D5E" w:rsidRPr="002C6D5E" w14:paraId="614BB713" w14:textId="77777777" w:rsidTr="002950AA">
        <w:trPr>
          <w:trHeight w:val="226"/>
        </w:trPr>
        <w:tc>
          <w:tcPr>
            <w:tcW w:w="1128" w:type="dxa"/>
            <w:vMerge w:val="restart"/>
            <w:tcBorders>
              <w:top w:val="nil"/>
              <w:left w:val="single" w:sz="8" w:space="0" w:color="auto"/>
              <w:right w:val="single" w:sz="4" w:space="0" w:color="auto"/>
            </w:tcBorders>
            <w:shd w:val="clear" w:color="auto" w:fill="auto"/>
            <w:noWrap/>
            <w:vAlign w:val="center"/>
            <w:hideMark/>
          </w:tcPr>
          <w:p w14:paraId="3A4AD917" w14:textId="2A8E4D5E" w:rsidR="002C6D5E" w:rsidRPr="002C6D5E" w:rsidRDefault="002C6D5E" w:rsidP="002950AA">
            <w:pPr>
              <w:spacing w:after="0" w:line="240" w:lineRule="auto"/>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LB10</w:t>
            </w:r>
          </w:p>
        </w:tc>
        <w:tc>
          <w:tcPr>
            <w:tcW w:w="799" w:type="dxa"/>
            <w:tcBorders>
              <w:top w:val="nil"/>
              <w:left w:val="nil"/>
              <w:bottom w:val="single" w:sz="4" w:space="0" w:color="auto"/>
              <w:right w:val="single" w:sz="4" w:space="0" w:color="auto"/>
            </w:tcBorders>
            <w:shd w:val="clear" w:color="auto" w:fill="auto"/>
            <w:noWrap/>
            <w:vAlign w:val="bottom"/>
            <w:hideMark/>
          </w:tcPr>
          <w:p w14:paraId="64772384"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6118</w:t>
            </w:r>
          </w:p>
        </w:tc>
        <w:tc>
          <w:tcPr>
            <w:tcW w:w="601" w:type="dxa"/>
            <w:tcBorders>
              <w:top w:val="nil"/>
              <w:left w:val="nil"/>
              <w:bottom w:val="single" w:sz="4" w:space="0" w:color="auto"/>
              <w:right w:val="single" w:sz="4" w:space="0" w:color="auto"/>
            </w:tcBorders>
            <w:shd w:val="clear" w:color="auto" w:fill="auto"/>
            <w:noWrap/>
            <w:vAlign w:val="bottom"/>
            <w:hideMark/>
          </w:tcPr>
          <w:p w14:paraId="499A68D4"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0.25</w:t>
            </w:r>
          </w:p>
        </w:tc>
        <w:tc>
          <w:tcPr>
            <w:tcW w:w="586" w:type="dxa"/>
            <w:tcBorders>
              <w:top w:val="nil"/>
              <w:left w:val="nil"/>
              <w:bottom w:val="single" w:sz="4" w:space="0" w:color="auto"/>
              <w:right w:val="single" w:sz="4" w:space="0" w:color="auto"/>
            </w:tcBorders>
            <w:shd w:val="clear" w:color="auto" w:fill="auto"/>
            <w:noWrap/>
            <w:vAlign w:val="bottom"/>
            <w:hideMark/>
          </w:tcPr>
          <w:p w14:paraId="43B459BE"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77.77</w:t>
            </w:r>
          </w:p>
        </w:tc>
        <w:tc>
          <w:tcPr>
            <w:tcW w:w="628" w:type="dxa"/>
            <w:tcBorders>
              <w:top w:val="nil"/>
              <w:left w:val="nil"/>
              <w:bottom w:val="single" w:sz="4" w:space="0" w:color="auto"/>
              <w:right w:val="single" w:sz="4" w:space="0" w:color="auto"/>
            </w:tcBorders>
            <w:shd w:val="clear" w:color="auto" w:fill="auto"/>
            <w:noWrap/>
            <w:vAlign w:val="bottom"/>
            <w:hideMark/>
          </w:tcPr>
          <w:p w14:paraId="78E3A7DC"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17443</w:t>
            </w:r>
          </w:p>
        </w:tc>
        <w:tc>
          <w:tcPr>
            <w:tcW w:w="712" w:type="dxa"/>
            <w:tcBorders>
              <w:top w:val="nil"/>
              <w:left w:val="nil"/>
              <w:bottom w:val="single" w:sz="4" w:space="0" w:color="auto"/>
              <w:right w:val="single" w:sz="4" w:space="0" w:color="auto"/>
            </w:tcBorders>
            <w:shd w:val="clear" w:color="auto" w:fill="auto"/>
            <w:noWrap/>
            <w:vAlign w:val="bottom"/>
            <w:hideMark/>
          </w:tcPr>
          <w:p w14:paraId="50AB9AF5"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3279</w:t>
            </w:r>
          </w:p>
        </w:tc>
        <w:tc>
          <w:tcPr>
            <w:tcW w:w="712" w:type="dxa"/>
            <w:tcBorders>
              <w:top w:val="nil"/>
              <w:left w:val="nil"/>
              <w:bottom w:val="single" w:sz="4" w:space="0" w:color="auto"/>
              <w:right w:val="single" w:sz="4" w:space="0" w:color="auto"/>
            </w:tcBorders>
            <w:shd w:val="clear" w:color="auto" w:fill="auto"/>
            <w:noWrap/>
            <w:vAlign w:val="bottom"/>
            <w:hideMark/>
          </w:tcPr>
          <w:p w14:paraId="6264828B"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96723</w:t>
            </w:r>
          </w:p>
        </w:tc>
        <w:tc>
          <w:tcPr>
            <w:tcW w:w="628" w:type="dxa"/>
            <w:tcBorders>
              <w:top w:val="nil"/>
              <w:left w:val="nil"/>
              <w:bottom w:val="single" w:sz="4" w:space="0" w:color="auto"/>
              <w:right w:val="single" w:sz="4" w:space="0" w:color="auto"/>
            </w:tcBorders>
            <w:shd w:val="clear" w:color="auto" w:fill="auto"/>
            <w:noWrap/>
            <w:vAlign w:val="bottom"/>
            <w:hideMark/>
          </w:tcPr>
          <w:p w14:paraId="44F0EAA8"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2133</w:t>
            </w:r>
          </w:p>
        </w:tc>
        <w:tc>
          <w:tcPr>
            <w:tcW w:w="543" w:type="dxa"/>
            <w:tcBorders>
              <w:top w:val="nil"/>
              <w:left w:val="nil"/>
              <w:bottom w:val="single" w:sz="4" w:space="0" w:color="auto"/>
              <w:right w:val="single" w:sz="4" w:space="0" w:color="auto"/>
            </w:tcBorders>
            <w:shd w:val="clear" w:color="auto" w:fill="auto"/>
            <w:noWrap/>
            <w:vAlign w:val="bottom"/>
            <w:hideMark/>
          </w:tcPr>
          <w:p w14:paraId="696718E7"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1105</w:t>
            </w:r>
          </w:p>
        </w:tc>
        <w:tc>
          <w:tcPr>
            <w:tcW w:w="513" w:type="dxa"/>
            <w:tcBorders>
              <w:top w:val="nil"/>
              <w:left w:val="nil"/>
              <w:bottom w:val="single" w:sz="4" w:space="0" w:color="auto"/>
              <w:right w:val="single" w:sz="4" w:space="0" w:color="auto"/>
            </w:tcBorders>
            <w:shd w:val="clear" w:color="auto" w:fill="auto"/>
            <w:noWrap/>
            <w:vAlign w:val="bottom"/>
            <w:hideMark/>
          </w:tcPr>
          <w:p w14:paraId="33334902"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5184AB91"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54.00</w:t>
            </w:r>
          </w:p>
        </w:tc>
        <w:tc>
          <w:tcPr>
            <w:tcW w:w="628" w:type="dxa"/>
            <w:tcBorders>
              <w:top w:val="nil"/>
              <w:left w:val="nil"/>
              <w:bottom w:val="single" w:sz="4" w:space="0" w:color="auto"/>
              <w:right w:val="single" w:sz="4" w:space="0" w:color="auto"/>
            </w:tcBorders>
            <w:shd w:val="clear" w:color="auto" w:fill="auto"/>
            <w:noWrap/>
            <w:vAlign w:val="bottom"/>
            <w:hideMark/>
          </w:tcPr>
          <w:p w14:paraId="69B6AB58"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66</w:t>
            </w:r>
          </w:p>
        </w:tc>
        <w:tc>
          <w:tcPr>
            <w:tcW w:w="513" w:type="dxa"/>
            <w:tcBorders>
              <w:top w:val="nil"/>
              <w:left w:val="nil"/>
              <w:bottom w:val="single" w:sz="4" w:space="0" w:color="auto"/>
              <w:right w:val="single" w:sz="4" w:space="0" w:color="auto"/>
            </w:tcBorders>
            <w:shd w:val="clear" w:color="auto" w:fill="auto"/>
            <w:noWrap/>
            <w:vAlign w:val="bottom"/>
            <w:hideMark/>
          </w:tcPr>
          <w:p w14:paraId="1FD84EB9"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4850DD6F"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r>
      <w:tr w:rsidR="002C6D5E" w:rsidRPr="002C6D5E" w14:paraId="0FE9CEA8" w14:textId="77777777" w:rsidTr="002950AA">
        <w:trPr>
          <w:trHeight w:val="226"/>
        </w:trPr>
        <w:tc>
          <w:tcPr>
            <w:tcW w:w="1128" w:type="dxa"/>
            <w:vMerge/>
            <w:tcBorders>
              <w:left w:val="single" w:sz="8" w:space="0" w:color="auto"/>
              <w:bottom w:val="single" w:sz="4" w:space="0" w:color="auto"/>
              <w:right w:val="single" w:sz="4" w:space="0" w:color="auto"/>
            </w:tcBorders>
            <w:shd w:val="clear" w:color="auto" w:fill="auto"/>
            <w:noWrap/>
            <w:vAlign w:val="center"/>
            <w:hideMark/>
          </w:tcPr>
          <w:p w14:paraId="30BB463F" w14:textId="091FE41E" w:rsidR="002C6D5E" w:rsidRPr="002C6D5E" w:rsidRDefault="002C6D5E" w:rsidP="002950AA">
            <w:pPr>
              <w:spacing w:after="0" w:line="240" w:lineRule="auto"/>
              <w:rPr>
                <w:rFonts w:eastAsia="Times New Roman" w:cs="Times New Roman"/>
                <w:color w:val="000000"/>
                <w:sz w:val="16"/>
                <w:szCs w:val="16"/>
                <w:lang w:val="en-GB" w:eastAsia="en-GB"/>
              </w:rPr>
            </w:pPr>
          </w:p>
        </w:tc>
        <w:tc>
          <w:tcPr>
            <w:tcW w:w="799" w:type="dxa"/>
            <w:tcBorders>
              <w:top w:val="nil"/>
              <w:left w:val="nil"/>
              <w:bottom w:val="single" w:sz="4" w:space="0" w:color="auto"/>
              <w:right w:val="single" w:sz="4" w:space="0" w:color="auto"/>
            </w:tcBorders>
            <w:shd w:val="clear" w:color="auto" w:fill="auto"/>
            <w:noWrap/>
            <w:vAlign w:val="bottom"/>
            <w:hideMark/>
          </w:tcPr>
          <w:p w14:paraId="1B829969" w14:textId="277F0C2F"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r>
              <w:rPr>
                <w:rFonts w:eastAsia="Times New Roman" w:cs="Times New Roman"/>
                <w:color w:val="000000"/>
                <w:sz w:val="16"/>
                <w:szCs w:val="16"/>
                <w:lang w:val="en-GB" w:eastAsia="en-GB"/>
              </w:rPr>
              <w:t>standard</w:t>
            </w:r>
          </w:p>
        </w:tc>
        <w:tc>
          <w:tcPr>
            <w:tcW w:w="601" w:type="dxa"/>
            <w:tcBorders>
              <w:top w:val="nil"/>
              <w:left w:val="nil"/>
              <w:bottom w:val="single" w:sz="4" w:space="0" w:color="auto"/>
              <w:right w:val="single" w:sz="4" w:space="0" w:color="auto"/>
            </w:tcBorders>
            <w:shd w:val="clear" w:color="auto" w:fill="auto"/>
            <w:noWrap/>
            <w:vAlign w:val="bottom"/>
            <w:hideMark/>
          </w:tcPr>
          <w:p w14:paraId="7C43FF4C"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0.21</w:t>
            </w:r>
          </w:p>
        </w:tc>
        <w:tc>
          <w:tcPr>
            <w:tcW w:w="586" w:type="dxa"/>
            <w:tcBorders>
              <w:top w:val="nil"/>
              <w:left w:val="nil"/>
              <w:bottom w:val="single" w:sz="4" w:space="0" w:color="auto"/>
              <w:right w:val="single" w:sz="4" w:space="0" w:color="auto"/>
            </w:tcBorders>
            <w:shd w:val="clear" w:color="auto" w:fill="auto"/>
            <w:noWrap/>
            <w:vAlign w:val="bottom"/>
            <w:hideMark/>
          </w:tcPr>
          <w:p w14:paraId="57A6029D"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75.00</w:t>
            </w:r>
          </w:p>
        </w:tc>
        <w:tc>
          <w:tcPr>
            <w:tcW w:w="628" w:type="dxa"/>
            <w:tcBorders>
              <w:top w:val="nil"/>
              <w:left w:val="nil"/>
              <w:bottom w:val="single" w:sz="4" w:space="0" w:color="auto"/>
              <w:right w:val="single" w:sz="4" w:space="0" w:color="auto"/>
            </w:tcBorders>
            <w:shd w:val="clear" w:color="auto" w:fill="auto"/>
            <w:noWrap/>
            <w:vAlign w:val="bottom"/>
            <w:hideMark/>
          </w:tcPr>
          <w:p w14:paraId="16BF328E"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18500</w:t>
            </w:r>
          </w:p>
        </w:tc>
        <w:tc>
          <w:tcPr>
            <w:tcW w:w="712" w:type="dxa"/>
            <w:tcBorders>
              <w:top w:val="nil"/>
              <w:left w:val="nil"/>
              <w:bottom w:val="single" w:sz="4" w:space="0" w:color="auto"/>
              <w:right w:val="single" w:sz="4" w:space="0" w:color="auto"/>
            </w:tcBorders>
            <w:shd w:val="clear" w:color="auto" w:fill="auto"/>
            <w:noWrap/>
            <w:vAlign w:val="bottom"/>
            <w:hideMark/>
          </w:tcPr>
          <w:p w14:paraId="40032C2E"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3200</w:t>
            </w:r>
          </w:p>
        </w:tc>
        <w:tc>
          <w:tcPr>
            <w:tcW w:w="712" w:type="dxa"/>
            <w:tcBorders>
              <w:top w:val="nil"/>
              <w:left w:val="nil"/>
              <w:bottom w:val="single" w:sz="4" w:space="0" w:color="auto"/>
              <w:right w:val="single" w:sz="4" w:space="0" w:color="auto"/>
            </w:tcBorders>
            <w:shd w:val="clear" w:color="auto" w:fill="auto"/>
            <w:noWrap/>
            <w:vAlign w:val="bottom"/>
            <w:hideMark/>
          </w:tcPr>
          <w:p w14:paraId="54C2BC33"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97000</w:t>
            </w:r>
          </w:p>
        </w:tc>
        <w:tc>
          <w:tcPr>
            <w:tcW w:w="628" w:type="dxa"/>
            <w:tcBorders>
              <w:top w:val="nil"/>
              <w:left w:val="nil"/>
              <w:bottom w:val="single" w:sz="4" w:space="0" w:color="auto"/>
              <w:right w:val="single" w:sz="4" w:space="0" w:color="auto"/>
            </w:tcBorders>
            <w:shd w:val="clear" w:color="auto" w:fill="auto"/>
            <w:noWrap/>
            <w:vAlign w:val="bottom"/>
            <w:hideMark/>
          </w:tcPr>
          <w:p w14:paraId="4DBAC20C"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2230</w:t>
            </w:r>
          </w:p>
        </w:tc>
        <w:tc>
          <w:tcPr>
            <w:tcW w:w="543" w:type="dxa"/>
            <w:tcBorders>
              <w:top w:val="nil"/>
              <w:left w:val="nil"/>
              <w:bottom w:val="single" w:sz="4" w:space="0" w:color="auto"/>
              <w:right w:val="single" w:sz="4" w:space="0" w:color="auto"/>
            </w:tcBorders>
            <w:shd w:val="clear" w:color="auto" w:fill="auto"/>
            <w:noWrap/>
            <w:vAlign w:val="bottom"/>
            <w:hideMark/>
          </w:tcPr>
          <w:p w14:paraId="10B3382E"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1120</w:t>
            </w:r>
          </w:p>
        </w:tc>
        <w:tc>
          <w:tcPr>
            <w:tcW w:w="513" w:type="dxa"/>
            <w:tcBorders>
              <w:top w:val="nil"/>
              <w:left w:val="nil"/>
              <w:bottom w:val="single" w:sz="4" w:space="0" w:color="auto"/>
              <w:right w:val="single" w:sz="4" w:space="0" w:color="auto"/>
            </w:tcBorders>
            <w:shd w:val="clear" w:color="auto" w:fill="auto"/>
            <w:noWrap/>
            <w:vAlign w:val="bottom"/>
            <w:hideMark/>
          </w:tcPr>
          <w:p w14:paraId="467EECD1"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0E4FD8EF"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w:t>
            </w:r>
          </w:p>
        </w:tc>
        <w:tc>
          <w:tcPr>
            <w:tcW w:w="628" w:type="dxa"/>
            <w:tcBorders>
              <w:top w:val="nil"/>
              <w:left w:val="nil"/>
              <w:bottom w:val="single" w:sz="4" w:space="0" w:color="auto"/>
              <w:right w:val="single" w:sz="4" w:space="0" w:color="auto"/>
            </w:tcBorders>
            <w:shd w:val="clear" w:color="auto" w:fill="auto"/>
            <w:noWrap/>
            <w:vAlign w:val="bottom"/>
            <w:hideMark/>
          </w:tcPr>
          <w:p w14:paraId="2841F57C"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w:t>
            </w:r>
          </w:p>
        </w:tc>
        <w:tc>
          <w:tcPr>
            <w:tcW w:w="513" w:type="dxa"/>
            <w:tcBorders>
              <w:top w:val="nil"/>
              <w:left w:val="nil"/>
              <w:bottom w:val="single" w:sz="4" w:space="0" w:color="auto"/>
              <w:right w:val="single" w:sz="4" w:space="0" w:color="auto"/>
            </w:tcBorders>
            <w:shd w:val="clear" w:color="auto" w:fill="auto"/>
            <w:noWrap/>
            <w:vAlign w:val="bottom"/>
            <w:hideMark/>
          </w:tcPr>
          <w:p w14:paraId="0573536B"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3453DA48"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w:t>
            </w:r>
          </w:p>
        </w:tc>
      </w:tr>
      <w:tr w:rsidR="002C6D5E" w:rsidRPr="002C6D5E" w14:paraId="00592D7C" w14:textId="77777777" w:rsidTr="002950AA">
        <w:trPr>
          <w:trHeight w:val="226"/>
        </w:trPr>
        <w:tc>
          <w:tcPr>
            <w:tcW w:w="1128" w:type="dxa"/>
            <w:vMerge w:val="restart"/>
            <w:tcBorders>
              <w:top w:val="nil"/>
              <w:left w:val="single" w:sz="8" w:space="0" w:color="auto"/>
              <w:right w:val="single" w:sz="4" w:space="0" w:color="auto"/>
            </w:tcBorders>
            <w:shd w:val="clear" w:color="auto" w:fill="auto"/>
            <w:noWrap/>
            <w:vAlign w:val="center"/>
            <w:hideMark/>
          </w:tcPr>
          <w:p w14:paraId="17A9B5FC" w14:textId="56E8583F" w:rsidR="002C6D5E" w:rsidRPr="002C6D5E" w:rsidRDefault="002C6D5E" w:rsidP="002950AA">
            <w:pPr>
              <w:spacing w:after="0" w:line="240" w:lineRule="auto"/>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GM4</w:t>
            </w:r>
          </w:p>
        </w:tc>
        <w:tc>
          <w:tcPr>
            <w:tcW w:w="799" w:type="dxa"/>
            <w:tcBorders>
              <w:top w:val="nil"/>
              <w:left w:val="nil"/>
              <w:bottom w:val="single" w:sz="4" w:space="0" w:color="auto"/>
              <w:right w:val="single" w:sz="4" w:space="0" w:color="auto"/>
            </w:tcBorders>
            <w:shd w:val="clear" w:color="auto" w:fill="auto"/>
            <w:noWrap/>
            <w:vAlign w:val="bottom"/>
            <w:hideMark/>
          </w:tcPr>
          <w:p w14:paraId="64B74BCD"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6119</w:t>
            </w:r>
          </w:p>
        </w:tc>
        <w:tc>
          <w:tcPr>
            <w:tcW w:w="601" w:type="dxa"/>
            <w:tcBorders>
              <w:top w:val="nil"/>
              <w:left w:val="nil"/>
              <w:bottom w:val="single" w:sz="4" w:space="0" w:color="auto"/>
              <w:right w:val="single" w:sz="4" w:space="0" w:color="auto"/>
            </w:tcBorders>
            <w:shd w:val="clear" w:color="auto" w:fill="auto"/>
            <w:noWrap/>
            <w:vAlign w:val="bottom"/>
            <w:hideMark/>
          </w:tcPr>
          <w:p w14:paraId="66E3EDB5"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86" w:type="dxa"/>
            <w:tcBorders>
              <w:top w:val="nil"/>
              <w:left w:val="nil"/>
              <w:bottom w:val="single" w:sz="4" w:space="0" w:color="auto"/>
              <w:right w:val="single" w:sz="4" w:space="0" w:color="auto"/>
            </w:tcBorders>
            <w:shd w:val="clear" w:color="auto" w:fill="auto"/>
            <w:noWrap/>
            <w:vAlign w:val="bottom"/>
            <w:hideMark/>
          </w:tcPr>
          <w:p w14:paraId="51232AB8"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83.66</w:t>
            </w:r>
          </w:p>
        </w:tc>
        <w:tc>
          <w:tcPr>
            <w:tcW w:w="628" w:type="dxa"/>
            <w:tcBorders>
              <w:top w:val="nil"/>
              <w:left w:val="nil"/>
              <w:bottom w:val="single" w:sz="4" w:space="0" w:color="auto"/>
              <w:right w:val="single" w:sz="4" w:space="0" w:color="auto"/>
            </w:tcBorders>
            <w:shd w:val="clear" w:color="auto" w:fill="auto"/>
            <w:noWrap/>
            <w:vAlign w:val="bottom"/>
            <w:hideMark/>
          </w:tcPr>
          <w:p w14:paraId="4D2AB93F"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19156</w:t>
            </w:r>
          </w:p>
        </w:tc>
        <w:tc>
          <w:tcPr>
            <w:tcW w:w="712" w:type="dxa"/>
            <w:tcBorders>
              <w:top w:val="nil"/>
              <w:left w:val="nil"/>
              <w:bottom w:val="single" w:sz="4" w:space="0" w:color="auto"/>
              <w:right w:val="single" w:sz="4" w:space="0" w:color="auto"/>
            </w:tcBorders>
            <w:shd w:val="clear" w:color="auto" w:fill="auto"/>
            <w:noWrap/>
            <w:vAlign w:val="bottom"/>
            <w:hideMark/>
          </w:tcPr>
          <w:p w14:paraId="7B118F02"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68496</w:t>
            </w:r>
          </w:p>
        </w:tc>
        <w:tc>
          <w:tcPr>
            <w:tcW w:w="712" w:type="dxa"/>
            <w:tcBorders>
              <w:top w:val="nil"/>
              <w:left w:val="nil"/>
              <w:bottom w:val="single" w:sz="4" w:space="0" w:color="auto"/>
              <w:right w:val="single" w:sz="4" w:space="0" w:color="auto"/>
            </w:tcBorders>
            <w:shd w:val="clear" w:color="auto" w:fill="auto"/>
            <w:noWrap/>
            <w:vAlign w:val="bottom"/>
            <w:hideMark/>
          </w:tcPr>
          <w:p w14:paraId="6BA839DB"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24788</w:t>
            </w:r>
          </w:p>
        </w:tc>
        <w:tc>
          <w:tcPr>
            <w:tcW w:w="628" w:type="dxa"/>
            <w:tcBorders>
              <w:top w:val="nil"/>
              <w:left w:val="nil"/>
              <w:bottom w:val="single" w:sz="4" w:space="0" w:color="auto"/>
              <w:right w:val="single" w:sz="4" w:space="0" w:color="auto"/>
            </w:tcBorders>
            <w:shd w:val="clear" w:color="auto" w:fill="auto"/>
            <w:noWrap/>
            <w:vAlign w:val="bottom"/>
            <w:hideMark/>
          </w:tcPr>
          <w:p w14:paraId="2FC089C2"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208</w:t>
            </w:r>
          </w:p>
        </w:tc>
        <w:tc>
          <w:tcPr>
            <w:tcW w:w="543" w:type="dxa"/>
            <w:tcBorders>
              <w:top w:val="nil"/>
              <w:left w:val="nil"/>
              <w:bottom w:val="single" w:sz="4" w:space="0" w:color="auto"/>
              <w:right w:val="single" w:sz="4" w:space="0" w:color="auto"/>
            </w:tcBorders>
            <w:shd w:val="clear" w:color="auto" w:fill="auto"/>
            <w:noWrap/>
            <w:vAlign w:val="bottom"/>
            <w:hideMark/>
          </w:tcPr>
          <w:p w14:paraId="0871B36B"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416</w:t>
            </w:r>
          </w:p>
        </w:tc>
        <w:tc>
          <w:tcPr>
            <w:tcW w:w="513" w:type="dxa"/>
            <w:tcBorders>
              <w:top w:val="nil"/>
              <w:left w:val="nil"/>
              <w:bottom w:val="single" w:sz="4" w:space="0" w:color="auto"/>
              <w:right w:val="single" w:sz="4" w:space="0" w:color="auto"/>
            </w:tcBorders>
            <w:shd w:val="clear" w:color="auto" w:fill="auto"/>
            <w:noWrap/>
            <w:vAlign w:val="bottom"/>
            <w:hideMark/>
          </w:tcPr>
          <w:p w14:paraId="0CFCBE7B"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57242769"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3262.00</w:t>
            </w:r>
          </w:p>
        </w:tc>
        <w:tc>
          <w:tcPr>
            <w:tcW w:w="628" w:type="dxa"/>
            <w:tcBorders>
              <w:top w:val="nil"/>
              <w:left w:val="nil"/>
              <w:bottom w:val="single" w:sz="4" w:space="0" w:color="auto"/>
              <w:right w:val="single" w:sz="4" w:space="0" w:color="auto"/>
            </w:tcBorders>
            <w:shd w:val="clear" w:color="auto" w:fill="auto"/>
            <w:noWrap/>
            <w:vAlign w:val="bottom"/>
            <w:hideMark/>
          </w:tcPr>
          <w:p w14:paraId="2108BFDD"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59</w:t>
            </w:r>
          </w:p>
        </w:tc>
        <w:tc>
          <w:tcPr>
            <w:tcW w:w="513" w:type="dxa"/>
            <w:tcBorders>
              <w:top w:val="nil"/>
              <w:left w:val="nil"/>
              <w:bottom w:val="single" w:sz="4" w:space="0" w:color="auto"/>
              <w:right w:val="single" w:sz="4" w:space="0" w:color="auto"/>
            </w:tcBorders>
            <w:shd w:val="clear" w:color="auto" w:fill="auto"/>
            <w:noWrap/>
            <w:vAlign w:val="bottom"/>
            <w:hideMark/>
          </w:tcPr>
          <w:p w14:paraId="67B53728"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2E11EA60"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121</w:t>
            </w:r>
          </w:p>
        </w:tc>
      </w:tr>
      <w:tr w:rsidR="002C6D5E" w:rsidRPr="002C6D5E" w14:paraId="0DE0B363" w14:textId="77777777" w:rsidTr="002950AA">
        <w:trPr>
          <w:trHeight w:val="226"/>
        </w:trPr>
        <w:tc>
          <w:tcPr>
            <w:tcW w:w="1128" w:type="dxa"/>
            <w:vMerge/>
            <w:tcBorders>
              <w:left w:val="single" w:sz="8" w:space="0" w:color="auto"/>
              <w:bottom w:val="single" w:sz="4" w:space="0" w:color="auto"/>
              <w:right w:val="single" w:sz="4" w:space="0" w:color="auto"/>
            </w:tcBorders>
            <w:shd w:val="clear" w:color="auto" w:fill="auto"/>
            <w:noWrap/>
            <w:vAlign w:val="center"/>
            <w:hideMark/>
          </w:tcPr>
          <w:p w14:paraId="7832A1E5" w14:textId="10B6FBD8" w:rsidR="002C6D5E" w:rsidRPr="002C6D5E" w:rsidRDefault="002C6D5E" w:rsidP="002950AA">
            <w:pPr>
              <w:spacing w:after="0" w:line="240" w:lineRule="auto"/>
              <w:rPr>
                <w:rFonts w:eastAsia="Times New Roman" w:cs="Times New Roman"/>
                <w:color w:val="000000"/>
                <w:sz w:val="16"/>
                <w:szCs w:val="16"/>
                <w:lang w:val="en-GB" w:eastAsia="en-GB"/>
              </w:rPr>
            </w:pPr>
          </w:p>
        </w:tc>
        <w:tc>
          <w:tcPr>
            <w:tcW w:w="799" w:type="dxa"/>
            <w:tcBorders>
              <w:top w:val="nil"/>
              <w:left w:val="nil"/>
              <w:bottom w:val="single" w:sz="4" w:space="0" w:color="auto"/>
              <w:right w:val="single" w:sz="4" w:space="0" w:color="auto"/>
            </w:tcBorders>
            <w:shd w:val="clear" w:color="auto" w:fill="auto"/>
            <w:noWrap/>
            <w:vAlign w:val="bottom"/>
            <w:hideMark/>
          </w:tcPr>
          <w:p w14:paraId="4979C2B5" w14:textId="50032886" w:rsidR="002C6D5E" w:rsidRPr="002C6D5E" w:rsidRDefault="002C6D5E" w:rsidP="002C6D5E">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standard</w:t>
            </w:r>
            <w:r w:rsidRPr="002C6D5E">
              <w:rPr>
                <w:rFonts w:eastAsia="Times New Roman" w:cs="Times New Roman"/>
                <w:color w:val="000000"/>
                <w:sz w:val="16"/>
                <w:szCs w:val="16"/>
                <w:lang w:val="en-GB" w:eastAsia="en-GB"/>
              </w:rPr>
              <w:t> </w:t>
            </w:r>
          </w:p>
        </w:tc>
        <w:tc>
          <w:tcPr>
            <w:tcW w:w="601" w:type="dxa"/>
            <w:tcBorders>
              <w:top w:val="nil"/>
              <w:left w:val="nil"/>
              <w:bottom w:val="single" w:sz="4" w:space="0" w:color="auto"/>
              <w:right w:val="single" w:sz="4" w:space="0" w:color="auto"/>
            </w:tcBorders>
            <w:shd w:val="clear" w:color="auto" w:fill="auto"/>
            <w:noWrap/>
            <w:vAlign w:val="bottom"/>
            <w:hideMark/>
          </w:tcPr>
          <w:p w14:paraId="5F2F6CFF"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0.05</w:t>
            </w:r>
          </w:p>
        </w:tc>
        <w:tc>
          <w:tcPr>
            <w:tcW w:w="586" w:type="dxa"/>
            <w:tcBorders>
              <w:top w:val="nil"/>
              <w:left w:val="nil"/>
              <w:bottom w:val="single" w:sz="4" w:space="0" w:color="auto"/>
              <w:right w:val="single" w:sz="4" w:space="0" w:color="auto"/>
            </w:tcBorders>
            <w:shd w:val="clear" w:color="auto" w:fill="auto"/>
            <w:noWrap/>
            <w:vAlign w:val="bottom"/>
            <w:hideMark/>
          </w:tcPr>
          <w:p w14:paraId="39756B46"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82.60</w:t>
            </w:r>
          </w:p>
        </w:tc>
        <w:tc>
          <w:tcPr>
            <w:tcW w:w="628" w:type="dxa"/>
            <w:tcBorders>
              <w:top w:val="nil"/>
              <w:left w:val="nil"/>
              <w:bottom w:val="single" w:sz="4" w:space="0" w:color="auto"/>
              <w:right w:val="single" w:sz="4" w:space="0" w:color="auto"/>
            </w:tcBorders>
            <w:shd w:val="clear" w:color="auto" w:fill="auto"/>
            <w:noWrap/>
            <w:vAlign w:val="bottom"/>
            <w:hideMark/>
          </w:tcPr>
          <w:p w14:paraId="68A120D6"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20500</w:t>
            </w:r>
          </w:p>
        </w:tc>
        <w:tc>
          <w:tcPr>
            <w:tcW w:w="712" w:type="dxa"/>
            <w:tcBorders>
              <w:top w:val="nil"/>
              <w:left w:val="nil"/>
              <w:bottom w:val="single" w:sz="4" w:space="0" w:color="auto"/>
              <w:right w:val="single" w:sz="4" w:space="0" w:color="auto"/>
            </w:tcBorders>
            <w:shd w:val="clear" w:color="auto" w:fill="auto"/>
            <w:noWrap/>
            <w:vAlign w:val="bottom"/>
            <w:hideMark/>
          </w:tcPr>
          <w:p w14:paraId="0875ABBB"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71700</w:t>
            </w:r>
          </w:p>
        </w:tc>
        <w:tc>
          <w:tcPr>
            <w:tcW w:w="712" w:type="dxa"/>
            <w:tcBorders>
              <w:top w:val="nil"/>
              <w:left w:val="nil"/>
              <w:bottom w:val="single" w:sz="4" w:space="0" w:color="auto"/>
              <w:right w:val="single" w:sz="4" w:space="0" w:color="auto"/>
            </w:tcBorders>
            <w:shd w:val="clear" w:color="auto" w:fill="auto"/>
            <w:noWrap/>
            <w:vAlign w:val="bottom"/>
            <w:hideMark/>
          </w:tcPr>
          <w:p w14:paraId="2549CD52"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25000</w:t>
            </w:r>
          </w:p>
        </w:tc>
        <w:tc>
          <w:tcPr>
            <w:tcW w:w="628" w:type="dxa"/>
            <w:tcBorders>
              <w:top w:val="nil"/>
              <w:left w:val="nil"/>
              <w:bottom w:val="single" w:sz="4" w:space="0" w:color="auto"/>
              <w:right w:val="single" w:sz="4" w:space="0" w:color="auto"/>
            </w:tcBorders>
            <w:shd w:val="clear" w:color="auto" w:fill="auto"/>
            <w:noWrap/>
            <w:vAlign w:val="bottom"/>
            <w:hideMark/>
          </w:tcPr>
          <w:p w14:paraId="1B5698F6"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210</w:t>
            </w:r>
          </w:p>
        </w:tc>
        <w:tc>
          <w:tcPr>
            <w:tcW w:w="543" w:type="dxa"/>
            <w:tcBorders>
              <w:top w:val="nil"/>
              <w:left w:val="nil"/>
              <w:bottom w:val="single" w:sz="4" w:space="0" w:color="auto"/>
              <w:right w:val="single" w:sz="4" w:space="0" w:color="auto"/>
            </w:tcBorders>
            <w:shd w:val="clear" w:color="auto" w:fill="auto"/>
            <w:noWrap/>
            <w:vAlign w:val="bottom"/>
            <w:hideMark/>
          </w:tcPr>
          <w:p w14:paraId="6436C47F"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420</w:t>
            </w:r>
          </w:p>
        </w:tc>
        <w:tc>
          <w:tcPr>
            <w:tcW w:w="513" w:type="dxa"/>
            <w:tcBorders>
              <w:top w:val="nil"/>
              <w:left w:val="nil"/>
              <w:bottom w:val="single" w:sz="4" w:space="0" w:color="auto"/>
              <w:right w:val="single" w:sz="4" w:space="0" w:color="auto"/>
            </w:tcBorders>
            <w:shd w:val="clear" w:color="auto" w:fill="auto"/>
            <w:noWrap/>
            <w:vAlign w:val="bottom"/>
            <w:hideMark/>
          </w:tcPr>
          <w:p w14:paraId="241D1FA5"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0C53B8D0"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w:t>
            </w:r>
          </w:p>
        </w:tc>
        <w:tc>
          <w:tcPr>
            <w:tcW w:w="628" w:type="dxa"/>
            <w:tcBorders>
              <w:top w:val="nil"/>
              <w:left w:val="nil"/>
              <w:bottom w:val="single" w:sz="4" w:space="0" w:color="auto"/>
              <w:right w:val="single" w:sz="4" w:space="0" w:color="auto"/>
            </w:tcBorders>
            <w:shd w:val="clear" w:color="auto" w:fill="auto"/>
            <w:noWrap/>
            <w:vAlign w:val="bottom"/>
            <w:hideMark/>
          </w:tcPr>
          <w:p w14:paraId="02E5BC10"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62</w:t>
            </w:r>
          </w:p>
        </w:tc>
        <w:tc>
          <w:tcPr>
            <w:tcW w:w="513" w:type="dxa"/>
            <w:tcBorders>
              <w:top w:val="nil"/>
              <w:left w:val="nil"/>
              <w:bottom w:val="single" w:sz="4" w:space="0" w:color="auto"/>
              <w:right w:val="single" w:sz="4" w:space="0" w:color="auto"/>
            </w:tcBorders>
            <w:shd w:val="clear" w:color="auto" w:fill="auto"/>
            <w:noWrap/>
            <w:vAlign w:val="bottom"/>
            <w:hideMark/>
          </w:tcPr>
          <w:p w14:paraId="426C63A4"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53375C67"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w:t>
            </w:r>
          </w:p>
        </w:tc>
      </w:tr>
      <w:tr w:rsidR="002C6D5E" w:rsidRPr="002C6D5E" w14:paraId="5B68914C" w14:textId="77777777" w:rsidTr="002950AA">
        <w:trPr>
          <w:trHeight w:val="226"/>
        </w:trPr>
        <w:tc>
          <w:tcPr>
            <w:tcW w:w="1128" w:type="dxa"/>
            <w:vMerge w:val="restart"/>
            <w:tcBorders>
              <w:top w:val="nil"/>
              <w:left w:val="single" w:sz="8" w:space="0" w:color="auto"/>
              <w:right w:val="single" w:sz="4" w:space="0" w:color="auto"/>
            </w:tcBorders>
            <w:shd w:val="clear" w:color="auto" w:fill="auto"/>
            <w:noWrap/>
            <w:vAlign w:val="center"/>
            <w:hideMark/>
          </w:tcPr>
          <w:p w14:paraId="004E99E3" w14:textId="5EFCDEDD" w:rsidR="002C6D5E" w:rsidRPr="002C6D5E" w:rsidRDefault="002C6D5E" w:rsidP="002950AA">
            <w:pPr>
              <w:spacing w:after="0" w:line="240" w:lineRule="auto"/>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SN7B</w:t>
            </w:r>
          </w:p>
        </w:tc>
        <w:tc>
          <w:tcPr>
            <w:tcW w:w="799" w:type="dxa"/>
            <w:tcBorders>
              <w:top w:val="nil"/>
              <w:left w:val="nil"/>
              <w:bottom w:val="single" w:sz="4" w:space="0" w:color="auto"/>
              <w:right w:val="single" w:sz="4" w:space="0" w:color="auto"/>
            </w:tcBorders>
            <w:shd w:val="clear" w:color="auto" w:fill="auto"/>
            <w:noWrap/>
            <w:vAlign w:val="bottom"/>
            <w:hideMark/>
          </w:tcPr>
          <w:p w14:paraId="6272406D"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6122</w:t>
            </w:r>
          </w:p>
        </w:tc>
        <w:tc>
          <w:tcPr>
            <w:tcW w:w="601" w:type="dxa"/>
            <w:tcBorders>
              <w:top w:val="nil"/>
              <w:left w:val="nil"/>
              <w:bottom w:val="single" w:sz="4" w:space="0" w:color="auto"/>
              <w:right w:val="single" w:sz="4" w:space="0" w:color="auto"/>
            </w:tcBorders>
            <w:shd w:val="clear" w:color="auto" w:fill="auto"/>
            <w:noWrap/>
            <w:vAlign w:val="bottom"/>
            <w:hideMark/>
          </w:tcPr>
          <w:p w14:paraId="541E80D2"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86" w:type="dxa"/>
            <w:tcBorders>
              <w:top w:val="nil"/>
              <w:left w:val="nil"/>
              <w:bottom w:val="single" w:sz="4" w:space="0" w:color="auto"/>
              <w:right w:val="single" w:sz="4" w:space="0" w:color="auto"/>
            </w:tcBorders>
            <w:shd w:val="clear" w:color="auto" w:fill="auto"/>
            <w:noWrap/>
            <w:vAlign w:val="bottom"/>
            <w:hideMark/>
          </w:tcPr>
          <w:p w14:paraId="3140DDBE"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84.77</w:t>
            </w:r>
          </w:p>
        </w:tc>
        <w:tc>
          <w:tcPr>
            <w:tcW w:w="628" w:type="dxa"/>
            <w:tcBorders>
              <w:top w:val="nil"/>
              <w:left w:val="nil"/>
              <w:bottom w:val="single" w:sz="4" w:space="0" w:color="auto"/>
              <w:right w:val="single" w:sz="4" w:space="0" w:color="auto"/>
            </w:tcBorders>
            <w:shd w:val="clear" w:color="auto" w:fill="auto"/>
            <w:noWrap/>
            <w:vAlign w:val="bottom"/>
            <w:hideMark/>
          </w:tcPr>
          <w:p w14:paraId="2087999E"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2938</w:t>
            </w:r>
          </w:p>
        </w:tc>
        <w:tc>
          <w:tcPr>
            <w:tcW w:w="712" w:type="dxa"/>
            <w:tcBorders>
              <w:top w:val="nil"/>
              <w:left w:val="nil"/>
              <w:bottom w:val="single" w:sz="4" w:space="0" w:color="auto"/>
              <w:right w:val="single" w:sz="4" w:space="0" w:color="auto"/>
            </w:tcBorders>
            <w:shd w:val="clear" w:color="auto" w:fill="auto"/>
            <w:noWrap/>
            <w:vAlign w:val="bottom"/>
            <w:hideMark/>
          </w:tcPr>
          <w:p w14:paraId="0D1D02D7"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11719</w:t>
            </w:r>
          </w:p>
        </w:tc>
        <w:tc>
          <w:tcPr>
            <w:tcW w:w="712" w:type="dxa"/>
            <w:tcBorders>
              <w:top w:val="nil"/>
              <w:left w:val="nil"/>
              <w:bottom w:val="single" w:sz="4" w:space="0" w:color="auto"/>
              <w:right w:val="single" w:sz="4" w:space="0" w:color="auto"/>
            </w:tcBorders>
            <w:shd w:val="clear" w:color="auto" w:fill="auto"/>
            <w:noWrap/>
            <w:vAlign w:val="bottom"/>
            <w:hideMark/>
          </w:tcPr>
          <w:p w14:paraId="2D02ADAD"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136237</w:t>
            </w:r>
          </w:p>
        </w:tc>
        <w:tc>
          <w:tcPr>
            <w:tcW w:w="628" w:type="dxa"/>
            <w:tcBorders>
              <w:top w:val="nil"/>
              <w:left w:val="nil"/>
              <w:bottom w:val="single" w:sz="4" w:space="0" w:color="auto"/>
              <w:right w:val="single" w:sz="4" w:space="0" w:color="auto"/>
            </w:tcBorders>
            <w:shd w:val="clear" w:color="auto" w:fill="auto"/>
            <w:noWrap/>
            <w:vAlign w:val="bottom"/>
            <w:hideMark/>
          </w:tcPr>
          <w:p w14:paraId="5ACD88D5"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11583</w:t>
            </w:r>
          </w:p>
        </w:tc>
        <w:tc>
          <w:tcPr>
            <w:tcW w:w="543" w:type="dxa"/>
            <w:tcBorders>
              <w:top w:val="nil"/>
              <w:left w:val="nil"/>
              <w:bottom w:val="single" w:sz="4" w:space="0" w:color="auto"/>
              <w:right w:val="single" w:sz="4" w:space="0" w:color="auto"/>
            </w:tcBorders>
            <w:shd w:val="clear" w:color="auto" w:fill="auto"/>
            <w:noWrap/>
            <w:vAlign w:val="bottom"/>
            <w:hideMark/>
          </w:tcPr>
          <w:p w14:paraId="1A073C0E"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2526</w:t>
            </w:r>
          </w:p>
        </w:tc>
        <w:tc>
          <w:tcPr>
            <w:tcW w:w="513" w:type="dxa"/>
            <w:tcBorders>
              <w:top w:val="nil"/>
              <w:left w:val="nil"/>
              <w:bottom w:val="single" w:sz="4" w:space="0" w:color="auto"/>
              <w:right w:val="single" w:sz="4" w:space="0" w:color="auto"/>
            </w:tcBorders>
            <w:shd w:val="clear" w:color="auto" w:fill="auto"/>
            <w:noWrap/>
            <w:vAlign w:val="bottom"/>
            <w:hideMark/>
          </w:tcPr>
          <w:p w14:paraId="2297B569"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31174C32"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3400.00</w:t>
            </w:r>
          </w:p>
        </w:tc>
        <w:tc>
          <w:tcPr>
            <w:tcW w:w="628" w:type="dxa"/>
            <w:tcBorders>
              <w:top w:val="nil"/>
              <w:left w:val="nil"/>
              <w:bottom w:val="single" w:sz="4" w:space="0" w:color="auto"/>
              <w:right w:val="single" w:sz="4" w:space="0" w:color="auto"/>
            </w:tcBorders>
            <w:shd w:val="clear" w:color="auto" w:fill="auto"/>
            <w:noWrap/>
            <w:vAlign w:val="bottom"/>
            <w:hideMark/>
          </w:tcPr>
          <w:p w14:paraId="65D2E5D7"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3259</w:t>
            </w:r>
          </w:p>
        </w:tc>
        <w:tc>
          <w:tcPr>
            <w:tcW w:w="513" w:type="dxa"/>
            <w:tcBorders>
              <w:top w:val="nil"/>
              <w:left w:val="nil"/>
              <w:bottom w:val="single" w:sz="4" w:space="0" w:color="auto"/>
              <w:right w:val="single" w:sz="4" w:space="0" w:color="auto"/>
            </w:tcBorders>
            <w:shd w:val="clear" w:color="auto" w:fill="auto"/>
            <w:noWrap/>
            <w:vAlign w:val="bottom"/>
            <w:hideMark/>
          </w:tcPr>
          <w:p w14:paraId="66C8547A"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2E5DB153"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734</w:t>
            </w:r>
          </w:p>
        </w:tc>
      </w:tr>
      <w:tr w:rsidR="002C6D5E" w:rsidRPr="002C6D5E" w14:paraId="5466FFB9" w14:textId="77777777" w:rsidTr="002950AA">
        <w:trPr>
          <w:trHeight w:val="226"/>
        </w:trPr>
        <w:tc>
          <w:tcPr>
            <w:tcW w:w="1128" w:type="dxa"/>
            <w:vMerge/>
            <w:tcBorders>
              <w:left w:val="single" w:sz="8" w:space="0" w:color="auto"/>
              <w:bottom w:val="single" w:sz="4" w:space="0" w:color="auto"/>
              <w:right w:val="single" w:sz="4" w:space="0" w:color="auto"/>
            </w:tcBorders>
            <w:shd w:val="clear" w:color="auto" w:fill="auto"/>
            <w:noWrap/>
            <w:vAlign w:val="center"/>
            <w:hideMark/>
          </w:tcPr>
          <w:p w14:paraId="559AE9C6" w14:textId="25FE9C8C" w:rsidR="002C6D5E" w:rsidRPr="002C6D5E" w:rsidRDefault="002C6D5E" w:rsidP="002950AA">
            <w:pPr>
              <w:spacing w:after="0" w:line="240" w:lineRule="auto"/>
              <w:rPr>
                <w:rFonts w:eastAsia="Times New Roman" w:cs="Times New Roman"/>
                <w:color w:val="000000"/>
                <w:sz w:val="16"/>
                <w:szCs w:val="16"/>
                <w:lang w:val="en-GB" w:eastAsia="en-GB"/>
              </w:rPr>
            </w:pPr>
          </w:p>
        </w:tc>
        <w:tc>
          <w:tcPr>
            <w:tcW w:w="799" w:type="dxa"/>
            <w:tcBorders>
              <w:top w:val="nil"/>
              <w:left w:val="nil"/>
              <w:bottom w:val="single" w:sz="4" w:space="0" w:color="auto"/>
              <w:right w:val="single" w:sz="4" w:space="0" w:color="auto"/>
            </w:tcBorders>
            <w:shd w:val="clear" w:color="auto" w:fill="auto"/>
            <w:noWrap/>
            <w:vAlign w:val="bottom"/>
            <w:hideMark/>
          </w:tcPr>
          <w:p w14:paraId="3307309D" w14:textId="24367CC7" w:rsidR="002C6D5E" w:rsidRPr="002C6D5E" w:rsidRDefault="002C6D5E" w:rsidP="002C6D5E">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standard</w:t>
            </w:r>
            <w:r w:rsidRPr="002C6D5E">
              <w:rPr>
                <w:rFonts w:eastAsia="Times New Roman" w:cs="Times New Roman"/>
                <w:color w:val="000000"/>
                <w:sz w:val="16"/>
                <w:szCs w:val="16"/>
                <w:lang w:val="en-GB" w:eastAsia="en-GB"/>
              </w:rPr>
              <w:t> </w:t>
            </w:r>
          </w:p>
        </w:tc>
        <w:tc>
          <w:tcPr>
            <w:tcW w:w="601" w:type="dxa"/>
            <w:tcBorders>
              <w:top w:val="nil"/>
              <w:left w:val="nil"/>
              <w:bottom w:val="single" w:sz="4" w:space="0" w:color="auto"/>
              <w:right w:val="single" w:sz="4" w:space="0" w:color="auto"/>
            </w:tcBorders>
            <w:shd w:val="clear" w:color="auto" w:fill="auto"/>
            <w:noWrap/>
            <w:vAlign w:val="bottom"/>
            <w:hideMark/>
          </w:tcPr>
          <w:p w14:paraId="35E0CF27"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0.04</w:t>
            </w:r>
          </w:p>
        </w:tc>
        <w:tc>
          <w:tcPr>
            <w:tcW w:w="586" w:type="dxa"/>
            <w:tcBorders>
              <w:top w:val="nil"/>
              <w:left w:val="nil"/>
              <w:bottom w:val="single" w:sz="4" w:space="0" w:color="auto"/>
              <w:right w:val="single" w:sz="4" w:space="0" w:color="auto"/>
            </w:tcBorders>
            <w:shd w:val="clear" w:color="auto" w:fill="auto"/>
            <w:noWrap/>
            <w:vAlign w:val="bottom"/>
            <w:hideMark/>
          </w:tcPr>
          <w:p w14:paraId="0C77D606"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81.21</w:t>
            </w:r>
          </w:p>
        </w:tc>
        <w:tc>
          <w:tcPr>
            <w:tcW w:w="628" w:type="dxa"/>
            <w:tcBorders>
              <w:top w:val="nil"/>
              <w:left w:val="nil"/>
              <w:bottom w:val="single" w:sz="4" w:space="0" w:color="auto"/>
              <w:right w:val="single" w:sz="4" w:space="0" w:color="auto"/>
            </w:tcBorders>
            <w:shd w:val="clear" w:color="auto" w:fill="auto"/>
            <w:noWrap/>
            <w:vAlign w:val="bottom"/>
            <w:hideMark/>
          </w:tcPr>
          <w:p w14:paraId="6C5A6943"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2760</w:t>
            </w:r>
          </w:p>
        </w:tc>
        <w:tc>
          <w:tcPr>
            <w:tcW w:w="712" w:type="dxa"/>
            <w:tcBorders>
              <w:top w:val="nil"/>
              <w:left w:val="nil"/>
              <w:bottom w:val="single" w:sz="4" w:space="0" w:color="auto"/>
              <w:right w:val="single" w:sz="4" w:space="0" w:color="auto"/>
            </w:tcBorders>
            <w:shd w:val="clear" w:color="auto" w:fill="auto"/>
            <w:noWrap/>
            <w:vAlign w:val="bottom"/>
            <w:hideMark/>
          </w:tcPr>
          <w:p w14:paraId="63851B4F"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11400</w:t>
            </w:r>
          </w:p>
        </w:tc>
        <w:tc>
          <w:tcPr>
            <w:tcW w:w="712" w:type="dxa"/>
            <w:tcBorders>
              <w:top w:val="nil"/>
              <w:left w:val="nil"/>
              <w:bottom w:val="single" w:sz="4" w:space="0" w:color="auto"/>
              <w:right w:val="single" w:sz="4" w:space="0" w:color="auto"/>
            </w:tcBorders>
            <w:shd w:val="clear" w:color="auto" w:fill="auto"/>
            <w:noWrap/>
            <w:vAlign w:val="bottom"/>
            <w:hideMark/>
          </w:tcPr>
          <w:p w14:paraId="04759C2A"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124500</w:t>
            </w:r>
          </w:p>
        </w:tc>
        <w:tc>
          <w:tcPr>
            <w:tcW w:w="628" w:type="dxa"/>
            <w:tcBorders>
              <w:top w:val="nil"/>
              <w:left w:val="nil"/>
              <w:bottom w:val="single" w:sz="4" w:space="0" w:color="auto"/>
              <w:right w:val="single" w:sz="4" w:space="0" w:color="auto"/>
            </w:tcBorders>
            <w:shd w:val="clear" w:color="auto" w:fill="auto"/>
            <w:noWrap/>
            <w:vAlign w:val="bottom"/>
            <w:hideMark/>
          </w:tcPr>
          <w:p w14:paraId="2EF4B167"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11300</w:t>
            </w:r>
          </w:p>
        </w:tc>
        <w:tc>
          <w:tcPr>
            <w:tcW w:w="543" w:type="dxa"/>
            <w:tcBorders>
              <w:top w:val="nil"/>
              <w:left w:val="nil"/>
              <w:bottom w:val="single" w:sz="4" w:space="0" w:color="auto"/>
              <w:right w:val="single" w:sz="4" w:space="0" w:color="auto"/>
            </w:tcBorders>
            <w:shd w:val="clear" w:color="auto" w:fill="auto"/>
            <w:noWrap/>
            <w:vAlign w:val="bottom"/>
            <w:hideMark/>
          </w:tcPr>
          <w:p w14:paraId="7C469475"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2350</w:t>
            </w:r>
          </w:p>
        </w:tc>
        <w:tc>
          <w:tcPr>
            <w:tcW w:w="513" w:type="dxa"/>
            <w:tcBorders>
              <w:top w:val="nil"/>
              <w:left w:val="nil"/>
              <w:bottom w:val="single" w:sz="4" w:space="0" w:color="auto"/>
              <w:right w:val="single" w:sz="4" w:space="0" w:color="auto"/>
            </w:tcBorders>
            <w:shd w:val="clear" w:color="auto" w:fill="auto"/>
            <w:noWrap/>
            <w:vAlign w:val="bottom"/>
            <w:hideMark/>
          </w:tcPr>
          <w:p w14:paraId="3ABA36C1"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14D35379"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3390.00</w:t>
            </w:r>
          </w:p>
        </w:tc>
        <w:tc>
          <w:tcPr>
            <w:tcW w:w="628" w:type="dxa"/>
            <w:tcBorders>
              <w:top w:val="nil"/>
              <w:left w:val="nil"/>
              <w:bottom w:val="single" w:sz="4" w:space="0" w:color="auto"/>
              <w:right w:val="single" w:sz="4" w:space="0" w:color="auto"/>
            </w:tcBorders>
            <w:shd w:val="clear" w:color="auto" w:fill="auto"/>
            <w:noWrap/>
            <w:vAlign w:val="bottom"/>
            <w:hideMark/>
          </w:tcPr>
          <w:p w14:paraId="0A35F5C5"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3280</w:t>
            </w:r>
          </w:p>
        </w:tc>
        <w:tc>
          <w:tcPr>
            <w:tcW w:w="513" w:type="dxa"/>
            <w:tcBorders>
              <w:top w:val="nil"/>
              <w:left w:val="nil"/>
              <w:bottom w:val="single" w:sz="4" w:space="0" w:color="auto"/>
              <w:right w:val="single" w:sz="4" w:space="0" w:color="auto"/>
            </w:tcBorders>
            <w:shd w:val="clear" w:color="auto" w:fill="auto"/>
            <w:noWrap/>
            <w:vAlign w:val="bottom"/>
            <w:hideMark/>
          </w:tcPr>
          <w:p w14:paraId="53222B81"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60EBE2C1" w14:textId="77777777" w:rsidR="002C6D5E" w:rsidRPr="002C6D5E" w:rsidRDefault="002C6D5E"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660</w:t>
            </w:r>
          </w:p>
        </w:tc>
      </w:tr>
      <w:tr w:rsidR="002950AA" w:rsidRPr="002C6D5E" w14:paraId="448F86F2" w14:textId="77777777" w:rsidTr="002950AA">
        <w:trPr>
          <w:trHeight w:val="226"/>
        </w:trPr>
        <w:tc>
          <w:tcPr>
            <w:tcW w:w="1128" w:type="dxa"/>
            <w:vMerge w:val="restart"/>
            <w:tcBorders>
              <w:top w:val="nil"/>
              <w:left w:val="single" w:sz="8" w:space="0" w:color="auto"/>
              <w:right w:val="single" w:sz="4" w:space="0" w:color="auto"/>
            </w:tcBorders>
            <w:shd w:val="clear" w:color="auto" w:fill="auto"/>
            <w:noWrap/>
            <w:vAlign w:val="center"/>
            <w:hideMark/>
          </w:tcPr>
          <w:p w14:paraId="0E6D2E7B" w14:textId="7B1E1691" w:rsidR="002950AA" w:rsidRPr="002C6D5E" w:rsidRDefault="002950AA" w:rsidP="002950AA">
            <w:pPr>
              <w:spacing w:after="0" w:line="240" w:lineRule="auto"/>
              <w:rPr>
                <w:rFonts w:eastAsia="Times New Roman" w:cs="Times New Roman"/>
                <w:sz w:val="16"/>
                <w:szCs w:val="16"/>
                <w:lang w:val="en-GB" w:eastAsia="en-GB"/>
              </w:rPr>
            </w:pPr>
            <w:r>
              <w:rPr>
                <w:rFonts w:eastAsia="Times New Roman" w:cs="Times New Roman"/>
                <w:sz w:val="16"/>
                <w:szCs w:val="16"/>
                <w:lang w:val="en-GB" w:eastAsia="en-GB"/>
              </w:rPr>
              <w:t>31X 7835.8 (MO8)</w:t>
            </w:r>
          </w:p>
        </w:tc>
        <w:tc>
          <w:tcPr>
            <w:tcW w:w="799" w:type="dxa"/>
            <w:tcBorders>
              <w:top w:val="nil"/>
              <w:left w:val="nil"/>
              <w:bottom w:val="single" w:sz="4" w:space="0" w:color="auto"/>
              <w:right w:val="single" w:sz="4" w:space="0" w:color="auto"/>
            </w:tcBorders>
            <w:shd w:val="clear" w:color="auto" w:fill="auto"/>
            <w:noWrap/>
            <w:vAlign w:val="bottom"/>
            <w:hideMark/>
          </w:tcPr>
          <w:p w14:paraId="0D9CE919"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6120</w:t>
            </w:r>
          </w:p>
        </w:tc>
        <w:tc>
          <w:tcPr>
            <w:tcW w:w="601" w:type="dxa"/>
            <w:tcBorders>
              <w:top w:val="nil"/>
              <w:left w:val="nil"/>
              <w:bottom w:val="single" w:sz="4" w:space="0" w:color="auto"/>
              <w:right w:val="single" w:sz="4" w:space="0" w:color="auto"/>
            </w:tcBorders>
            <w:shd w:val="clear" w:color="auto" w:fill="auto"/>
            <w:noWrap/>
            <w:vAlign w:val="bottom"/>
            <w:hideMark/>
          </w:tcPr>
          <w:p w14:paraId="57A71156"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 </w:t>
            </w:r>
          </w:p>
        </w:tc>
        <w:tc>
          <w:tcPr>
            <w:tcW w:w="586" w:type="dxa"/>
            <w:tcBorders>
              <w:top w:val="nil"/>
              <w:left w:val="nil"/>
              <w:bottom w:val="single" w:sz="4" w:space="0" w:color="auto"/>
              <w:right w:val="single" w:sz="4" w:space="0" w:color="auto"/>
            </w:tcBorders>
            <w:shd w:val="clear" w:color="auto" w:fill="auto"/>
            <w:noWrap/>
            <w:vAlign w:val="bottom"/>
            <w:hideMark/>
          </w:tcPr>
          <w:p w14:paraId="3F51055B"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69.98</w:t>
            </w:r>
          </w:p>
        </w:tc>
        <w:tc>
          <w:tcPr>
            <w:tcW w:w="628" w:type="dxa"/>
            <w:tcBorders>
              <w:top w:val="nil"/>
              <w:left w:val="nil"/>
              <w:bottom w:val="single" w:sz="4" w:space="0" w:color="auto"/>
              <w:right w:val="single" w:sz="4" w:space="0" w:color="auto"/>
            </w:tcBorders>
            <w:shd w:val="clear" w:color="auto" w:fill="auto"/>
            <w:noWrap/>
            <w:vAlign w:val="bottom"/>
            <w:hideMark/>
          </w:tcPr>
          <w:p w14:paraId="22474A3A"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1577</w:t>
            </w:r>
          </w:p>
        </w:tc>
        <w:tc>
          <w:tcPr>
            <w:tcW w:w="712" w:type="dxa"/>
            <w:tcBorders>
              <w:top w:val="nil"/>
              <w:left w:val="nil"/>
              <w:bottom w:val="single" w:sz="4" w:space="0" w:color="auto"/>
              <w:right w:val="single" w:sz="4" w:space="0" w:color="auto"/>
            </w:tcBorders>
            <w:shd w:val="clear" w:color="auto" w:fill="auto"/>
            <w:noWrap/>
            <w:vAlign w:val="bottom"/>
            <w:hideMark/>
          </w:tcPr>
          <w:p w14:paraId="23F76891"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251660</w:t>
            </w:r>
          </w:p>
        </w:tc>
        <w:tc>
          <w:tcPr>
            <w:tcW w:w="712" w:type="dxa"/>
            <w:tcBorders>
              <w:top w:val="nil"/>
              <w:left w:val="nil"/>
              <w:bottom w:val="single" w:sz="4" w:space="0" w:color="auto"/>
              <w:right w:val="single" w:sz="4" w:space="0" w:color="auto"/>
            </w:tcBorders>
            <w:shd w:val="clear" w:color="auto" w:fill="auto"/>
            <w:noWrap/>
            <w:vAlign w:val="bottom"/>
            <w:hideMark/>
          </w:tcPr>
          <w:p w14:paraId="65733FD1"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5033</w:t>
            </w:r>
          </w:p>
        </w:tc>
        <w:tc>
          <w:tcPr>
            <w:tcW w:w="628" w:type="dxa"/>
            <w:tcBorders>
              <w:top w:val="nil"/>
              <w:left w:val="nil"/>
              <w:bottom w:val="single" w:sz="4" w:space="0" w:color="auto"/>
              <w:right w:val="single" w:sz="4" w:space="0" w:color="auto"/>
            </w:tcBorders>
            <w:shd w:val="clear" w:color="auto" w:fill="auto"/>
            <w:noWrap/>
            <w:vAlign w:val="bottom"/>
            <w:hideMark/>
          </w:tcPr>
          <w:p w14:paraId="11641729"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1326</w:t>
            </w:r>
          </w:p>
        </w:tc>
        <w:tc>
          <w:tcPr>
            <w:tcW w:w="543" w:type="dxa"/>
            <w:tcBorders>
              <w:top w:val="nil"/>
              <w:left w:val="nil"/>
              <w:bottom w:val="single" w:sz="4" w:space="0" w:color="auto"/>
              <w:right w:val="single" w:sz="4" w:space="0" w:color="auto"/>
            </w:tcBorders>
            <w:shd w:val="clear" w:color="auto" w:fill="auto"/>
            <w:noWrap/>
            <w:vAlign w:val="bottom"/>
            <w:hideMark/>
          </w:tcPr>
          <w:p w14:paraId="47D93864"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1080</w:t>
            </w:r>
          </w:p>
        </w:tc>
        <w:tc>
          <w:tcPr>
            <w:tcW w:w="513" w:type="dxa"/>
            <w:tcBorders>
              <w:top w:val="nil"/>
              <w:left w:val="nil"/>
              <w:bottom w:val="single" w:sz="4" w:space="0" w:color="auto"/>
              <w:right w:val="single" w:sz="4" w:space="0" w:color="auto"/>
            </w:tcBorders>
            <w:shd w:val="clear" w:color="auto" w:fill="auto"/>
            <w:noWrap/>
            <w:vAlign w:val="bottom"/>
            <w:hideMark/>
          </w:tcPr>
          <w:p w14:paraId="73552C84"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2599BC24"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3136.00</w:t>
            </w:r>
          </w:p>
        </w:tc>
        <w:tc>
          <w:tcPr>
            <w:tcW w:w="628" w:type="dxa"/>
            <w:tcBorders>
              <w:top w:val="nil"/>
              <w:left w:val="nil"/>
              <w:bottom w:val="single" w:sz="4" w:space="0" w:color="auto"/>
              <w:right w:val="single" w:sz="4" w:space="0" w:color="auto"/>
            </w:tcBorders>
            <w:shd w:val="clear" w:color="auto" w:fill="auto"/>
            <w:noWrap/>
            <w:vAlign w:val="bottom"/>
            <w:hideMark/>
          </w:tcPr>
          <w:p w14:paraId="15D3720B"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4091</w:t>
            </w:r>
          </w:p>
        </w:tc>
        <w:tc>
          <w:tcPr>
            <w:tcW w:w="513" w:type="dxa"/>
            <w:tcBorders>
              <w:top w:val="nil"/>
              <w:left w:val="nil"/>
              <w:bottom w:val="single" w:sz="4" w:space="0" w:color="auto"/>
              <w:right w:val="single" w:sz="4" w:space="0" w:color="auto"/>
            </w:tcBorders>
            <w:shd w:val="clear" w:color="auto" w:fill="auto"/>
            <w:noWrap/>
            <w:vAlign w:val="bottom"/>
            <w:hideMark/>
          </w:tcPr>
          <w:p w14:paraId="6BCAD5FA"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5F7FCAAF"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r>
      <w:tr w:rsidR="002950AA" w:rsidRPr="002C6D5E" w14:paraId="4ABEF091" w14:textId="77777777" w:rsidTr="002950AA">
        <w:trPr>
          <w:trHeight w:val="226"/>
        </w:trPr>
        <w:tc>
          <w:tcPr>
            <w:tcW w:w="1128" w:type="dxa"/>
            <w:vMerge/>
            <w:tcBorders>
              <w:left w:val="single" w:sz="8" w:space="0" w:color="auto"/>
              <w:bottom w:val="single" w:sz="4" w:space="0" w:color="auto"/>
              <w:right w:val="single" w:sz="4" w:space="0" w:color="auto"/>
            </w:tcBorders>
            <w:shd w:val="clear" w:color="auto" w:fill="auto"/>
            <w:noWrap/>
            <w:vAlign w:val="center"/>
            <w:hideMark/>
          </w:tcPr>
          <w:p w14:paraId="5138D6EB" w14:textId="62A550EA" w:rsidR="002950AA" w:rsidRPr="002C6D5E" w:rsidRDefault="002950AA" w:rsidP="002950AA">
            <w:pPr>
              <w:spacing w:after="0" w:line="240" w:lineRule="auto"/>
              <w:rPr>
                <w:rFonts w:eastAsia="Times New Roman" w:cs="Times New Roman"/>
                <w:sz w:val="16"/>
                <w:szCs w:val="16"/>
                <w:lang w:val="en-GB" w:eastAsia="en-GB"/>
              </w:rPr>
            </w:pPr>
          </w:p>
        </w:tc>
        <w:tc>
          <w:tcPr>
            <w:tcW w:w="799" w:type="dxa"/>
            <w:tcBorders>
              <w:top w:val="nil"/>
              <w:left w:val="nil"/>
              <w:bottom w:val="single" w:sz="4" w:space="0" w:color="auto"/>
              <w:right w:val="single" w:sz="4" w:space="0" w:color="auto"/>
            </w:tcBorders>
            <w:shd w:val="clear" w:color="auto" w:fill="auto"/>
            <w:noWrap/>
            <w:vAlign w:val="bottom"/>
            <w:hideMark/>
          </w:tcPr>
          <w:p w14:paraId="0C99C985" w14:textId="595DA33A" w:rsidR="002950AA" w:rsidRPr="002C6D5E" w:rsidRDefault="002950AA" w:rsidP="002C6D5E">
            <w:pPr>
              <w:spacing w:after="0" w:line="240" w:lineRule="auto"/>
              <w:jc w:val="center"/>
              <w:rPr>
                <w:rFonts w:eastAsia="Times New Roman" w:cs="Times New Roman"/>
                <w:sz w:val="16"/>
                <w:szCs w:val="16"/>
                <w:lang w:val="en-GB" w:eastAsia="en-GB"/>
              </w:rPr>
            </w:pPr>
            <w:r>
              <w:rPr>
                <w:rFonts w:eastAsia="Times New Roman" w:cs="Times New Roman"/>
                <w:sz w:val="16"/>
                <w:szCs w:val="16"/>
                <w:lang w:val="en-GB" w:eastAsia="en-GB"/>
              </w:rPr>
              <w:t>standard</w:t>
            </w:r>
            <w:r w:rsidRPr="002C6D5E">
              <w:rPr>
                <w:rFonts w:eastAsia="Times New Roman" w:cs="Times New Roman"/>
                <w:sz w:val="16"/>
                <w:szCs w:val="16"/>
                <w:lang w:val="en-GB" w:eastAsia="en-GB"/>
              </w:rPr>
              <w:t> </w:t>
            </w:r>
          </w:p>
        </w:tc>
        <w:tc>
          <w:tcPr>
            <w:tcW w:w="601" w:type="dxa"/>
            <w:tcBorders>
              <w:top w:val="nil"/>
              <w:left w:val="nil"/>
              <w:bottom w:val="single" w:sz="4" w:space="0" w:color="auto"/>
              <w:right w:val="single" w:sz="4" w:space="0" w:color="auto"/>
            </w:tcBorders>
            <w:shd w:val="clear" w:color="auto" w:fill="auto"/>
            <w:noWrap/>
            <w:vAlign w:val="bottom"/>
            <w:hideMark/>
          </w:tcPr>
          <w:p w14:paraId="02D4A61F"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0.10</w:t>
            </w:r>
          </w:p>
        </w:tc>
        <w:tc>
          <w:tcPr>
            <w:tcW w:w="586" w:type="dxa"/>
            <w:tcBorders>
              <w:top w:val="nil"/>
              <w:left w:val="nil"/>
              <w:bottom w:val="single" w:sz="4" w:space="0" w:color="auto"/>
              <w:right w:val="single" w:sz="4" w:space="0" w:color="auto"/>
            </w:tcBorders>
            <w:shd w:val="clear" w:color="auto" w:fill="auto"/>
            <w:noWrap/>
            <w:vAlign w:val="bottom"/>
            <w:hideMark/>
          </w:tcPr>
          <w:p w14:paraId="32F5AC95"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69.93</w:t>
            </w:r>
          </w:p>
        </w:tc>
        <w:tc>
          <w:tcPr>
            <w:tcW w:w="628" w:type="dxa"/>
            <w:tcBorders>
              <w:top w:val="nil"/>
              <w:left w:val="nil"/>
              <w:bottom w:val="single" w:sz="4" w:space="0" w:color="auto"/>
              <w:right w:val="single" w:sz="4" w:space="0" w:color="auto"/>
            </w:tcBorders>
            <w:shd w:val="clear" w:color="auto" w:fill="auto"/>
            <w:noWrap/>
            <w:vAlign w:val="bottom"/>
            <w:hideMark/>
          </w:tcPr>
          <w:p w14:paraId="15EAA840"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1580</w:t>
            </w:r>
          </w:p>
        </w:tc>
        <w:tc>
          <w:tcPr>
            <w:tcW w:w="712" w:type="dxa"/>
            <w:tcBorders>
              <w:top w:val="nil"/>
              <w:left w:val="nil"/>
              <w:bottom w:val="single" w:sz="4" w:space="0" w:color="auto"/>
              <w:right w:val="single" w:sz="4" w:space="0" w:color="auto"/>
            </w:tcBorders>
            <w:shd w:val="clear" w:color="auto" w:fill="auto"/>
            <w:noWrap/>
            <w:vAlign w:val="bottom"/>
            <w:hideMark/>
          </w:tcPr>
          <w:p w14:paraId="66455ABE"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248300</w:t>
            </w:r>
          </w:p>
        </w:tc>
        <w:tc>
          <w:tcPr>
            <w:tcW w:w="712" w:type="dxa"/>
            <w:tcBorders>
              <w:top w:val="nil"/>
              <w:left w:val="nil"/>
              <w:bottom w:val="single" w:sz="4" w:space="0" w:color="auto"/>
              <w:right w:val="single" w:sz="4" w:space="0" w:color="auto"/>
            </w:tcBorders>
            <w:shd w:val="clear" w:color="auto" w:fill="auto"/>
            <w:noWrap/>
            <w:vAlign w:val="bottom"/>
            <w:hideMark/>
          </w:tcPr>
          <w:p w14:paraId="0DB70D68"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5160</w:t>
            </w:r>
          </w:p>
        </w:tc>
        <w:tc>
          <w:tcPr>
            <w:tcW w:w="628" w:type="dxa"/>
            <w:tcBorders>
              <w:top w:val="nil"/>
              <w:left w:val="nil"/>
              <w:bottom w:val="single" w:sz="4" w:space="0" w:color="auto"/>
              <w:right w:val="single" w:sz="4" w:space="0" w:color="auto"/>
            </w:tcBorders>
            <w:shd w:val="clear" w:color="auto" w:fill="auto"/>
            <w:noWrap/>
            <w:vAlign w:val="bottom"/>
            <w:hideMark/>
          </w:tcPr>
          <w:p w14:paraId="428A1537"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1430</w:t>
            </w:r>
          </w:p>
        </w:tc>
        <w:tc>
          <w:tcPr>
            <w:tcW w:w="543" w:type="dxa"/>
            <w:tcBorders>
              <w:top w:val="nil"/>
              <w:left w:val="nil"/>
              <w:bottom w:val="single" w:sz="4" w:space="0" w:color="auto"/>
              <w:right w:val="single" w:sz="4" w:space="0" w:color="auto"/>
            </w:tcBorders>
            <w:shd w:val="clear" w:color="auto" w:fill="auto"/>
            <w:noWrap/>
            <w:vAlign w:val="bottom"/>
            <w:hideMark/>
          </w:tcPr>
          <w:p w14:paraId="465CAEEE"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1150</w:t>
            </w:r>
          </w:p>
        </w:tc>
        <w:tc>
          <w:tcPr>
            <w:tcW w:w="513" w:type="dxa"/>
            <w:tcBorders>
              <w:top w:val="nil"/>
              <w:left w:val="nil"/>
              <w:bottom w:val="single" w:sz="4" w:space="0" w:color="auto"/>
              <w:right w:val="single" w:sz="4" w:space="0" w:color="auto"/>
            </w:tcBorders>
            <w:shd w:val="clear" w:color="auto" w:fill="auto"/>
            <w:noWrap/>
            <w:vAlign w:val="bottom"/>
            <w:hideMark/>
          </w:tcPr>
          <w:p w14:paraId="6CAFB308"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2B741A31" w14:textId="77777777" w:rsidR="002950AA" w:rsidRPr="002C6D5E" w:rsidRDefault="002950AA" w:rsidP="002C6D5E">
            <w:pPr>
              <w:spacing w:after="0" w:line="240" w:lineRule="auto"/>
              <w:jc w:val="center"/>
              <w:rPr>
                <w:rFonts w:eastAsia="Times New Roman" w:cs="Times New Roman"/>
                <w:sz w:val="16"/>
                <w:szCs w:val="16"/>
                <w:lang w:val="en-GB" w:eastAsia="en-GB"/>
              </w:rPr>
            </w:pPr>
            <w:r w:rsidRPr="002C6D5E">
              <w:rPr>
                <w:rFonts w:eastAsia="Times New Roman" w:cs="Times New Roman"/>
                <w:sz w:val="16"/>
                <w:szCs w:val="16"/>
                <w:lang w:val="en-GB" w:eastAsia="en-GB"/>
              </w:rPr>
              <w:t>3130.00</w:t>
            </w:r>
          </w:p>
        </w:tc>
        <w:tc>
          <w:tcPr>
            <w:tcW w:w="628" w:type="dxa"/>
            <w:tcBorders>
              <w:top w:val="nil"/>
              <w:left w:val="nil"/>
              <w:bottom w:val="single" w:sz="4" w:space="0" w:color="auto"/>
              <w:right w:val="single" w:sz="4" w:space="0" w:color="auto"/>
            </w:tcBorders>
            <w:shd w:val="clear" w:color="auto" w:fill="auto"/>
            <w:noWrap/>
            <w:vAlign w:val="bottom"/>
            <w:hideMark/>
          </w:tcPr>
          <w:p w14:paraId="201D8D04"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4630</w:t>
            </w:r>
          </w:p>
        </w:tc>
        <w:tc>
          <w:tcPr>
            <w:tcW w:w="513" w:type="dxa"/>
            <w:tcBorders>
              <w:top w:val="nil"/>
              <w:left w:val="nil"/>
              <w:bottom w:val="single" w:sz="4" w:space="0" w:color="auto"/>
              <w:right w:val="single" w:sz="4" w:space="0" w:color="auto"/>
            </w:tcBorders>
            <w:shd w:val="clear" w:color="auto" w:fill="auto"/>
            <w:noWrap/>
            <w:vAlign w:val="bottom"/>
            <w:hideMark/>
          </w:tcPr>
          <w:p w14:paraId="28B7834F"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233531A9"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w:t>
            </w:r>
          </w:p>
        </w:tc>
      </w:tr>
      <w:tr w:rsidR="002950AA" w:rsidRPr="002C6D5E" w14:paraId="39F5247D" w14:textId="77777777" w:rsidTr="002950AA">
        <w:trPr>
          <w:trHeight w:val="226"/>
        </w:trPr>
        <w:tc>
          <w:tcPr>
            <w:tcW w:w="1128" w:type="dxa"/>
            <w:vMerge w:val="restart"/>
            <w:tcBorders>
              <w:top w:val="nil"/>
              <w:left w:val="single" w:sz="8" w:space="0" w:color="auto"/>
              <w:right w:val="single" w:sz="4" w:space="0" w:color="auto"/>
            </w:tcBorders>
            <w:shd w:val="clear" w:color="auto" w:fill="auto"/>
            <w:noWrap/>
            <w:vAlign w:val="center"/>
            <w:hideMark/>
          </w:tcPr>
          <w:p w14:paraId="1A1FD228" w14:textId="5A41C018" w:rsidR="002950AA" w:rsidRPr="002C6D5E" w:rsidRDefault="002950AA" w:rsidP="002950AA">
            <w:pPr>
              <w:spacing w:after="0" w:line="240" w:lineRule="auto"/>
              <w:rPr>
                <w:rFonts w:eastAsia="Times New Roman" w:cs="Times New Roman"/>
                <w:color w:val="000000"/>
                <w:sz w:val="16"/>
                <w:szCs w:val="16"/>
                <w:lang w:val="en-GB" w:eastAsia="en-GB"/>
              </w:rPr>
            </w:pPr>
            <w:r>
              <w:rPr>
                <w:rFonts w:eastAsia="Times New Roman" w:cs="Times New Roman"/>
                <w:color w:val="000000"/>
                <w:sz w:val="16"/>
                <w:szCs w:val="16"/>
                <w:lang w:val="en-GB" w:eastAsia="en-GB"/>
              </w:rPr>
              <w:t>31X 7835.9 (MO9)</w:t>
            </w:r>
          </w:p>
        </w:tc>
        <w:tc>
          <w:tcPr>
            <w:tcW w:w="799" w:type="dxa"/>
            <w:tcBorders>
              <w:top w:val="nil"/>
              <w:left w:val="nil"/>
              <w:bottom w:val="single" w:sz="4" w:space="0" w:color="auto"/>
              <w:right w:val="single" w:sz="4" w:space="0" w:color="auto"/>
            </w:tcBorders>
            <w:shd w:val="clear" w:color="auto" w:fill="auto"/>
            <w:noWrap/>
            <w:vAlign w:val="bottom"/>
            <w:hideMark/>
          </w:tcPr>
          <w:p w14:paraId="51CDF616"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6121</w:t>
            </w:r>
          </w:p>
        </w:tc>
        <w:tc>
          <w:tcPr>
            <w:tcW w:w="601" w:type="dxa"/>
            <w:tcBorders>
              <w:top w:val="nil"/>
              <w:left w:val="nil"/>
              <w:bottom w:val="single" w:sz="4" w:space="0" w:color="auto"/>
              <w:right w:val="single" w:sz="4" w:space="0" w:color="auto"/>
            </w:tcBorders>
            <w:shd w:val="clear" w:color="auto" w:fill="auto"/>
            <w:noWrap/>
            <w:vAlign w:val="bottom"/>
            <w:hideMark/>
          </w:tcPr>
          <w:p w14:paraId="6566949D"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0.47</w:t>
            </w:r>
          </w:p>
        </w:tc>
        <w:tc>
          <w:tcPr>
            <w:tcW w:w="586" w:type="dxa"/>
            <w:tcBorders>
              <w:top w:val="nil"/>
              <w:left w:val="nil"/>
              <w:bottom w:val="single" w:sz="4" w:space="0" w:color="auto"/>
              <w:right w:val="single" w:sz="4" w:space="0" w:color="auto"/>
            </w:tcBorders>
            <w:shd w:val="clear" w:color="auto" w:fill="auto"/>
            <w:noWrap/>
            <w:vAlign w:val="bottom"/>
            <w:hideMark/>
          </w:tcPr>
          <w:p w14:paraId="2B603715"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80.68</w:t>
            </w:r>
          </w:p>
        </w:tc>
        <w:tc>
          <w:tcPr>
            <w:tcW w:w="628" w:type="dxa"/>
            <w:tcBorders>
              <w:top w:val="nil"/>
              <w:left w:val="nil"/>
              <w:bottom w:val="single" w:sz="4" w:space="0" w:color="auto"/>
              <w:right w:val="single" w:sz="4" w:space="0" w:color="auto"/>
            </w:tcBorders>
            <w:shd w:val="clear" w:color="auto" w:fill="auto"/>
            <w:noWrap/>
            <w:vAlign w:val="bottom"/>
            <w:hideMark/>
          </w:tcPr>
          <w:p w14:paraId="252DF79F"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1036</w:t>
            </w:r>
          </w:p>
        </w:tc>
        <w:tc>
          <w:tcPr>
            <w:tcW w:w="712" w:type="dxa"/>
            <w:tcBorders>
              <w:top w:val="nil"/>
              <w:left w:val="nil"/>
              <w:bottom w:val="single" w:sz="4" w:space="0" w:color="auto"/>
              <w:right w:val="single" w:sz="4" w:space="0" w:color="auto"/>
            </w:tcBorders>
            <w:shd w:val="clear" w:color="auto" w:fill="auto"/>
            <w:noWrap/>
            <w:vAlign w:val="bottom"/>
            <w:hideMark/>
          </w:tcPr>
          <w:p w14:paraId="6F81642D"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143535</w:t>
            </w:r>
          </w:p>
        </w:tc>
        <w:tc>
          <w:tcPr>
            <w:tcW w:w="712" w:type="dxa"/>
            <w:tcBorders>
              <w:top w:val="nil"/>
              <w:left w:val="nil"/>
              <w:bottom w:val="single" w:sz="4" w:space="0" w:color="auto"/>
              <w:right w:val="single" w:sz="4" w:space="0" w:color="auto"/>
            </w:tcBorders>
            <w:shd w:val="clear" w:color="auto" w:fill="auto"/>
            <w:noWrap/>
            <w:vAlign w:val="bottom"/>
            <w:hideMark/>
          </w:tcPr>
          <w:p w14:paraId="51ED153F"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13958</w:t>
            </w:r>
          </w:p>
        </w:tc>
        <w:tc>
          <w:tcPr>
            <w:tcW w:w="628" w:type="dxa"/>
            <w:tcBorders>
              <w:top w:val="nil"/>
              <w:left w:val="nil"/>
              <w:bottom w:val="single" w:sz="4" w:space="0" w:color="auto"/>
              <w:right w:val="single" w:sz="4" w:space="0" w:color="auto"/>
            </w:tcBorders>
            <w:shd w:val="clear" w:color="auto" w:fill="auto"/>
            <w:noWrap/>
            <w:vAlign w:val="bottom"/>
            <w:hideMark/>
          </w:tcPr>
          <w:p w14:paraId="0F54F851"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1018</w:t>
            </w:r>
          </w:p>
        </w:tc>
        <w:tc>
          <w:tcPr>
            <w:tcW w:w="543" w:type="dxa"/>
            <w:tcBorders>
              <w:top w:val="nil"/>
              <w:left w:val="nil"/>
              <w:bottom w:val="single" w:sz="4" w:space="0" w:color="auto"/>
              <w:right w:val="single" w:sz="4" w:space="0" w:color="auto"/>
            </w:tcBorders>
            <w:shd w:val="clear" w:color="auto" w:fill="auto"/>
            <w:noWrap/>
            <w:vAlign w:val="bottom"/>
            <w:hideMark/>
          </w:tcPr>
          <w:p w14:paraId="49C6FA84"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3768</w:t>
            </w:r>
          </w:p>
        </w:tc>
        <w:tc>
          <w:tcPr>
            <w:tcW w:w="513" w:type="dxa"/>
            <w:tcBorders>
              <w:top w:val="nil"/>
              <w:left w:val="nil"/>
              <w:bottom w:val="single" w:sz="4" w:space="0" w:color="auto"/>
              <w:right w:val="single" w:sz="4" w:space="0" w:color="auto"/>
            </w:tcBorders>
            <w:shd w:val="clear" w:color="auto" w:fill="auto"/>
            <w:noWrap/>
            <w:vAlign w:val="bottom"/>
            <w:hideMark/>
          </w:tcPr>
          <w:p w14:paraId="7185718B"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4" w:space="0" w:color="auto"/>
              <w:right w:val="single" w:sz="4" w:space="0" w:color="auto"/>
            </w:tcBorders>
            <w:shd w:val="clear" w:color="auto" w:fill="auto"/>
            <w:noWrap/>
            <w:vAlign w:val="bottom"/>
            <w:hideMark/>
          </w:tcPr>
          <w:p w14:paraId="2761C84D"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818.00</w:t>
            </w:r>
          </w:p>
        </w:tc>
        <w:tc>
          <w:tcPr>
            <w:tcW w:w="628" w:type="dxa"/>
            <w:tcBorders>
              <w:top w:val="nil"/>
              <w:left w:val="nil"/>
              <w:bottom w:val="single" w:sz="4" w:space="0" w:color="auto"/>
              <w:right w:val="single" w:sz="4" w:space="0" w:color="auto"/>
            </w:tcBorders>
            <w:shd w:val="clear" w:color="auto" w:fill="auto"/>
            <w:noWrap/>
            <w:vAlign w:val="bottom"/>
            <w:hideMark/>
          </w:tcPr>
          <w:p w14:paraId="6D4DED8A"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17797</w:t>
            </w:r>
          </w:p>
        </w:tc>
        <w:tc>
          <w:tcPr>
            <w:tcW w:w="513" w:type="dxa"/>
            <w:tcBorders>
              <w:top w:val="nil"/>
              <w:left w:val="nil"/>
              <w:bottom w:val="single" w:sz="4" w:space="0" w:color="auto"/>
              <w:right w:val="single" w:sz="4" w:space="0" w:color="auto"/>
            </w:tcBorders>
            <w:shd w:val="clear" w:color="auto" w:fill="auto"/>
            <w:noWrap/>
            <w:vAlign w:val="bottom"/>
            <w:hideMark/>
          </w:tcPr>
          <w:p w14:paraId="619EB07B"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4" w:space="0" w:color="auto"/>
              <w:right w:val="single" w:sz="8" w:space="0" w:color="auto"/>
            </w:tcBorders>
            <w:shd w:val="clear" w:color="auto" w:fill="auto"/>
            <w:noWrap/>
            <w:vAlign w:val="bottom"/>
            <w:hideMark/>
          </w:tcPr>
          <w:p w14:paraId="1FE54783"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3605</w:t>
            </w:r>
          </w:p>
        </w:tc>
      </w:tr>
      <w:tr w:rsidR="002950AA" w:rsidRPr="002C6D5E" w14:paraId="7278B82E" w14:textId="77777777" w:rsidTr="00D1189F">
        <w:trPr>
          <w:trHeight w:val="238"/>
        </w:trPr>
        <w:tc>
          <w:tcPr>
            <w:tcW w:w="1128" w:type="dxa"/>
            <w:vMerge/>
            <w:tcBorders>
              <w:left w:val="single" w:sz="8" w:space="0" w:color="auto"/>
              <w:bottom w:val="single" w:sz="8" w:space="0" w:color="auto"/>
              <w:right w:val="single" w:sz="4" w:space="0" w:color="auto"/>
            </w:tcBorders>
            <w:shd w:val="clear" w:color="auto" w:fill="auto"/>
            <w:noWrap/>
            <w:vAlign w:val="bottom"/>
            <w:hideMark/>
          </w:tcPr>
          <w:p w14:paraId="0C859639" w14:textId="5DF6A5C1" w:rsidR="002950AA" w:rsidRPr="002C6D5E" w:rsidRDefault="002950AA" w:rsidP="002C6D5E">
            <w:pPr>
              <w:spacing w:after="0" w:line="240" w:lineRule="auto"/>
              <w:rPr>
                <w:rFonts w:eastAsia="Times New Roman" w:cs="Times New Roman"/>
                <w:color w:val="000000"/>
                <w:sz w:val="16"/>
                <w:szCs w:val="16"/>
                <w:lang w:val="en-GB" w:eastAsia="en-GB"/>
              </w:rPr>
            </w:pPr>
          </w:p>
        </w:tc>
        <w:tc>
          <w:tcPr>
            <w:tcW w:w="799" w:type="dxa"/>
            <w:tcBorders>
              <w:top w:val="nil"/>
              <w:left w:val="nil"/>
              <w:bottom w:val="single" w:sz="8" w:space="0" w:color="auto"/>
              <w:right w:val="single" w:sz="4" w:space="0" w:color="auto"/>
            </w:tcBorders>
            <w:shd w:val="clear" w:color="auto" w:fill="auto"/>
            <w:noWrap/>
            <w:vAlign w:val="bottom"/>
            <w:hideMark/>
          </w:tcPr>
          <w:p w14:paraId="7BE0AEC4" w14:textId="0DFBD214" w:rsidR="002950AA" w:rsidRPr="002C6D5E" w:rsidRDefault="002950AA" w:rsidP="002C6D5E">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standard</w:t>
            </w:r>
          </w:p>
        </w:tc>
        <w:tc>
          <w:tcPr>
            <w:tcW w:w="601" w:type="dxa"/>
            <w:tcBorders>
              <w:top w:val="nil"/>
              <w:left w:val="nil"/>
              <w:bottom w:val="single" w:sz="8" w:space="0" w:color="auto"/>
              <w:right w:val="single" w:sz="4" w:space="0" w:color="auto"/>
            </w:tcBorders>
            <w:shd w:val="clear" w:color="auto" w:fill="auto"/>
            <w:noWrap/>
            <w:vAlign w:val="bottom"/>
            <w:hideMark/>
          </w:tcPr>
          <w:p w14:paraId="759D9FE4"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0.41</w:t>
            </w:r>
          </w:p>
        </w:tc>
        <w:tc>
          <w:tcPr>
            <w:tcW w:w="586" w:type="dxa"/>
            <w:tcBorders>
              <w:top w:val="nil"/>
              <w:left w:val="nil"/>
              <w:bottom w:val="single" w:sz="8" w:space="0" w:color="auto"/>
              <w:right w:val="single" w:sz="4" w:space="0" w:color="auto"/>
            </w:tcBorders>
            <w:shd w:val="clear" w:color="auto" w:fill="auto"/>
            <w:noWrap/>
            <w:vAlign w:val="bottom"/>
            <w:hideMark/>
          </w:tcPr>
          <w:p w14:paraId="3B0BF66C"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78.48</w:t>
            </w:r>
          </w:p>
        </w:tc>
        <w:tc>
          <w:tcPr>
            <w:tcW w:w="628" w:type="dxa"/>
            <w:tcBorders>
              <w:top w:val="nil"/>
              <w:left w:val="nil"/>
              <w:bottom w:val="single" w:sz="8" w:space="0" w:color="auto"/>
              <w:right w:val="single" w:sz="4" w:space="0" w:color="auto"/>
            </w:tcBorders>
            <w:shd w:val="clear" w:color="auto" w:fill="auto"/>
            <w:noWrap/>
            <w:vAlign w:val="bottom"/>
            <w:hideMark/>
          </w:tcPr>
          <w:p w14:paraId="54F96C2B"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1000</w:t>
            </w:r>
          </w:p>
        </w:tc>
        <w:tc>
          <w:tcPr>
            <w:tcW w:w="712" w:type="dxa"/>
            <w:tcBorders>
              <w:top w:val="nil"/>
              <w:left w:val="nil"/>
              <w:bottom w:val="single" w:sz="8" w:space="0" w:color="auto"/>
              <w:right w:val="single" w:sz="4" w:space="0" w:color="auto"/>
            </w:tcBorders>
            <w:shd w:val="clear" w:color="auto" w:fill="auto"/>
            <w:noWrap/>
            <w:vAlign w:val="bottom"/>
            <w:hideMark/>
          </w:tcPr>
          <w:p w14:paraId="7FB78CC7"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143400</w:t>
            </w:r>
          </w:p>
        </w:tc>
        <w:tc>
          <w:tcPr>
            <w:tcW w:w="712" w:type="dxa"/>
            <w:tcBorders>
              <w:top w:val="nil"/>
              <w:left w:val="nil"/>
              <w:bottom w:val="single" w:sz="8" w:space="0" w:color="auto"/>
              <w:right w:val="single" w:sz="4" w:space="0" w:color="auto"/>
            </w:tcBorders>
            <w:shd w:val="clear" w:color="auto" w:fill="auto"/>
            <w:noWrap/>
            <w:vAlign w:val="bottom"/>
            <w:hideMark/>
          </w:tcPr>
          <w:p w14:paraId="3FA0A25B"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14800</w:t>
            </w:r>
          </w:p>
        </w:tc>
        <w:tc>
          <w:tcPr>
            <w:tcW w:w="628" w:type="dxa"/>
            <w:tcBorders>
              <w:top w:val="nil"/>
              <w:left w:val="nil"/>
              <w:bottom w:val="single" w:sz="8" w:space="0" w:color="auto"/>
              <w:right w:val="single" w:sz="4" w:space="0" w:color="auto"/>
            </w:tcBorders>
            <w:shd w:val="clear" w:color="auto" w:fill="auto"/>
            <w:noWrap/>
            <w:vAlign w:val="bottom"/>
            <w:hideMark/>
          </w:tcPr>
          <w:p w14:paraId="108164D6"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1070</w:t>
            </w:r>
          </w:p>
        </w:tc>
        <w:tc>
          <w:tcPr>
            <w:tcW w:w="543" w:type="dxa"/>
            <w:tcBorders>
              <w:top w:val="nil"/>
              <w:left w:val="nil"/>
              <w:bottom w:val="single" w:sz="8" w:space="0" w:color="auto"/>
              <w:right w:val="single" w:sz="4" w:space="0" w:color="auto"/>
            </w:tcBorders>
            <w:shd w:val="clear" w:color="auto" w:fill="auto"/>
            <w:noWrap/>
            <w:vAlign w:val="bottom"/>
            <w:hideMark/>
          </w:tcPr>
          <w:p w14:paraId="4F062F2C"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4450</w:t>
            </w:r>
          </w:p>
        </w:tc>
        <w:tc>
          <w:tcPr>
            <w:tcW w:w="513" w:type="dxa"/>
            <w:tcBorders>
              <w:top w:val="nil"/>
              <w:left w:val="nil"/>
              <w:bottom w:val="single" w:sz="8" w:space="0" w:color="auto"/>
              <w:right w:val="single" w:sz="4" w:space="0" w:color="auto"/>
            </w:tcBorders>
            <w:shd w:val="clear" w:color="auto" w:fill="auto"/>
            <w:noWrap/>
            <w:vAlign w:val="bottom"/>
            <w:hideMark/>
          </w:tcPr>
          <w:p w14:paraId="3B4C8520"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755" w:type="dxa"/>
            <w:tcBorders>
              <w:top w:val="nil"/>
              <w:left w:val="nil"/>
              <w:bottom w:val="single" w:sz="8" w:space="0" w:color="auto"/>
              <w:right w:val="single" w:sz="4" w:space="0" w:color="auto"/>
            </w:tcBorders>
            <w:shd w:val="clear" w:color="auto" w:fill="auto"/>
            <w:noWrap/>
            <w:vAlign w:val="bottom"/>
            <w:hideMark/>
          </w:tcPr>
          <w:p w14:paraId="019BE3D0"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813.00</w:t>
            </w:r>
          </w:p>
        </w:tc>
        <w:tc>
          <w:tcPr>
            <w:tcW w:w="628" w:type="dxa"/>
            <w:tcBorders>
              <w:top w:val="nil"/>
              <w:left w:val="nil"/>
              <w:bottom w:val="single" w:sz="8" w:space="0" w:color="auto"/>
              <w:right w:val="single" w:sz="4" w:space="0" w:color="auto"/>
            </w:tcBorders>
            <w:shd w:val="clear" w:color="auto" w:fill="auto"/>
            <w:noWrap/>
            <w:vAlign w:val="bottom"/>
            <w:hideMark/>
          </w:tcPr>
          <w:p w14:paraId="547F451B"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21200</w:t>
            </w:r>
          </w:p>
        </w:tc>
        <w:tc>
          <w:tcPr>
            <w:tcW w:w="513" w:type="dxa"/>
            <w:tcBorders>
              <w:top w:val="nil"/>
              <w:left w:val="nil"/>
              <w:bottom w:val="single" w:sz="8" w:space="0" w:color="auto"/>
              <w:right w:val="single" w:sz="4" w:space="0" w:color="auto"/>
            </w:tcBorders>
            <w:shd w:val="clear" w:color="auto" w:fill="auto"/>
            <w:noWrap/>
            <w:vAlign w:val="bottom"/>
            <w:hideMark/>
          </w:tcPr>
          <w:p w14:paraId="318AEC89"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 </w:t>
            </w:r>
          </w:p>
        </w:tc>
        <w:tc>
          <w:tcPr>
            <w:tcW w:w="552" w:type="dxa"/>
            <w:tcBorders>
              <w:top w:val="nil"/>
              <w:left w:val="nil"/>
              <w:bottom w:val="single" w:sz="8" w:space="0" w:color="auto"/>
              <w:right w:val="single" w:sz="8" w:space="0" w:color="auto"/>
            </w:tcBorders>
            <w:shd w:val="clear" w:color="auto" w:fill="auto"/>
            <w:noWrap/>
            <w:vAlign w:val="bottom"/>
            <w:hideMark/>
          </w:tcPr>
          <w:p w14:paraId="39A10CE6" w14:textId="77777777" w:rsidR="002950AA" w:rsidRPr="002C6D5E" w:rsidRDefault="002950AA" w:rsidP="002C6D5E">
            <w:pPr>
              <w:spacing w:after="0" w:line="240" w:lineRule="auto"/>
              <w:jc w:val="center"/>
              <w:rPr>
                <w:rFonts w:eastAsia="Times New Roman" w:cs="Times New Roman"/>
                <w:color w:val="000000"/>
                <w:sz w:val="16"/>
                <w:szCs w:val="16"/>
                <w:lang w:val="en-GB" w:eastAsia="en-GB"/>
              </w:rPr>
            </w:pPr>
            <w:r w:rsidRPr="002C6D5E">
              <w:rPr>
                <w:rFonts w:eastAsia="Times New Roman" w:cs="Times New Roman"/>
                <w:color w:val="000000"/>
                <w:sz w:val="16"/>
                <w:szCs w:val="16"/>
                <w:lang w:val="en-GB" w:eastAsia="en-GB"/>
              </w:rPr>
              <w:t>3400</w:t>
            </w:r>
          </w:p>
        </w:tc>
      </w:tr>
    </w:tbl>
    <w:p w14:paraId="41421F85" w14:textId="77777777" w:rsidR="002C6D5E" w:rsidRPr="00280E4D" w:rsidRDefault="002C6D5E" w:rsidP="002C6D5E">
      <w:pPr>
        <w:rPr>
          <w:lang w:val="en-GB"/>
        </w:rPr>
      </w:pPr>
    </w:p>
    <w:sectPr w:rsidR="002C6D5E" w:rsidRPr="00280E4D" w:rsidSect="00A565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898E24" w16cid:durableId="295E0EA9"/>
  <w16cid:commentId w16cid:paraId="051EC02A" w16cid:durableId="295E0EE5"/>
  <w16cid:commentId w16cid:paraId="07BED0DF" w16cid:durableId="295E0F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82157"/>
    <w:multiLevelType w:val="multilevel"/>
    <w:tmpl w:val="0809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74"/>
    <w:rsid w:val="00061A81"/>
    <w:rsid w:val="000F648A"/>
    <w:rsid w:val="000F79E4"/>
    <w:rsid w:val="001E2C02"/>
    <w:rsid w:val="001E2C4F"/>
    <w:rsid w:val="00280E4D"/>
    <w:rsid w:val="002950AA"/>
    <w:rsid w:val="002C6D5E"/>
    <w:rsid w:val="002F2574"/>
    <w:rsid w:val="0034772B"/>
    <w:rsid w:val="00366262"/>
    <w:rsid w:val="00390716"/>
    <w:rsid w:val="003F4589"/>
    <w:rsid w:val="00476E7B"/>
    <w:rsid w:val="004A470B"/>
    <w:rsid w:val="004B35E7"/>
    <w:rsid w:val="005F13C3"/>
    <w:rsid w:val="006A3D2A"/>
    <w:rsid w:val="00734735"/>
    <w:rsid w:val="00775C62"/>
    <w:rsid w:val="00967DA1"/>
    <w:rsid w:val="00A56427"/>
    <w:rsid w:val="00A56510"/>
    <w:rsid w:val="00AB2ED0"/>
    <w:rsid w:val="00BC3D8E"/>
    <w:rsid w:val="00BD7D20"/>
    <w:rsid w:val="00C97127"/>
    <w:rsid w:val="00CA4382"/>
    <w:rsid w:val="00CD0E6F"/>
    <w:rsid w:val="00D323AA"/>
    <w:rsid w:val="00D57F78"/>
    <w:rsid w:val="00DF48DA"/>
    <w:rsid w:val="00E261D6"/>
    <w:rsid w:val="00E42AD1"/>
    <w:rsid w:val="00ED61B5"/>
    <w:rsid w:val="00F95921"/>
    <w:rsid w:val="00FE44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A658"/>
  <w15:chartTrackingRefBased/>
  <w15:docId w15:val="{7D289ADA-C55E-46CC-AFDE-B665E559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A470B"/>
    <w:pPr>
      <w:spacing w:after="120" w:line="360" w:lineRule="auto"/>
    </w:pPr>
    <w:rPr>
      <w:rFonts w:ascii="Times New Roman" w:hAnsi="Times New Roman"/>
      <w:lang w:val="cs-CZ"/>
    </w:rPr>
  </w:style>
  <w:style w:type="paragraph" w:styleId="Nadpis1">
    <w:name w:val="heading 1"/>
    <w:basedOn w:val="Normln"/>
    <w:next w:val="Normln"/>
    <w:link w:val="Nadpis1Char"/>
    <w:uiPriority w:val="9"/>
    <w:qFormat/>
    <w:rsid w:val="00E261D6"/>
    <w:pPr>
      <w:keepNext/>
      <w:keepLines/>
      <w:numPr>
        <w:numId w:val="1"/>
      </w:numPr>
      <w:spacing w:before="240" w:after="0"/>
      <w:outlineLvl w:val="0"/>
    </w:pPr>
    <w:rPr>
      <w:rFonts w:eastAsiaTheme="majorEastAsia" w:cstheme="majorBidi"/>
      <w:b/>
      <w:sz w:val="28"/>
      <w:szCs w:val="32"/>
    </w:rPr>
  </w:style>
  <w:style w:type="paragraph" w:styleId="Nadpis2">
    <w:name w:val="heading 2"/>
    <w:basedOn w:val="Normln"/>
    <w:next w:val="Normln"/>
    <w:link w:val="Nadpis2Char"/>
    <w:uiPriority w:val="9"/>
    <w:unhideWhenUsed/>
    <w:qFormat/>
    <w:rsid w:val="00E261D6"/>
    <w:pPr>
      <w:keepNext/>
      <w:keepLines/>
      <w:numPr>
        <w:ilvl w:val="1"/>
        <w:numId w:val="1"/>
      </w:numPr>
      <w:spacing w:before="40"/>
      <w:ind w:left="578" w:hanging="578"/>
      <w:outlineLvl w:val="1"/>
    </w:pPr>
    <w:rPr>
      <w:rFonts w:eastAsiaTheme="majorEastAsia" w:cstheme="majorBidi"/>
      <w:b/>
      <w:sz w:val="24"/>
      <w:szCs w:val="26"/>
    </w:rPr>
  </w:style>
  <w:style w:type="paragraph" w:styleId="Nadpis3">
    <w:name w:val="heading 3"/>
    <w:basedOn w:val="Normln"/>
    <w:next w:val="Normln"/>
    <w:link w:val="Nadpis3Char"/>
    <w:uiPriority w:val="9"/>
    <w:semiHidden/>
    <w:unhideWhenUsed/>
    <w:qFormat/>
    <w:rsid w:val="00E261D6"/>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E261D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261D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261D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261D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261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261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E261D6"/>
    <w:pPr>
      <w:widowControl w:val="0"/>
      <w:spacing w:after="0" w:line="240" w:lineRule="auto"/>
      <w:jc w:val="both"/>
    </w:pPr>
    <w:rPr>
      <w:rFonts w:eastAsia="Times New Roman" w:cs="Times New Roman"/>
      <w:snapToGrid w:val="0"/>
      <w:color w:val="000000"/>
      <w:sz w:val="24"/>
      <w:szCs w:val="20"/>
      <w:lang w:eastAsia="cs-CZ"/>
    </w:rPr>
  </w:style>
  <w:style w:type="character" w:customStyle="1" w:styleId="ZkladntextChar">
    <w:name w:val="Základní text Char"/>
    <w:basedOn w:val="Standardnpsmoodstavce"/>
    <w:link w:val="Zkladntext"/>
    <w:semiHidden/>
    <w:rsid w:val="00E261D6"/>
    <w:rPr>
      <w:rFonts w:ascii="Times New Roman" w:eastAsia="Times New Roman" w:hAnsi="Times New Roman" w:cs="Times New Roman"/>
      <w:snapToGrid w:val="0"/>
      <w:color w:val="000000"/>
      <w:sz w:val="24"/>
      <w:szCs w:val="20"/>
      <w:lang w:val="cs-CZ" w:eastAsia="cs-CZ"/>
    </w:rPr>
  </w:style>
  <w:style w:type="character" w:customStyle="1" w:styleId="Nadpis2Char">
    <w:name w:val="Nadpis 2 Char"/>
    <w:basedOn w:val="Standardnpsmoodstavce"/>
    <w:link w:val="Nadpis2"/>
    <w:uiPriority w:val="9"/>
    <w:rsid w:val="00E261D6"/>
    <w:rPr>
      <w:rFonts w:ascii="Times New Roman" w:eastAsiaTheme="majorEastAsia" w:hAnsi="Times New Roman" w:cstheme="majorBidi"/>
      <w:b/>
      <w:sz w:val="24"/>
      <w:szCs w:val="26"/>
      <w:lang w:val="cs-CZ"/>
    </w:rPr>
  </w:style>
  <w:style w:type="character" w:customStyle="1" w:styleId="Nadpis1Char">
    <w:name w:val="Nadpis 1 Char"/>
    <w:basedOn w:val="Standardnpsmoodstavce"/>
    <w:link w:val="Nadpis1"/>
    <w:uiPriority w:val="9"/>
    <w:rsid w:val="00E261D6"/>
    <w:rPr>
      <w:rFonts w:ascii="Times New Roman" w:eastAsiaTheme="majorEastAsia" w:hAnsi="Times New Roman" w:cstheme="majorBidi"/>
      <w:b/>
      <w:sz w:val="28"/>
      <w:szCs w:val="32"/>
      <w:lang w:val="cs-CZ"/>
    </w:rPr>
  </w:style>
  <w:style w:type="character" w:customStyle="1" w:styleId="Nadpis3Char">
    <w:name w:val="Nadpis 3 Char"/>
    <w:basedOn w:val="Standardnpsmoodstavce"/>
    <w:link w:val="Nadpis3"/>
    <w:uiPriority w:val="9"/>
    <w:semiHidden/>
    <w:rsid w:val="00E261D6"/>
    <w:rPr>
      <w:rFonts w:asciiTheme="majorHAnsi" w:eastAsiaTheme="majorEastAsia" w:hAnsiTheme="majorHAnsi" w:cstheme="majorBidi"/>
      <w:color w:val="1F4D78" w:themeColor="accent1" w:themeShade="7F"/>
      <w:sz w:val="24"/>
      <w:szCs w:val="24"/>
      <w:lang w:val="cs-CZ"/>
    </w:rPr>
  </w:style>
  <w:style w:type="character" w:customStyle="1" w:styleId="Nadpis4Char">
    <w:name w:val="Nadpis 4 Char"/>
    <w:basedOn w:val="Standardnpsmoodstavce"/>
    <w:link w:val="Nadpis4"/>
    <w:uiPriority w:val="9"/>
    <w:semiHidden/>
    <w:rsid w:val="00E261D6"/>
    <w:rPr>
      <w:rFonts w:asciiTheme="majorHAnsi" w:eastAsiaTheme="majorEastAsia" w:hAnsiTheme="majorHAnsi" w:cstheme="majorBidi"/>
      <w:i/>
      <w:iCs/>
      <w:color w:val="2E74B5" w:themeColor="accent1" w:themeShade="BF"/>
      <w:lang w:val="cs-CZ"/>
    </w:rPr>
  </w:style>
  <w:style w:type="character" w:customStyle="1" w:styleId="Nadpis5Char">
    <w:name w:val="Nadpis 5 Char"/>
    <w:basedOn w:val="Standardnpsmoodstavce"/>
    <w:link w:val="Nadpis5"/>
    <w:uiPriority w:val="9"/>
    <w:semiHidden/>
    <w:rsid w:val="00E261D6"/>
    <w:rPr>
      <w:rFonts w:asciiTheme="majorHAnsi" w:eastAsiaTheme="majorEastAsia" w:hAnsiTheme="majorHAnsi" w:cstheme="majorBidi"/>
      <w:color w:val="2E74B5" w:themeColor="accent1" w:themeShade="BF"/>
      <w:lang w:val="cs-CZ"/>
    </w:rPr>
  </w:style>
  <w:style w:type="character" w:customStyle="1" w:styleId="Nadpis6Char">
    <w:name w:val="Nadpis 6 Char"/>
    <w:basedOn w:val="Standardnpsmoodstavce"/>
    <w:link w:val="Nadpis6"/>
    <w:uiPriority w:val="9"/>
    <w:semiHidden/>
    <w:rsid w:val="00E261D6"/>
    <w:rPr>
      <w:rFonts w:asciiTheme="majorHAnsi" w:eastAsiaTheme="majorEastAsia" w:hAnsiTheme="majorHAnsi" w:cstheme="majorBidi"/>
      <w:color w:val="1F4D78" w:themeColor="accent1" w:themeShade="7F"/>
      <w:lang w:val="cs-CZ"/>
    </w:rPr>
  </w:style>
  <w:style w:type="character" w:customStyle="1" w:styleId="Nadpis7Char">
    <w:name w:val="Nadpis 7 Char"/>
    <w:basedOn w:val="Standardnpsmoodstavce"/>
    <w:link w:val="Nadpis7"/>
    <w:uiPriority w:val="9"/>
    <w:semiHidden/>
    <w:rsid w:val="00E261D6"/>
    <w:rPr>
      <w:rFonts w:asciiTheme="majorHAnsi" w:eastAsiaTheme="majorEastAsia" w:hAnsiTheme="majorHAnsi" w:cstheme="majorBidi"/>
      <w:i/>
      <w:iCs/>
      <w:color w:val="1F4D78" w:themeColor="accent1" w:themeShade="7F"/>
      <w:lang w:val="cs-CZ"/>
    </w:rPr>
  </w:style>
  <w:style w:type="character" w:customStyle="1" w:styleId="Nadpis8Char">
    <w:name w:val="Nadpis 8 Char"/>
    <w:basedOn w:val="Standardnpsmoodstavce"/>
    <w:link w:val="Nadpis8"/>
    <w:uiPriority w:val="9"/>
    <w:semiHidden/>
    <w:rsid w:val="00E261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E261D6"/>
    <w:rPr>
      <w:rFonts w:asciiTheme="majorHAnsi" w:eastAsiaTheme="majorEastAsia" w:hAnsiTheme="majorHAnsi" w:cstheme="majorBidi"/>
      <w:i/>
      <w:iCs/>
      <w:color w:val="272727" w:themeColor="text1" w:themeTint="D8"/>
      <w:sz w:val="21"/>
      <w:szCs w:val="21"/>
      <w:lang w:val="cs-CZ"/>
    </w:rPr>
  </w:style>
  <w:style w:type="paragraph" w:styleId="Textbubliny">
    <w:name w:val="Balloon Text"/>
    <w:basedOn w:val="Normln"/>
    <w:link w:val="TextbublinyChar"/>
    <w:uiPriority w:val="99"/>
    <w:semiHidden/>
    <w:unhideWhenUsed/>
    <w:rsid w:val="00E42AD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2AD1"/>
    <w:rPr>
      <w:rFonts w:ascii="Segoe UI" w:hAnsi="Segoe UI" w:cs="Segoe UI"/>
      <w:sz w:val="18"/>
      <w:szCs w:val="18"/>
      <w:lang w:val="cs-CZ"/>
    </w:rPr>
  </w:style>
  <w:style w:type="character" w:styleId="Odkaznakoment">
    <w:name w:val="annotation reference"/>
    <w:basedOn w:val="Standardnpsmoodstavce"/>
    <w:uiPriority w:val="99"/>
    <w:semiHidden/>
    <w:unhideWhenUsed/>
    <w:rsid w:val="00D323AA"/>
    <w:rPr>
      <w:sz w:val="16"/>
      <w:szCs w:val="16"/>
    </w:rPr>
  </w:style>
  <w:style w:type="paragraph" w:styleId="Textkomente">
    <w:name w:val="annotation text"/>
    <w:basedOn w:val="Normln"/>
    <w:link w:val="TextkomenteChar"/>
    <w:uiPriority w:val="99"/>
    <w:semiHidden/>
    <w:unhideWhenUsed/>
    <w:rsid w:val="00D323AA"/>
    <w:pPr>
      <w:spacing w:line="240" w:lineRule="auto"/>
    </w:pPr>
    <w:rPr>
      <w:sz w:val="20"/>
      <w:szCs w:val="20"/>
    </w:rPr>
  </w:style>
  <w:style w:type="character" w:customStyle="1" w:styleId="TextkomenteChar">
    <w:name w:val="Text komentáře Char"/>
    <w:basedOn w:val="Standardnpsmoodstavce"/>
    <w:link w:val="Textkomente"/>
    <w:uiPriority w:val="99"/>
    <w:semiHidden/>
    <w:rsid w:val="00D323AA"/>
    <w:rPr>
      <w:rFonts w:ascii="Times New Roman" w:hAnsi="Times New Roman"/>
      <w:sz w:val="20"/>
      <w:szCs w:val="20"/>
      <w:lang w:val="cs-CZ"/>
    </w:rPr>
  </w:style>
  <w:style w:type="paragraph" w:styleId="Pedmtkomente">
    <w:name w:val="annotation subject"/>
    <w:basedOn w:val="Textkomente"/>
    <w:next w:val="Textkomente"/>
    <w:link w:val="PedmtkomenteChar"/>
    <w:uiPriority w:val="99"/>
    <w:semiHidden/>
    <w:unhideWhenUsed/>
    <w:rsid w:val="00D323AA"/>
    <w:rPr>
      <w:b/>
      <w:bCs/>
    </w:rPr>
  </w:style>
  <w:style w:type="character" w:customStyle="1" w:styleId="PedmtkomenteChar">
    <w:name w:val="Předmět komentáře Char"/>
    <w:basedOn w:val="TextkomenteChar"/>
    <w:link w:val="Pedmtkomente"/>
    <w:uiPriority w:val="99"/>
    <w:semiHidden/>
    <w:rsid w:val="00D323AA"/>
    <w:rPr>
      <w:rFonts w:ascii="Times New Roman" w:hAnsi="Times New Roman"/>
      <w:b/>
      <w:bCs/>
      <w:sz w:val="20"/>
      <w:szCs w:val="20"/>
      <w:lang w:val="cs-CZ"/>
    </w:rPr>
  </w:style>
  <w:style w:type="character" w:customStyle="1" w:styleId="normaltextrun">
    <w:name w:val="normaltextrun"/>
    <w:basedOn w:val="Standardnpsmoodstavce"/>
    <w:rsid w:val="00280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06354">
      <w:bodyDiv w:val="1"/>
      <w:marLeft w:val="0"/>
      <w:marRight w:val="0"/>
      <w:marTop w:val="0"/>
      <w:marBottom w:val="0"/>
      <w:divBdr>
        <w:top w:val="none" w:sz="0" w:space="0" w:color="auto"/>
        <w:left w:val="none" w:sz="0" w:space="0" w:color="auto"/>
        <w:bottom w:val="none" w:sz="0" w:space="0" w:color="auto"/>
        <w:right w:val="none" w:sz="0" w:space="0" w:color="auto"/>
      </w:divBdr>
    </w:div>
    <w:div w:id="475923539">
      <w:bodyDiv w:val="1"/>
      <w:marLeft w:val="0"/>
      <w:marRight w:val="0"/>
      <w:marTop w:val="0"/>
      <w:marBottom w:val="0"/>
      <w:divBdr>
        <w:top w:val="none" w:sz="0" w:space="0" w:color="auto"/>
        <w:left w:val="none" w:sz="0" w:space="0" w:color="auto"/>
        <w:bottom w:val="none" w:sz="0" w:space="0" w:color="auto"/>
        <w:right w:val="none" w:sz="0" w:space="0" w:color="auto"/>
      </w:divBdr>
    </w:div>
    <w:div w:id="1049457038">
      <w:bodyDiv w:val="1"/>
      <w:marLeft w:val="0"/>
      <w:marRight w:val="0"/>
      <w:marTop w:val="0"/>
      <w:marBottom w:val="0"/>
      <w:divBdr>
        <w:top w:val="none" w:sz="0" w:space="0" w:color="auto"/>
        <w:left w:val="none" w:sz="0" w:space="0" w:color="auto"/>
        <w:bottom w:val="none" w:sz="0" w:space="0" w:color="auto"/>
        <w:right w:val="none" w:sz="0" w:space="0" w:color="auto"/>
      </w:divBdr>
    </w:div>
    <w:div w:id="11298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2003</Words>
  <Characters>11421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Účet Microsoft</cp:lastModifiedBy>
  <cp:revision>4</cp:revision>
  <dcterms:created xsi:type="dcterms:W3CDTF">2025-04-22T19:23:00Z</dcterms:created>
  <dcterms:modified xsi:type="dcterms:W3CDTF">2025-04-22T19:33:00Z</dcterms:modified>
</cp:coreProperties>
</file>