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D4176" w14:textId="77777777" w:rsidR="00011762" w:rsidRDefault="00011762" w:rsidP="00011762">
      <w:pPr>
        <w:rPr>
          <w:b/>
          <w:sz w:val="26"/>
          <w:szCs w:val="26"/>
        </w:rPr>
      </w:pPr>
      <w:r>
        <w:rPr>
          <w:b/>
          <w:sz w:val="26"/>
          <w:szCs w:val="26"/>
        </w:rPr>
        <w:t>Supplementary Figures</w:t>
      </w:r>
    </w:p>
    <w:p w14:paraId="7164EE2F" w14:textId="77777777" w:rsidR="00011762" w:rsidRDefault="00011762" w:rsidP="00011762">
      <w:r>
        <w:rPr>
          <w:b/>
        </w:rPr>
        <w:t>Fig. S1. Representative examples of each marker per compartment (PDAC parenchyma and stroma).</w:t>
      </w:r>
      <w:r>
        <w:t xml:space="preserve"> Mean stratified low and high expression; 10x. </w:t>
      </w:r>
      <w:r>
        <w:rPr>
          <w:i/>
        </w:rPr>
        <w:t>Inset</w:t>
      </w:r>
      <w:r>
        <w:t>: Region of interest.</w:t>
      </w:r>
    </w:p>
    <w:p w14:paraId="48126242" w14:textId="77777777" w:rsidR="00011762" w:rsidRDefault="00011762" w:rsidP="00011762"/>
    <w:p w14:paraId="04504816" w14:textId="77777777" w:rsidR="00011762" w:rsidRDefault="00011762" w:rsidP="00011762">
      <w:r>
        <w:rPr>
          <w:b/>
        </w:rPr>
        <w:t xml:space="preserve">Fig. S2. pSMAD2 and TGF-B1 </w:t>
      </w:r>
      <w:r>
        <w:t>(neoadjuvant cases excluded)</w:t>
      </w:r>
      <w:r>
        <w:rPr>
          <w:b/>
        </w:rPr>
        <w:t>.</w:t>
      </w:r>
      <w:r>
        <w:t xml:space="preserve">  </w:t>
      </w:r>
      <w:r>
        <w:rPr>
          <w:b/>
        </w:rPr>
        <w:t xml:space="preserve">A </w:t>
      </w:r>
      <w:r>
        <w:t>Juxtatumoural stroma revealed significantly higher pSMAD2 protein expression than PDAC parenchyma.</w:t>
      </w:r>
      <w:r>
        <w:rPr>
          <w:b/>
        </w:rPr>
        <w:t xml:space="preserve">  B </w:t>
      </w:r>
      <w:r>
        <w:t xml:space="preserve">In PDAC parenchyma pSMAD2 expression was significantly higher in the TC, for juxtatumoural stroma the opposite was true (TF&gt;TC). </w:t>
      </w:r>
      <w:r>
        <w:rPr>
          <w:b/>
        </w:rPr>
        <w:t xml:space="preserve">C </w:t>
      </w:r>
      <w:r>
        <w:t xml:space="preserve">TGF-B1 mRNA transcript counts were significantly higher in PDAC parenchyma. </w:t>
      </w:r>
      <w:r>
        <w:rPr>
          <w:i/>
        </w:rPr>
        <w:t>TC</w:t>
      </w:r>
      <w:r>
        <w:t xml:space="preserve">: Tumour Centre; </w:t>
      </w:r>
      <w:r>
        <w:rPr>
          <w:i/>
        </w:rPr>
        <w:t>TF</w:t>
      </w:r>
      <w:r>
        <w:t>: Tumour Front.  ****p&lt;0.00001</w:t>
      </w:r>
    </w:p>
    <w:p w14:paraId="16EA19C2" w14:textId="77777777" w:rsidR="00011762" w:rsidRDefault="00011762" w:rsidP="00011762"/>
    <w:p w14:paraId="2DEAEFEF" w14:textId="77777777" w:rsidR="00011762" w:rsidRPr="00710B08" w:rsidRDefault="00011762" w:rsidP="00011762">
      <w:pPr>
        <w:rPr>
          <w:lang w:val="fr-FR"/>
        </w:rPr>
      </w:pPr>
      <w:r>
        <w:rPr>
          <w:b/>
        </w:rPr>
        <w:t xml:space="preserve">Fig. S3. Linear regression </w:t>
      </w:r>
      <w:r>
        <w:t>(neoadjuvant cases excluded)</w:t>
      </w:r>
      <w:r>
        <w:rPr>
          <w:b/>
        </w:rPr>
        <w:t>.</w:t>
      </w:r>
      <w:r>
        <w:t xml:space="preserve"> </w:t>
      </w:r>
      <w:r>
        <w:rPr>
          <w:b/>
        </w:rPr>
        <w:t xml:space="preserve">A </w:t>
      </w:r>
      <w:r>
        <w:t>Higher ID protein expression in larger tumours.</w:t>
      </w:r>
      <w:r>
        <w:rPr>
          <w:b/>
        </w:rPr>
        <w:t xml:space="preserve"> B </w:t>
      </w:r>
      <w:r>
        <w:t>Higher number of positive lymph nodes (LN) in TGF-B2</w:t>
      </w:r>
      <w:r>
        <w:rPr>
          <w:vertAlign w:val="superscript"/>
        </w:rPr>
        <w:t>high</w:t>
      </w:r>
      <w:r>
        <w:t xml:space="preserve"> PDAC (TF). </w:t>
      </w:r>
      <w:r w:rsidRPr="00710B08">
        <w:rPr>
          <w:b/>
          <w:lang w:val="fr-FR"/>
        </w:rPr>
        <w:t>C</w:t>
      </w:r>
      <w:r w:rsidRPr="00710B08">
        <w:rPr>
          <w:lang w:val="fr-FR"/>
        </w:rPr>
        <w:t xml:space="preserve"> Regression analysis, positive LN. </w:t>
      </w:r>
      <w:r w:rsidRPr="00710B08">
        <w:rPr>
          <w:b/>
          <w:lang w:val="fr-FR"/>
        </w:rPr>
        <w:t>D</w:t>
      </w:r>
      <w:r w:rsidRPr="00710B08">
        <w:rPr>
          <w:lang w:val="fr-FR"/>
        </w:rPr>
        <w:t xml:space="preserve"> Regression analysis, tumour size. </w:t>
      </w:r>
      <w:r w:rsidRPr="00710B08">
        <w:rPr>
          <w:i/>
          <w:lang w:val="fr-FR"/>
        </w:rPr>
        <w:t>TC:</w:t>
      </w:r>
      <w:r w:rsidRPr="00710B08">
        <w:rPr>
          <w:lang w:val="fr-FR"/>
        </w:rPr>
        <w:t xml:space="preserve"> Tumour Centre, </w:t>
      </w:r>
      <w:r w:rsidRPr="00710B08">
        <w:rPr>
          <w:i/>
          <w:lang w:val="fr-FR"/>
        </w:rPr>
        <w:t>TF:</w:t>
      </w:r>
      <w:r w:rsidRPr="00710B08">
        <w:rPr>
          <w:lang w:val="fr-FR"/>
        </w:rPr>
        <w:t xml:space="preserve"> Tumour Front.</w:t>
      </w:r>
    </w:p>
    <w:p w14:paraId="2903701A" w14:textId="77777777" w:rsidR="00011762" w:rsidRPr="00710B08" w:rsidRDefault="00011762" w:rsidP="00011762">
      <w:pPr>
        <w:rPr>
          <w:lang w:val="fr-FR"/>
        </w:rPr>
      </w:pPr>
    </w:p>
    <w:p w14:paraId="03F06BD7" w14:textId="77777777" w:rsidR="00011762" w:rsidRDefault="00011762" w:rsidP="00011762">
      <w:pPr>
        <w:rPr>
          <w:b/>
        </w:rPr>
      </w:pPr>
      <w:r>
        <w:rPr>
          <w:b/>
        </w:rPr>
        <w:t>Fig.</w:t>
      </w:r>
      <w:r>
        <w:t xml:space="preserve"> </w:t>
      </w:r>
      <w:r>
        <w:rPr>
          <w:b/>
        </w:rPr>
        <w:t>S4. Tumour budding. A</w:t>
      </w:r>
      <w:r>
        <w:t xml:space="preserve"> Example of high tumour budding (BD3) in TGF-B1</w:t>
      </w:r>
      <w:r>
        <w:rPr>
          <w:vertAlign w:val="superscript"/>
        </w:rPr>
        <w:t>low</w:t>
      </w:r>
      <w:r>
        <w:t xml:space="preserve"> stroma. </w:t>
      </w:r>
      <w:r>
        <w:rPr>
          <w:b/>
        </w:rPr>
        <w:t>B</w:t>
      </w:r>
      <w:r>
        <w:t xml:space="preserve"> Example of low tumour budding (BD1) in TGF-B1</w:t>
      </w:r>
      <w:r>
        <w:rPr>
          <w:vertAlign w:val="superscript"/>
        </w:rPr>
        <w:t>high</w:t>
      </w:r>
      <w:r>
        <w:t xml:space="preserve"> stroma. </w:t>
      </w:r>
      <w:r>
        <w:rPr>
          <w:i/>
        </w:rPr>
        <w:t>From left to right</w:t>
      </w:r>
      <w:r>
        <w:t>: H&amp;E stain, TGF-B1 in-situ hybridisation; pan-cytokeratin (MNF116) immunohistochemistry.</w:t>
      </w:r>
    </w:p>
    <w:p w14:paraId="3965DB24" w14:textId="77777777" w:rsidR="00011762" w:rsidRDefault="00011762" w:rsidP="00011762">
      <w:pPr>
        <w:rPr>
          <w:b/>
        </w:rPr>
      </w:pPr>
    </w:p>
    <w:p w14:paraId="1394CB39" w14:textId="77777777" w:rsidR="00011762" w:rsidRDefault="00011762" w:rsidP="00011762">
      <w:r>
        <w:rPr>
          <w:b/>
        </w:rPr>
        <w:t>Fig S5.</w:t>
      </w:r>
      <w:r>
        <w:t xml:space="preserve"> </w:t>
      </w:r>
      <w:r>
        <w:rPr>
          <w:b/>
        </w:rPr>
        <w:t xml:space="preserve">Immune infiltrate quantification </w:t>
      </w:r>
      <w:r>
        <w:t xml:space="preserve">(neoadjuvant cases excluded, see also </w:t>
      </w:r>
      <w:r>
        <w:rPr>
          <w:b/>
        </w:rPr>
        <w:t>Table S5</w:t>
      </w:r>
      <w:r>
        <w:t xml:space="preserve">). </w:t>
      </w:r>
      <w:r>
        <w:rPr>
          <w:b/>
        </w:rPr>
        <w:t>A</w:t>
      </w:r>
      <w:r>
        <w:t xml:space="preserve"> High (low) FOXP3</w:t>
      </w:r>
      <w:r>
        <w:rPr>
          <w:vertAlign w:val="superscript"/>
        </w:rPr>
        <w:t>+</w:t>
      </w:r>
      <w:r>
        <w:t xml:space="preserve"> immune infiltrate in TGF-B1</w:t>
      </w:r>
      <w:r>
        <w:rPr>
          <w:vertAlign w:val="superscript"/>
        </w:rPr>
        <w:t>high</w:t>
      </w:r>
      <w:r>
        <w:t xml:space="preserve"> (TGF-B2</w:t>
      </w:r>
      <w:r>
        <w:rPr>
          <w:vertAlign w:val="superscript"/>
        </w:rPr>
        <w:t>high</w:t>
      </w:r>
      <w:r>
        <w:t xml:space="preserve">) PDAC. </w:t>
      </w:r>
      <w:r>
        <w:rPr>
          <w:b/>
        </w:rPr>
        <w:t>B</w:t>
      </w:r>
      <w:r>
        <w:t xml:space="preserve"> CD8</w:t>
      </w:r>
      <w:r>
        <w:rPr>
          <w:vertAlign w:val="superscript"/>
        </w:rPr>
        <w:t>+</w:t>
      </w:r>
      <w:r>
        <w:t xml:space="preserve"> T-cell infiltrates are independent of the level of ID1 protein expression. No differences in CD163</w:t>
      </w:r>
      <w:r>
        <w:rPr>
          <w:vertAlign w:val="superscript"/>
        </w:rPr>
        <w:t xml:space="preserve">+ </w:t>
      </w:r>
      <w:r>
        <w:t>macrophage (</w:t>
      </w:r>
      <w:r>
        <w:rPr>
          <w:b/>
        </w:rPr>
        <w:t>C</w:t>
      </w:r>
      <w:r>
        <w:t>) or (</w:t>
      </w:r>
      <w:r>
        <w:rPr>
          <w:b/>
        </w:rPr>
        <w:t>D</w:t>
      </w:r>
      <w:r>
        <w:t>)</w:t>
      </w:r>
      <w:r>
        <w:rPr>
          <w:b/>
        </w:rPr>
        <w:t xml:space="preserve"> </w:t>
      </w:r>
      <w:r>
        <w:t>CD68</w:t>
      </w:r>
      <w:r>
        <w:rPr>
          <w:vertAlign w:val="superscript"/>
        </w:rPr>
        <w:t xml:space="preserve">+ </w:t>
      </w:r>
      <w:r>
        <w:t>macrophage levels in BMP4</w:t>
      </w:r>
      <w:r>
        <w:rPr>
          <w:vertAlign w:val="superscript"/>
        </w:rPr>
        <w:t>high</w:t>
      </w:r>
      <w:r>
        <w:t xml:space="preserve"> or </w:t>
      </w:r>
      <w:r>
        <w:rPr>
          <w:vertAlign w:val="superscript"/>
        </w:rPr>
        <w:t xml:space="preserve">-low </w:t>
      </w:r>
      <w:r>
        <w:t>and GREM1</w:t>
      </w:r>
      <w:r>
        <w:rPr>
          <w:vertAlign w:val="superscript"/>
        </w:rPr>
        <w:t>high</w:t>
      </w:r>
      <w:r>
        <w:t xml:space="preserve"> or </w:t>
      </w:r>
      <w:r>
        <w:rPr>
          <w:vertAlign w:val="superscript"/>
        </w:rPr>
        <w:t>-low</w:t>
      </w:r>
      <w:r>
        <w:t xml:space="preserve"> PDAC.</w:t>
      </w:r>
    </w:p>
    <w:p w14:paraId="4E4506B3" w14:textId="77777777" w:rsidR="00011762" w:rsidRDefault="00011762" w:rsidP="00011762"/>
    <w:p w14:paraId="491ED552" w14:textId="77777777" w:rsidR="00011762" w:rsidRDefault="00011762" w:rsidP="00011762">
      <w:r>
        <w:rPr>
          <w:b/>
        </w:rPr>
        <w:t>Fig. S6. Other survival analysis.</w:t>
      </w:r>
      <w:r>
        <w:t xml:space="preserve"> </w:t>
      </w:r>
      <w:r>
        <w:rPr>
          <w:b/>
        </w:rPr>
        <w:t>A</w:t>
      </w:r>
      <w:r>
        <w:t xml:space="preserve"> Forest plot of a multivariate Cox model (n=88; neoadjuvant cases excluded) highlighting the prognostic relevance of high stromal TGF-A in the Tumour Front (TF). Stromal TGF-B2 (Tumour Centre, TC) is not significant. Older age, a higher number of positive lymph nodes (LN), and larger tumor size are significantly associated with higher Hazard Ratios (HR &gt;1).  </w:t>
      </w:r>
      <w:r>
        <w:rPr>
          <w:b/>
        </w:rPr>
        <w:t>B</w:t>
      </w:r>
      <w:r>
        <w:t xml:space="preserve"> The relative stromal proportion per tissue core stratified by mean (TC: mean 27.7%; TF: mean 29.2%), and </w:t>
      </w:r>
      <w:r>
        <w:rPr>
          <w:b/>
        </w:rPr>
        <w:t>C</w:t>
      </w:r>
      <w:r>
        <w:t xml:space="preserve"> nuclear roundness of PDAC nuclei was not significantly associated with overall survival.</w:t>
      </w:r>
    </w:p>
    <w:p w14:paraId="3EEA91E4" w14:textId="77777777" w:rsidR="00011762" w:rsidRDefault="00011762" w:rsidP="00011762"/>
    <w:p w14:paraId="47EBAF45" w14:textId="77777777" w:rsidR="00011762" w:rsidRDefault="00011762" w:rsidP="00011762">
      <w:r>
        <w:rPr>
          <w:b/>
        </w:rPr>
        <w:t>Fig. S7.</w:t>
      </w:r>
      <w:r>
        <w:t xml:space="preserve"> </w:t>
      </w:r>
      <w:r>
        <w:rPr>
          <w:b/>
        </w:rPr>
        <w:t>Representative examples of Nuclear Roundness.</w:t>
      </w:r>
      <w:r>
        <w:t xml:space="preserve"> </w:t>
      </w:r>
      <w:r>
        <w:rPr>
          <w:b/>
        </w:rPr>
        <w:t>A</w:t>
      </w:r>
      <w:r>
        <w:t xml:space="preserve"> Less nuclear roundness (0.69) in the PDAC tumour centre. Desmoplasia, tumour buds and angulated glands in higher magnification (10x).</w:t>
      </w:r>
      <w:r>
        <w:rPr>
          <w:b/>
        </w:rPr>
        <w:t xml:space="preserve"> B</w:t>
      </w:r>
      <w:r>
        <w:t xml:space="preserve"> Rounder nuclei (0.75) in the tumour centre of another PDAC patient of the cohort (10x). The PDAC gland is more densely populated and has on average rounder nuclei. </w:t>
      </w:r>
      <w:r>
        <w:rPr>
          <w:i/>
        </w:rPr>
        <w:t>Inset:</w:t>
      </w:r>
      <w:r>
        <w:t xml:space="preserve"> 60x.</w:t>
      </w:r>
    </w:p>
    <w:p w14:paraId="37AFC2EF" w14:textId="77777777" w:rsidR="00011762" w:rsidRDefault="00011762" w:rsidP="00011762"/>
    <w:p w14:paraId="6CD60EA2" w14:textId="7A4F5AF8" w:rsidR="00011762" w:rsidRDefault="00011762" w:rsidP="00011762">
      <w:pPr>
        <w:sectPr w:rsidR="00011762" w:rsidSect="00011762"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>
        <w:rPr>
          <w:b/>
        </w:rPr>
        <w:t>Fig. S8. Validation in TCGA mRNA data (transcripts per million).</w:t>
      </w:r>
      <w:r>
        <w:t xml:space="preserve"> </w:t>
      </w:r>
      <w:r>
        <w:rPr>
          <w:b/>
        </w:rPr>
        <w:t>A</w:t>
      </w:r>
      <w:r>
        <w:t xml:space="preserve"> Significantly higher ID1 transcript counts in PDAC. </w:t>
      </w:r>
      <w:r>
        <w:rPr>
          <w:b/>
        </w:rPr>
        <w:t>B</w:t>
      </w:r>
      <w:r>
        <w:t xml:space="preserve"> Less SMAD2 transcripts in PDAC versus normal pancreas (ns). </w:t>
      </w:r>
      <w:r>
        <w:rPr>
          <w:b/>
        </w:rPr>
        <w:t>C</w:t>
      </w:r>
      <w:r>
        <w:t xml:space="preserve"> Higher ID1 transcript counts in N1-stage PDAC (ns). </w:t>
      </w:r>
      <w:r>
        <w:rPr>
          <w:b/>
        </w:rPr>
        <w:t>D</w:t>
      </w:r>
      <w:r>
        <w:t xml:space="preserve"> Higher TGFB2 transcript counts in N1-stage PDAC versus N0 (statistically ns, trend). </w:t>
      </w:r>
      <w:r>
        <w:rPr>
          <w:b/>
        </w:rPr>
        <w:t>E</w:t>
      </w:r>
      <w:r>
        <w:t xml:space="preserve"> Binary survival analysis (high </w:t>
      </w:r>
      <w:r>
        <w:lastRenderedPageBreak/>
        <w:t xml:space="preserve">versus low transcript counts) reveals no significant differences for TGFA, -B1, and -B2. </w:t>
      </w:r>
      <w:r>
        <w:rPr>
          <w:i/>
        </w:rPr>
        <w:t>ns</w:t>
      </w:r>
      <w:r>
        <w:t>: non significant</w:t>
      </w:r>
    </w:p>
    <w:p w14:paraId="32BCB410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762"/>
    <w:rsid w:val="00011762"/>
    <w:rsid w:val="00235F39"/>
    <w:rsid w:val="0038214D"/>
    <w:rsid w:val="00530909"/>
    <w:rsid w:val="00AA3AC3"/>
    <w:rsid w:val="00AD7A41"/>
    <w:rsid w:val="00AE732B"/>
    <w:rsid w:val="00CF3EC8"/>
    <w:rsid w:val="00FA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59028"/>
  <w15:chartTrackingRefBased/>
  <w15:docId w15:val="{611B0366-D6C6-4888-B644-B27D276EE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762"/>
    <w:pPr>
      <w:spacing w:after="0" w:line="276" w:lineRule="auto"/>
      <w:jc w:val="both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76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76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76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76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76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762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762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762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76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7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7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7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7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7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7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7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7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7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76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1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76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1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76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17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762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17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7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7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</Words>
  <Characters>2507</Characters>
  <Application>Microsoft Office Word</Application>
  <DocSecurity>0</DocSecurity>
  <Lines>20</Lines>
  <Paragraphs>5</Paragraphs>
  <ScaleCrop>false</ScaleCrop>
  <Company>Springer Nature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2025-06-27T17:23:00Z</dcterms:created>
  <dcterms:modified xsi:type="dcterms:W3CDTF">2025-06-27T17:23:00Z</dcterms:modified>
</cp:coreProperties>
</file>