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sz w:val="44"/>
          <w:szCs w:val="52"/>
        </w:rPr>
      </w:pPr>
      <w:bookmarkStart w:id="0" w:name="OLE_LINK1"/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fldChar w:fldCharType="begin"/>
      </w:r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instrText xml:space="preserve"> HYPERLINK "D:/u%E7%9B%98/%E6%9C%89%E9%81%93/10.0.9.0/resultui/html/index.html" \l "/javascript:;" </w:instrText>
      </w:r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fldChar w:fldCharType="separate"/>
      </w:r>
      <w:r>
        <w:rPr>
          <w:rStyle w:val="5"/>
          <w:rFonts w:ascii="Times New Roman" w:hAnsi="Times New Roman" w:eastAsia="宋体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S</w:t>
      </w:r>
      <w:r>
        <w:rPr>
          <w:rStyle w:val="5"/>
          <w:rFonts w:ascii="Times New Roman" w:hAnsi="Times New Roman" w:eastAsia="Segoe UI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upplementary </w:t>
      </w:r>
      <w:r>
        <w:rPr>
          <w:rStyle w:val="5"/>
          <w:rFonts w:ascii="Times New Roman" w:hAnsi="Times New Roman" w:eastAsia="宋体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M</w:t>
      </w:r>
      <w:r>
        <w:rPr>
          <w:rStyle w:val="5"/>
          <w:rFonts w:ascii="Times New Roman" w:hAnsi="Times New Roman" w:eastAsia="Segoe UI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aterials</w:t>
      </w:r>
      <w:r>
        <w:rPr>
          <w:rFonts w:ascii="Times New Roman" w:hAnsi="Times New Roman" w:eastAsia="Segoe UI" w:cs="Times New Roman"/>
          <w:b/>
          <w:bCs/>
          <w:sz w:val="28"/>
          <w:szCs w:val="28"/>
          <w:shd w:val="clear" w:color="auto" w:fill="FFFFFF"/>
        </w:rPr>
        <w:fldChar w:fldCharType="end"/>
      </w:r>
    </w:p>
    <w:bookmarkEnd w:id="0"/>
    <w:p>
      <w:pPr>
        <w:spacing w:line="360" w:lineRule="auto"/>
        <w:jc w:val="left"/>
        <w:rPr>
          <w:rFonts w:ascii="Times New Roman" w:hAnsi="Times New Roman" w:cs="Times New Roman"/>
          <w:sz w:val="40"/>
          <w:szCs w:val="48"/>
        </w:rPr>
      </w:pPr>
      <w:r>
        <w:fldChar w:fldCharType="begin"/>
      </w:r>
      <w:r>
        <w:instrText xml:space="preserve"> HYPERLINK "D:/u%E7%9B%98/%E6%9C%89%E9%81%93/10.0.9.0/resultui/html/index.html" \l "/javascript:;"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  <w:b/>
          <w:bCs/>
          <w:color w:val="auto"/>
          <w:sz w:val="24"/>
          <w:u w:val="none"/>
          <w:shd w:val="clear" w:color="auto" w:fill="FFFFFF"/>
        </w:rPr>
        <w:t>S</w:t>
      </w:r>
      <w:r>
        <w:rPr>
          <w:rStyle w:val="5"/>
          <w:rFonts w:ascii="Times New Roman" w:hAnsi="Times New Roman" w:eastAsia="Segoe UI" w:cs="Times New Roman"/>
          <w:b/>
          <w:bCs/>
          <w:color w:val="auto"/>
          <w:sz w:val="24"/>
          <w:u w:val="none"/>
          <w:shd w:val="clear" w:color="auto" w:fill="FFFFFF"/>
        </w:rPr>
        <w:t>upplementary Tables</w:t>
      </w:r>
      <w:r>
        <w:rPr>
          <w:rStyle w:val="5"/>
          <w:rFonts w:ascii="Times New Roman" w:hAnsi="Times New Roman" w:eastAsia="Segoe UI" w:cs="Times New Roman"/>
          <w:b/>
          <w:bCs/>
          <w:color w:val="auto"/>
          <w:sz w:val="24"/>
          <w:u w:val="none"/>
          <w:shd w:val="clear" w:color="auto" w:fill="FFFFFF"/>
        </w:rPr>
        <w:fldChar w:fldCharType="end"/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b/>
          <w:bCs/>
          <w:szCs w:val="21"/>
        </w:rPr>
        <w:t>Table S1.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Types of sleep medication found in the NHANES database.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等线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等线" w:cs="Times New Roman"/>
          <w:b/>
          <w:bCs/>
          <w:szCs w:val="21"/>
        </w:rPr>
        <w:t>.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Detail information of s</w:t>
      </w:r>
      <w:r>
        <w:rPr>
          <w:rFonts w:hint="eastAsia" w:ascii="Times New Roman" w:hAnsi="Times New Roman" w:eastAsia="等线" w:cs="Times New Roman"/>
          <w:szCs w:val="21"/>
        </w:rPr>
        <w:t>leep medication.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Characteristics of </w:t>
      </w:r>
      <w:r>
        <w:rPr>
          <w:rFonts w:hint="eastAsia" w:ascii="Times New Roman" w:hAnsi="Times New Roman" w:eastAsia="宋体" w:cs="Times New Roman"/>
          <w:lang w:eastAsia="zh-CN"/>
        </w:rPr>
        <w:t>benzodiazepine users</w:t>
      </w:r>
      <w:r>
        <w:rPr>
          <w:rFonts w:hint="eastAsia" w:ascii="Times New Roman" w:hAnsi="Times New Roman" w:eastAsia="宋体" w:cs="Times New Roman"/>
        </w:rPr>
        <w:t xml:space="preserve"> and </w:t>
      </w:r>
      <w:r>
        <w:rPr>
          <w:rFonts w:hint="eastAsia" w:ascii="Times New Roman" w:hAnsi="Times New Roman" w:eastAsia="宋体" w:cs="Times New Roman"/>
          <w:lang w:eastAsia="zh-CN"/>
        </w:rPr>
        <w:t>Z-drug users</w:t>
      </w:r>
      <w:r>
        <w:rPr>
          <w:rFonts w:hint="eastAsia" w:ascii="Times New Roman" w:hAnsi="Times New Roman" w:eastAsia="宋体" w:cs="Times New Roman"/>
        </w:rPr>
        <w:t>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Estimated variations in blood pressure across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specific </w:t>
      </w:r>
      <w:r>
        <w:rPr>
          <w:rFonts w:hint="eastAsia" w:ascii="Times New Roman" w:hAnsi="Times New Roman" w:eastAsia="等线" w:cs="Times New Roman"/>
          <w:szCs w:val="21"/>
        </w:rPr>
        <w:t>sleep medication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s</w:t>
      </w:r>
      <w:r>
        <w:rPr>
          <w:rFonts w:hint="eastAsia" w:ascii="Times New Roman" w:hAnsi="Times New Roman" w:eastAsia="宋体" w:cs="Times New Roman"/>
        </w:rPr>
        <w:t xml:space="preserve"> in participants with hypertension and </w:t>
      </w:r>
      <w:r>
        <w:rPr>
          <w:rFonts w:hint="eastAsia" w:ascii="Times New Roman" w:hAnsi="Times New Roman" w:eastAsia="宋体" w:cs="Times New Roman"/>
          <w:lang w:eastAsia="zh-CN"/>
        </w:rPr>
        <w:t>sleep disturbance</w:t>
      </w:r>
      <w:r>
        <w:rPr>
          <w:rFonts w:hint="eastAsia" w:ascii="Times New Roman" w:hAnsi="Times New Roman" w:eastAsia="宋体" w:cs="Times New Roma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Multivariate Cox regression analysis examining the impact of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specific </w:t>
      </w:r>
      <w:r>
        <w:rPr>
          <w:rFonts w:hint="eastAsia" w:ascii="Times New Roman" w:hAnsi="Times New Roman" w:eastAsia="等线" w:cs="Times New Roman"/>
          <w:szCs w:val="21"/>
        </w:rPr>
        <w:t>sleep medication on all-cause mortality.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Estimation of blood pressure difference in participants with hypertension and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sleep disturbance</w:t>
      </w:r>
      <w:r>
        <w:rPr>
          <w:rFonts w:hint="eastAsia" w:ascii="Times New Roman" w:hAnsi="Times New Roman" w:eastAsia="等线" w:cs="Times New Roman"/>
          <w:szCs w:val="21"/>
        </w:rPr>
        <w:t xml:space="preserve"> in weighted analysis.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7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Estimated variations in blood pressure across sleep medications in participants </w:t>
      </w:r>
      <w:r>
        <w:rPr>
          <w:rFonts w:hint="eastAsia" w:ascii="Times New Roman" w:hAnsi="Times New Roman" w:eastAsia="等线" w:cs="Times New Roman"/>
          <w:szCs w:val="21"/>
        </w:rPr>
        <w:t>in weighted analysis</w:t>
      </w:r>
      <w:r>
        <w:rPr>
          <w:rFonts w:hint="eastAsia" w:ascii="Times New Roman" w:hAnsi="Times New Roman" w:eastAsia="宋体" w:cs="Times New Roman"/>
        </w:rPr>
        <w:t xml:space="preserve">. 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8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sleep medication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across different treatment groups on mortality in weighted analysis.</w:t>
      </w:r>
    </w:p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9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Multivariate Cox regression analysis examining the impact of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specific </w:t>
      </w:r>
      <w:r>
        <w:rPr>
          <w:rFonts w:hint="eastAsia" w:ascii="Times New Roman" w:hAnsi="Times New Roman" w:eastAsia="等线" w:cs="Times New Roman"/>
          <w:szCs w:val="21"/>
        </w:rPr>
        <w:t>sleep medication on mortality in weighted analysis.</w:t>
      </w:r>
    </w:p>
    <w:p>
      <w:pPr>
        <w:spacing w:line="360" w:lineRule="auto"/>
      </w:pPr>
    </w:p>
    <w:p/>
    <w:p/>
    <w:p/>
    <w:p/>
    <w:p/>
    <w:p/>
    <w:p/>
    <w:p/>
    <w:p/>
    <w:p/>
    <w:p/>
    <w:p/>
    <w:p/>
    <w:p>
      <w:bookmarkStart w:id="7" w:name="_GoBack"/>
      <w:bookmarkEnd w:id="7"/>
    </w:p>
    <w:p>
      <w:pPr>
        <w:rPr>
          <w:rFonts w:hint="eastAsia"/>
        </w:rPr>
      </w:pPr>
    </w:p>
    <w:p/>
    <w:p/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b/>
          <w:bCs/>
          <w:szCs w:val="21"/>
        </w:rPr>
        <w:t>Table S1.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Types of sleep medication found in the NHANES database.</w:t>
      </w:r>
    </w:p>
    <w:tbl>
      <w:tblPr>
        <w:tblStyle w:val="2"/>
        <w:tblpPr w:leftFromText="180" w:rightFromText="180" w:vertAnchor="text" w:horzAnchor="page" w:tblpX="567" w:tblpY="187"/>
        <w:tblOverlap w:val="never"/>
        <w:tblW w:w="10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78"/>
        <w:gridCol w:w="1378"/>
        <w:gridCol w:w="1288"/>
        <w:gridCol w:w="1456"/>
        <w:gridCol w:w="1411"/>
        <w:gridCol w:w="1489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78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Check in database</w:t>
            </w:r>
          </w:p>
        </w:tc>
        <w:tc>
          <w:tcPr>
            <w:tcW w:w="4044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Benzodiazepines</w:t>
            </w: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Benzodiazepine-like agents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Z-drugs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1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Melatoninergic drugs</w:t>
            </w:r>
          </w:p>
        </w:tc>
        <w:tc>
          <w:tcPr>
            <w:tcW w:w="1489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Orexin receptor antagonists</w:t>
            </w:r>
          </w:p>
        </w:tc>
        <w:tc>
          <w:tcPr>
            <w:tcW w:w="1378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OLE_LINK10"/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Anti-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depressants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78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Short acting, </w:t>
            </w:r>
            <w:bookmarkStart w:id="2" w:name="OLE_LINK3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mean half-life</w:t>
            </w:r>
            <w:bookmarkEnd w:id="2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&lt; 6 h</w:t>
            </w:r>
          </w:p>
        </w:tc>
        <w:tc>
          <w:tcPr>
            <w:tcW w:w="137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Intermediate acting,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mean half-life 6-24 h</w:t>
            </w:r>
          </w:p>
        </w:tc>
        <w:tc>
          <w:tcPr>
            <w:tcW w:w="12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Long acting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,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mean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alf-life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&gt; 24 h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978" w:type="dxa"/>
            <w:tcBorders>
              <w:top w:val="single" w:color="auto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Find</w:t>
            </w:r>
          </w:p>
        </w:tc>
        <w:tc>
          <w:tcPr>
            <w:tcW w:w="1378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Triazolam</w:t>
            </w:r>
          </w:p>
        </w:tc>
        <w:tc>
          <w:tcPr>
            <w:tcW w:w="1378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Estazolam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Lorazepam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Temazepam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Oxazepam</w:t>
            </w:r>
            <w:bookmarkStart w:id="3" w:name="OLE_LINK2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Alprazolam</w:t>
            </w:r>
            <w:bookmarkEnd w:id="3"/>
          </w:p>
        </w:tc>
        <w:tc>
          <w:tcPr>
            <w:tcW w:w="1288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Diazepam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Flurazepam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Nitrazepam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Clonazepam</w:t>
            </w:r>
          </w:p>
        </w:tc>
        <w:tc>
          <w:tcPr>
            <w:tcW w:w="1456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Eszopiclone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Zaleplon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Zolpidem</w:t>
            </w:r>
          </w:p>
        </w:tc>
        <w:tc>
          <w:tcPr>
            <w:tcW w:w="1411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Melatonin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Ramelteon</w:t>
            </w:r>
          </w:p>
        </w:tc>
        <w:tc>
          <w:tcPr>
            <w:tcW w:w="1489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Suvorexant</w:t>
            </w:r>
          </w:p>
        </w:tc>
        <w:tc>
          <w:tcPr>
            <w:tcW w:w="1378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Doxepin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 Find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Brotizolam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Loprazolam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Lormetazepam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Nimetazepam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Rilmazafone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Flunitrazepam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Haloxazolam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Quazepam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Zopiclone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Lemborexant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360" w:lineRule="auto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等线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等线" w:cs="Times New Roman"/>
          <w:b/>
          <w:bCs/>
          <w:szCs w:val="21"/>
        </w:rPr>
        <w:t>.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Detail information of s</w:t>
      </w:r>
      <w:r>
        <w:rPr>
          <w:rFonts w:hint="eastAsia" w:ascii="Times New Roman" w:hAnsi="Times New Roman" w:eastAsia="等线" w:cs="Times New Roman"/>
          <w:szCs w:val="21"/>
        </w:rPr>
        <w:t>leep medication.</w:t>
      </w:r>
    </w:p>
    <w:tbl>
      <w:tblPr>
        <w:tblStyle w:val="2"/>
        <w:tblpPr w:leftFromText="180" w:rightFromText="180" w:vertAnchor="text" w:horzAnchor="page" w:tblpX="408" w:tblpY="205"/>
        <w:tblOverlap w:val="never"/>
        <w:tblW w:w="10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800"/>
        <w:gridCol w:w="1004"/>
        <w:gridCol w:w="879"/>
        <w:gridCol w:w="1635"/>
        <w:gridCol w:w="1769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edication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Category</w:t>
            </w:r>
          </w:p>
        </w:tc>
        <w:tc>
          <w:tcPr>
            <w:tcW w:w="100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Check in database</w:t>
            </w:r>
          </w:p>
        </w:tc>
        <w:tc>
          <w:tcPr>
            <w:tcW w:w="87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Users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635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Mean months of medication usage</w:t>
            </w:r>
          </w:p>
        </w:tc>
        <w:tc>
          <w:tcPr>
            <w:tcW w:w="1769" w:type="dxa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Detected in subsequent analysis</w:t>
            </w:r>
          </w:p>
        </w:tc>
        <w:tc>
          <w:tcPr>
            <w:tcW w:w="224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Exclusion grounds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in monotherapy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86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Triazolam</w:t>
            </w:r>
          </w:p>
        </w:tc>
        <w:tc>
          <w:tcPr>
            <w:tcW w:w="1800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20.9</w:t>
            </w:r>
          </w:p>
        </w:tc>
        <w:tc>
          <w:tcPr>
            <w:tcW w:w="1769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single" w:color="auto" w:sz="12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Alprazolam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79.1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Estazolam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Lorazepam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Temazepam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Oxazepam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120.2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Flurazepam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Nitrazepam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204.1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Clonazepam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68.2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Eszopiclone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Z-drugs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37.9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Zaleplon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Z-drugs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Zolpidem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Z-drugs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Melatonin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Melatoninergic drugs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240.1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Ramelteon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Melatoninergic drugs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Suvorexant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Orexin receptor antagonists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Doxepin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Antidepressants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133.2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Limited user number (&lt;30)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Brotizolam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Loprazolam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Lormetazepam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Nimetazepam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Rilmazafone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Flunitrazepam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Haloxazolam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Quazepam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BDZ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Zopiclone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Z-drugs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Lemborexant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Orexin receptor antagonists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No find</w:t>
            </w:r>
          </w:p>
        </w:tc>
      </w:tr>
    </w:tbl>
    <w:p>
      <w:pPr>
        <w:rPr>
          <w:rFonts w:hint="default" w:ascii="Times New Roman" w:hAnsi="Times New Roman" w:eastAsia="等线" w:cs="Times New Roman"/>
          <w:szCs w:val="21"/>
          <w:lang w:val="en-US" w:eastAsia="zh-CN"/>
        </w:rPr>
      </w:pPr>
      <w:r>
        <w:rPr>
          <w:rFonts w:ascii="Times New Roman" w:hAnsi="Times New Roman" w:eastAsia="等线" w:cs="Times New Roman"/>
          <w:szCs w:val="21"/>
          <w:lang w:eastAsia="zh-CN"/>
        </w:rPr>
        <w:t xml:space="preserve">Abbreviation: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BDZ, Benzodiazepines.</w:t>
      </w:r>
    </w:p>
    <w:p/>
    <w:p/>
    <w:p/>
    <w:p/>
    <w:p/>
    <w:p/>
    <w:p/>
    <w:p/>
    <w:p/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Characteristics of </w:t>
      </w:r>
      <w:r>
        <w:rPr>
          <w:rFonts w:hint="eastAsia" w:ascii="Times New Roman" w:hAnsi="Times New Roman" w:eastAsia="宋体" w:cs="Times New Roman"/>
          <w:lang w:eastAsia="zh-CN"/>
        </w:rPr>
        <w:t>benzodiazepine users</w:t>
      </w:r>
      <w:r>
        <w:rPr>
          <w:rFonts w:hint="eastAsia" w:ascii="Times New Roman" w:hAnsi="Times New Roman" w:eastAsia="宋体" w:cs="Times New Roman"/>
        </w:rPr>
        <w:t xml:space="preserve"> and </w:t>
      </w:r>
      <w:r>
        <w:rPr>
          <w:rFonts w:hint="eastAsia" w:ascii="Times New Roman" w:hAnsi="Times New Roman" w:eastAsia="宋体" w:cs="Times New Roman"/>
          <w:lang w:eastAsia="zh-CN"/>
        </w:rPr>
        <w:t>Z-drug users</w:t>
      </w:r>
      <w:r>
        <w:rPr>
          <w:rFonts w:hint="eastAsia" w:ascii="Times New Roman" w:hAnsi="Times New Roman" w:eastAsia="宋体" w:cs="Times New Roman"/>
        </w:rPr>
        <w:t>.</w:t>
      </w:r>
    </w:p>
    <w:tbl>
      <w:tblPr>
        <w:tblStyle w:val="2"/>
        <w:tblW w:w="8585" w:type="dxa"/>
        <w:tblInd w:w="-19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19"/>
        <w:gridCol w:w="1979"/>
        <w:gridCol w:w="2178"/>
        <w:gridCol w:w="11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tblHeader/>
        </w:trPr>
        <w:tc>
          <w:tcPr>
            <w:tcW w:w="331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Variables</w:t>
            </w:r>
          </w:p>
        </w:tc>
        <w:tc>
          <w:tcPr>
            <w:tcW w:w="19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t>enzodiazepine users</w:t>
            </w:r>
          </w:p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679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217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t>Z-drug users</w:t>
            </w:r>
          </w:p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205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110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  <w:t>Statistics</w:t>
            </w:r>
          </w:p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331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Age (years)</w:t>
            </w:r>
          </w:p>
        </w:tc>
        <w:tc>
          <w:tcPr>
            <w:tcW w:w="197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62.0 (51.0 - 73.0)</w:t>
            </w:r>
          </w:p>
        </w:tc>
        <w:tc>
          <w:tcPr>
            <w:tcW w:w="217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63.0 (53.0 - 73.0)</w:t>
            </w:r>
          </w:p>
        </w:tc>
        <w:tc>
          <w:tcPr>
            <w:tcW w:w="110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0.356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Gender,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en-US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en-U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0.481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20" w:firstLineChars="100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267 (39.3%)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75 (36.6%)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412 (60.7%)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130 (63.4%)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 xml:space="preserve">BMI </w:t>
            </w: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group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0.734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Underweight</w:t>
            </w: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(&lt;18.5)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8 (1.18%)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1 (0.49%)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Normal</w:t>
            </w: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(18.5 to &lt;25)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149 (21.9%)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 (20.0%)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Overweight</w:t>
            </w: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(25 to &lt;30)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197 (29.0%)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 (31.2%)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Obese</w:t>
            </w: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val="en-US" w:eastAsia="zh-CN"/>
              </w:rPr>
              <w:t>(30 or greater)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325 (47.9%)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99 (48.3%)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PIR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1.6 (1.0 - 3.1)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2.3 (1.2 - 4.5)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Race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0.617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Non-Hispanic White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435 (64.1%)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125 (61.0%)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Non-Hispanic Black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91 (13.4%)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31 (15.1%)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Mexican American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47 (6.9%)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19 (9.3%)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Other Hispanic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63 (9.3%)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15 (7.3%)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Other Race/multiracial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43 (6.3%)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15 (7.3%)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Education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0.042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Less Than 9th Grade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77 (11.3%)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25 (12.2%)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9-11th Grade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103 (15.2%)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25 (12.2%)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High School Grad/GED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180 (26.5%)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42 (20.5%)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Some College or AA degree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225 (33.1%)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68 (33.2%)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College Graduate or above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94 (13.8%)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45 (22.0%)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Marry status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0.363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Marry/Living with partner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353 (52.0%)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114 (55.6%)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271" w:leftChars="129" w:right="100" w:rightChars="0"/>
              <w:jc w:val="both"/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Widowed/Divorced/Separated/</w:t>
            </w:r>
          </w:p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271" w:leftChars="129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Never married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326 (48.0%)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91 (44.4%)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Drinking status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0.659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504 (74.2%)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149 (72.7%)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175 (25.8%)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56 (27.3%)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Smoking status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0.004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Never smoker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260 (38.3%)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91 (44.4%)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Former smoker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231 (34.0%)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81 (39.5%)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Current smoker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188 (27.7%)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33 (16.1%)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enter" w:pos="1574"/>
              </w:tabs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Diabetes mellitus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0.979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143 (21.1%)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43 (21.0%)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536 (78.9%)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162 (79.0%)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CVD history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0.140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184 (27.1%)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45 (22.0%)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495 (72.9%)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160 (78.0%)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 w:rightChars="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Depressive symptom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, n (%)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0.099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199 (29.3%)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48 (23.4%)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331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 w:firstLine="210" w:firstLineChars="100"/>
              <w:jc w:val="both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480 (70.7%) 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157 (76.6%) 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</w:pPr>
      <w:r>
        <w:rPr>
          <w:rFonts w:ascii="Times New Roman" w:hAnsi="Times New Roman" w:eastAsia="等线" w:cs="Times New Roman"/>
          <w:szCs w:val="21"/>
        </w:rPr>
        <w:t xml:space="preserve">Continuous variables are expressed as Mean±Standard Deviation (SD) or Median with Interquartile Range (IQR). </w:t>
      </w:r>
      <w:r>
        <w:rPr>
          <w:rFonts w:hint="eastAsia" w:ascii="Times New Roman" w:hAnsi="Times New Roman" w:eastAsia="等线" w:cs="Times New Roman"/>
          <w:szCs w:val="21"/>
        </w:rPr>
        <w:t xml:space="preserve">The categorical variables were presented as </w:t>
      </w:r>
      <w:r>
        <w:rPr>
          <w:rFonts w:ascii="Times New Roman" w:hAnsi="Times New Roman" w:eastAsia="等线" w:cs="Times New Roman"/>
          <w:szCs w:val="21"/>
        </w:rPr>
        <w:t>numbers</w:t>
      </w:r>
      <w:r>
        <w:rPr>
          <w:rFonts w:hint="eastAsia" w:ascii="Times New Roman" w:hAnsi="Times New Roman" w:eastAsia="等线" w:cs="Times New Roman"/>
          <w:szCs w:val="21"/>
        </w:rPr>
        <w:t xml:space="preserve"> and percentages. Abbreviations: BMI, body mass index; PIR, family poverty income ratio; </w:t>
      </w:r>
      <w:r>
        <w:rPr>
          <w:rFonts w:ascii="Times New Roman" w:hAnsi="Times New Roman" w:eastAsia="等线" w:cs="Times New Roman"/>
          <w:szCs w:val="21"/>
        </w:rPr>
        <w:t xml:space="preserve">CVD, </w:t>
      </w:r>
      <w:r>
        <w:rPr>
          <w:rFonts w:hint="eastAsia" w:ascii="Times New Roman" w:hAnsi="Times New Roman" w:eastAsia="等线" w:cs="Times New Roman"/>
          <w:szCs w:val="21"/>
        </w:rPr>
        <w:t>c</w:t>
      </w:r>
      <w:r>
        <w:rPr>
          <w:rFonts w:ascii="Times New Roman" w:hAnsi="Times New Roman" w:eastAsia="等线" w:cs="Times New Roman"/>
          <w:szCs w:val="21"/>
        </w:rPr>
        <w:t>ardiovascular disease</w:t>
      </w:r>
      <w:r>
        <w:rPr>
          <w:rFonts w:hint="eastAsia" w:ascii="Times New Roman" w:hAnsi="Times New Roman" w:eastAsia="等线" w:cs="Times New Roman"/>
          <w:szCs w:val="21"/>
        </w:rPr>
        <w:t xml:space="preserve">. Bold p-values denote </w:t>
      </w:r>
      <w:r>
        <w:rPr>
          <w:rFonts w:ascii="Times New Roman" w:hAnsi="Times New Roman" w:eastAsia="等线" w:cs="Times New Roman"/>
          <w:szCs w:val="21"/>
        </w:rPr>
        <w:t>statistical</w:t>
      </w:r>
      <w:r>
        <w:rPr>
          <w:rFonts w:hint="eastAsia" w:ascii="Times New Roman" w:hAnsi="Times New Roman" w:eastAsia="等线" w:cs="Times New Roman"/>
          <w:szCs w:val="21"/>
        </w:rPr>
        <w:t xml:space="preserve"> significance at the p&lt;.05 level.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宋体" w:cs="Times New Roman"/>
        </w:rPr>
      </w:pPr>
      <w:bookmarkStart w:id="4" w:name="OLE_LINK14"/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Estimated variations in blood pressure across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specific </w:t>
      </w:r>
      <w:r>
        <w:rPr>
          <w:rFonts w:hint="eastAsia" w:ascii="Times New Roman" w:hAnsi="Times New Roman" w:eastAsia="等线" w:cs="Times New Roman"/>
          <w:szCs w:val="21"/>
        </w:rPr>
        <w:t>sleep medication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s</w:t>
      </w:r>
      <w:r>
        <w:rPr>
          <w:rFonts w:hint="eastAsia" w:ascii="Times New Roman" w:hAnsi="Times New Roman" w:eastAsia="宋体" w:cs="Times New Roman"/>
        </w:rPr>
        <w:t xml:space="preserve"> in participants with hypertension and </w:t>
      </w:r>
      <w:r>
        <w:rPr>
          <w:rFonts w:hint="eastAsia" w:ascii="Times New Roman" w:hAnsi="Times New Roman" w:eastAsia="宋体" w:cs="Times New Roman"/>
          <w:lang w:eastAsia="zh-CN"/>
        </w:rPr>
        <w:t>sleep disturbance</w:t>
      </w:r>
      <w:r>
        <w:rPr>
          <w:rFonts w:hint="eastAsia" w:ascii="Times New Roman" w:hAnsi="Times New Roman" w:eastAsia="宋体" w:cs="Times New Roman"/>
        </w:rPr>
        <w:t xml:space="preserve">. </w:t>
      </w:r>
    </w:p>
    <w:bookmarkEnd w:id="4"/>
    <w:p>
      <w:pPr>
        <w:rPr>
          <w:rFonts w:ascii="Times New Roman" w:hAnsi="Times New Roman" w:eastAsia="宋体" w:cs="Times New Roman"/>
        </w:rPr>
      </w:pPr>
    </w:p>
    <w:tbl>
      <w:tblPr>
        <w:tblStyle w:val="2"/>
        <w:tblW w:w="11648" w:type="dxa"/>
        <w:tblInd w:w="-163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3"/>
        <w:gridCol w:w="1303"/>
        <w:gridCol w:w="2152"/>
        <w:gridCol w:w="983"/>
        <w:gridCol w:w="1862"/>
        <w:gridCol w:w="1107"/>
        <w:gridCol w:w="1883"/>
        <w:gridCol w:w="10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  <w:tblHeader/>
        </w:trPr>
        <w:tc>
          <w:tcPr>
            <w:tcW w:w="129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Medication</w:t>
            </w:r>
          </w:p>
        </w:tc>
        <w:tc>
          <w:tcPr>
            <w:tcW w:w="130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 w:line="240" w:lineRule="auto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Medication kind</w:t>
            </w:r>
          </w:p>
        </w:tc>
        <w:tc>
          <w:tcPr>
            <w:tcW w:w="313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SBP</w:t>
            </w:r>
          </w:p>
        </w:tc>
        <w:tc>
          <w:tcPr>
            <w:tcW w:w="296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DBP</w:t>
            </w:r>
          </w:p>
        </w:tc>
        <w:tc>
          <w:tcPr>
            <w:tcW w:w="294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MAP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  <w:tblHeader/>
        </w:trPr>
        <w:tc>
          <w:tcPr>
            <w:tcW w:w="129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 w:line="240" w:lineRule="auto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Beta (95% CI)</w:t>
            </w:r>
          </w:p>
        </w:tc>
        <w:tc>
          <w:tcPr>
            <w:tcW w:w="98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-value</w:t>
            </w:r>
          </w:p>
        </w:tc>
        <w:tc>
          <w:tcPr>
            <w:tcW w:w="186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Beta (95% CI)</w:t>
            </w:r>
          </w:p>
        </w:tc>
        <w:tc>
          <w:tcPr>
            <w:tcW w:w="110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-value</w:t>
            </w:r>
          </w:p>
        </w:tc>
        <w:tc>
          <w:tcPr>
            <w:tcW w:w="1883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Beta (95% CI)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129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Alprazolam</w:t>
            </w:r>
          </w:p>
        </w:tc>
        <w:tc>
          <w:tcPr>
            <w:tcW w:w="130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BDZ</w:t>
            </w:r>
          </w:p>
        </w:tc>
        <w:tc>
          <w:tcPr>
            <w:tcW w:w="215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-1.74 (-3.86 ~ 0.38)</w:t>
            </w:r>
          </w:p>
        </w:tc>
        <w:tc>
          <w:tcPr>
            <w:tcW w:w="98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0.108</w:t>
            </w:r>
          </w:p>
        </w:tc>
        <w:tc>
          <w:tcPr>
            <w:tcW w:w="186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-0.98 (-2.32 ~ 0.35)</w:t>
            </w:r>
          </w:p>
        </w:tc>
        <w:tc>
          <w:tcPr>
            <w:tcW w:w="1107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0.150</w:t>
            </w:r>
          </w:p>
        </w:tc>
        <w:tc>
          <w:tcPr>
            <w:tcW w:w="188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-1.24 (-2.58 ~ 0.11)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0.072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Lorazepam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BDZ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-2.34 (-5.34 ~ 0.66)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0.127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-1.44 (-3.33 ~ 0.44)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0.134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-1.74 (-3.65 ~ 0.17)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0.073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Temazepam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BDZ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-2.68 (-6.63 ~ 1.28)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0.184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-2.55 (-5.05 ~ -0.06)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0.045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-2.60 (-5.11 ~ -0.08)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Diazepam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BDZ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-5.93 (-10.34 ~ -1.51)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0.008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-3.58 (-6.36 ~ -0.80)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0.011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-4.36 (-7.17 ~ -1.56)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Clonazepam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BDZ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-4.15 (-7.01 ~ -1.20)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0.006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-1.67 (-3.53 ~ 0.19)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0.078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-2.50 (-4.37 ~ -0.63)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12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Zolpidem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Z-drugs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-4.62 (-6.99 ~ -2.26)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-1.86 (-3.35 ~ -0.37)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0.015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-2.78 (-4.28 ~ -1.27)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&lt;0.001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bookmarkStart w:id="5" w:name="OLE_LINK6"/>
      <w:r>
        <w:rPr>
          <w:rFonts w:hint="eastAsia" w:ascii="Times New Roman" w:hAnsi="Times New Roman" w:eastAsia="等线" w:cs="Times New Roman"/>
          <w:szCs w:val="21"/>
        </w:rPr>
        <w:t xml:space="preserve">Table illustrates the comparison between participants receiving the specific medication and those </w:t>
      </w:r>
      <w:r>
        <w:rPr>
          <w:rFonts w:ascii="Times New Roman" w:hAnsi="Times New Roman" w:eastAsia="等线" w:cs="Times New Roman"/>
          <w:szCs w:val="21"/>
        </w:rPr>
        <w:t>not using</w:t>
      </w:r>
      <w:r>
        <w:rPr>
          <w:rFonts w:hint="eastAsia" w:ascii="Times New Roman" w:hAnsi="Times New Roman" w:eastAsia="等线" w:cs="Times New Roman"/>
          <w:szCs w:val="21"/>
        </w:rPr>
        <w:t xml:space="preserve"> sleep medications. All estimated models were adjusted for age, sex, race,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BMI group</w:t>
      </w:r>
      <w:r>
        <w:rPr>
          <w:rFonts w:hint="eastAsia" w:ascii="Times New Roman" w:hAnsi="Times New Roman" w:eastAsia="等线" w:cs="Times New Roman"/>
          <w:szCs w:val="21"/>
        </w:rPr>
        <w:t xml:space="preserve">, poverty income ratio, education, smoking status (never, former, current), drinking status (never, former, current), marital status, CVD history (yes/no), diabetes status (yes/no) and depressive symptom (yes/no). </w:t>
      </w:r>
      <w:r>
        <w:rPr>
          <w:rFonts w:ascii="Times New Roman" w:hAnsi="Times New Roman" w:eastAsia="等线" w:cs="Times New Roman"/>
          <w:szCs w:val="21"/>
        </w:rPr>
        <w:t>Bold p-values denote statistical significance at the p&lt;.05 level.</w:t>
      </w:r>
    </w:p>
    <w:bookmarkEnd w:id="5"/>
    <w:p>
      <w:pPr>
        <w:rPr>
          <w:rFonts w:hint="default" w:ascii="Times New Roman" w:hAnsi="Times New Roman" w:eastAsia="等线" w:cs="Times New Roman"/>
          <w:szCs w:val="21"/>
          <w:lang w:val="en-US" w:eastAsia="zh-CN"/>
        </w:rPr>
      </w:pPr>
      <w:r>
        <w:rPr>
          <w:rFonts w:ascii="Times New Roman" w:hAnsi="Times New Roman" w:eastAsia="等线" w:cs="Times New Roman"/>
          <w:szCs w:val="21"/>
          <w:lang w:eastAsia="zh-CN"/>
        </w:rPr>
        <w:t xml:space="preserve">Abbreviation: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 xml:space="preserve">SBP, </w:t>
      </w:r>
      <w:r>
        <w:rPr>
          <w:rFonts w:ascii="Times New Roman" w:hAnsi="Times New Roman" w:eastAsia="等线" w:cs="Times New Roman"/>
          <w:szCs w:val="21"/>
          <w:lang w:eastAsia="zh-CN"/>
        </w:rPr>
        <w:t>systolic blood pressure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 xml:space="preserve">; DBP, </w:t>
      </w:r>
      <w:r>
        <w:rPr>
          <w:rFonts w:ascii="Times New Roman" w:hAnsi="Times New Roman" w:eastAsia="等线" w:cs="Times New Roman"/>
          <w:szCs w:val="21"/>
          <w:lang w:eastAsia="zh-CN"/>
        </w:rPr>
        <w:t>diastolic blood pressure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 xml:space="preserve">; MAP, </w:t>
      </w:r>
      <w:r>
        <w:rPr>
          <w:rFonts w:hint="eastAsia" w:ascii="Times New Roman" w:hAnsi="Times New Roman" w:cs="Times New Roman"/>
          <w:szCs w:val="28"/>
          <w:lang w:eastAsia="zh-CN"/>
        </w:rPr>
        <w:t xml:space="preserve">mean </w:t>
      </w:r>
      <w:r>
        <w:rPr>
          <w:rFonts w:ascii="Times New Roman" w:hAnsi="Times New Roman" w:cs="Times New Roman"/>
          <w:szCs w:val="28"/>
          <w:lang w:eastAsia="zh-CN"/>
        </w:rPr>
        <w:t xml:space="preserve">arterial </w:t>
      </w:r>
      <w:r>
        <w:rPr>
          <w:rFonts w:ascii="Times New Roman" w:hAnsi="Times New Roman" w:eastAsia="等线" w:cs="Times New Roman"/>
          <w:szCs w:val="21"/>
          <w:lang w:eastAsia="zh-CN"/>
        </w:rPr>
        <w:t>pressure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; BDZ, Benzodiazepines.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ind w:left="211" w:hanging="211" w:hangingChars="100"/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Multivariate Cox regression analysis examining the impact of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specific </w:t>
      </w:r>
      <w:r>
        <w:rPr>
          <w:rFonts w:hint="eastAsia" w:ascii="Times New Roman" w:hAnsi="Times New Roman" w:eastAsia="等线" w:cs="Times New Roman"/>
          <w:szCs w:val="21"/>
        </w:rPr>
        <w:t>sleep medication on all-cause mortality.</w:t>
      </w:r>
    </w:p>
    <w:p>
      <w:pPr>
        <w:ind w:left="210" w:hanging="210" w:hangingChars="100"/>
        <w:rPr>
          <w:rFonts w:ascii="Times New Roman" w:hAnsi="Times New Roman" w:eastAsia="等线" w:cs="Times New Roman"/>
          <w:szCs w:val="21"/>
        </w:rPr>
      </w:pPr>
    </w:p>
    <w:tbl>
      <w:tblPr>
        <w:tblStyle w:val="2"/>
        <w:tblpPr w:leftFromText="180" w:rightFromText="180" w:vertAnchor="text" w:horzAnchor="page" w:tblpX="559" w:tblpY="63"/>
        <w:tblOverlap w:val="never"/>
        <w:tblW w:w="1059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2"/>
        <w:gridCol w:w="1948"/>
        <w:gridCol w:w="979"/>
        <w:gridCol w:w="1892"/>
        <w:gridCol w:w="916"/>
        <w:gridCol w:w="1775"/>
        <w:gridCol w:w="9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  <w:tblHeader/>
        </w:trPr>
        <w:tc>
          <w:tcPr>
            <w:tcW w:w="2172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292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Crude Model</w:t>
            </w:r>
          </w:p>
        </w:tc>
        <w:tc>
          <w:tcPr>
            <w:tcW w:w="280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  <w:tblHeader/>
        </w:trPr>
        <w:tc>
          <w:tcPr>
            <w:tcW w:w="2172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89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7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1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Without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1[Ref.]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1[Ref.]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1[Ref.]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Alprazolam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1.51 (1.17 - 1.94)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1.09 (0.84 - 1.42)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0.517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1.09 (0.84 - 1.41)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0.539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Lorazepam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1.89 (1.36 - 2.61)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1.55 (1.11 - 2.15)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0.009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1.45 (1.04 - 2.01)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0.028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Temazepam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1.23 (0.74 - 2.06)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0.423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0.78 (0.47 - 1.31)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0.348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0.78 (0.46 - 1.31)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0.343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Diazepam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1.47 (0.88 - 2.45)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0.141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1.54 (0.92 - 2.59)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0.102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1.80 (1.07 - 3.03)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0.027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Clonazepam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1.17 (0.80 - 1.71)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0.410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1.00 (0.68 - 1.46)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0.981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1.01 (0.68 - 1.48)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0.976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atLeast"/>
        </w:trPr>
        <w:tc>
          <w:tcPr>
            <w:tcW w:w="21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Zolpidem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1.53 (1.17 - 2.01)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0.002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1.41 (1.07 - 1.87)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1.47 (1.11 - 1.93)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0.007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Abbreviation: HR, Hazard Ratio; CI, confidence interval.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Cox proportional hazard models were performed for all-cause mortality. Competing risk analyses of cause-specific mortality were performed.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The crude model did not adjust for any covariates.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1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status,</w:t>
      </w:r>
      <w:r>
        <w:rPr>
          <w:rFonts w:hint="eastAsia" w:ascii="Times New Roman" w:hAnsi="Times New Roman" w:eastAsia="等线" w:cs="Times New Roman"/>
          <w:szCs w:val="21"/>
        </w:rPr>
        <w:t xml:space="preserve"> and depressive </w:t>
      </w:r>
      <w:r>
        <w:rPr>
          <w:rFonts w:ascii="Times New Roman" w:hAnsi="Times New Roman" w:eastAsia="等线" w:cs="Times New Roman"/>
          <w:szCs w:val="21"/>
        </w:rPr>
        <w:t>symptoms</w:t>
      </w:r>
      <w:r>
        <w:rPr>
          <w:rFonts w:hint="eastAsia" w:ascii="Times New Roman" w:hAnsi="Times New Roman" w:eastAsia="等线" w:cs="Times New Roman"/>
          <w:szCs w:val="21"/>
        </w:rPr>
        <w:t xml:space="preserve"> (yes/no)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2 was adjusted for </w:t>
      </w:r>
      <w:r>
        <w:rPr>
          <w:rFonts w:hint="eastAsia" w:ascii="Times New Roman" w:hAnsi="Times New Roman" w:eastAsia="等线" w:cs="Times New Roman"/>
          <w:szCs w:val="21"/>
        </w:rPr>
        <w:t>CVD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history and diabetes status </w:t>
      </w:r>
      <w:r>
        <w:rPr>
          <w:rFonts w:ascii="Times New Roman" w:hAnsi="Times New Roman" w:eastAsia="等线" w:cs="Times New Roman"/>
          <w:szCs w:val="21"/>
        </w:rPr>
        <w:t>in addition to model 1.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Bold p-values denote statistical significance at the p&lt;.05 level.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Estimation of blood pressure difference in participants with hypertension and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sleep disturbance</w:t>
      </w:r>
      <w:r>
        <w:rPr>
          <w:rFonts w:hint="eastAsia" w:ascii="Times New Roman" w:hAnsi="Times New Roman" w:eastAsia="等线" w:cs="Times New Roman"/>
          <w:szCs w:val="21"/>
        </w:rPr>
        <w:t xml:space="preserve"> in weighted analysis.</w:t>
      </w:r>
    </w:p>
    <w:tbl>
      <w:tblPr>
        <w:tblStyle w:val="2"/>
        <w:tblW w:w="10530" w:type="dxa"/>
        <w:tblInd w:w="-67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2088"/>
        <w:gridCol w:w="900"/>
        <w:gridCol w:w="2124"/>
        <w:gridCol w:w="936"/>
        <w:gridCol w:w="2280"/>
        <w:gridCol w:w="10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  <w:tblHeader/>
        </w:trPr>
        <w:tc>
          <w:tcPr>
            <w:tcW w:w="1200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</w:rPr>
              <w:t>Variables</w:t>
            </w:r>
          </w:p>
        </w:tc>
        <w:tc>
          <w:tcPr>
            <w:tcW w:w="298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With sleep medication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>a</w:t>
            </w:r>
          </w:p>
        </w:tc>
        <w:tc>
          <w:tcPr>
            <w:tcW w:w="306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t>enzodiazepine users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>a</w:t>
            </w:r>
          </w:p>
        </w:tc>
        <w:tc>
          <w:tcPr>
            <w:tcW w:w="328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  <w:t>Z-drug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users</w:t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</w:rPr>
              <w:t>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tblHeader/>
        </w:trPr>
        <w:tc>
          <w:tcPr>
            <w:tcW w:w="1200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Beta (95% CI)</w:t>
            </w:r>
          </w:p>
        </w:tc>
        <w:tc>
          <w:tcPr>
            <w:tcW w:w="9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-value</w:t>
            </w:r>
          </w:p>
        </w:tc>
        <w:tc>
          <w:tcPr>
            <w:tcW w:w="212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Beta (95% CI)</w:t>
            </w:r>
          </w:p>
        </w:tc>
        <w:tc>
          <w:tcPr>
            <w:tcW w:w="93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-value</w:t>
            </w:r>
          </w:p>
        </w:tc>
        <w:tc>
          <w:tcPr>
            <w:tcW w:w="228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Beta (95% CI)</w:t>
            </w:r>
          </w:p>
        </w:tc>
        <w:tc>
          <w:tcPr>
            <w:tcW w:w="100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120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SBP</w:t>
            </w:r>
          </w:p>
        </w:tc>
        <w:tc>
          <w:tcPr>
            <w:tcW w:w="208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-2.91 (-4.44 ~ -1.38)</w:t>
            </w:r>
          </w:p>
        </w:tc>
        <w:tc>
          <w:tcPr>
            <w:tcW w:w="90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&lt;0.001</w:t>
            </w:r>
          </w:p>
        </w:tc>
        <w:tc>
          <w:tcPr>
            <w:tcW w:w="212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-2.36 (-4.06 ~ -0.67)</w:t>
            </w:r>
          </w:p>
        </w:tc>
        <w:tc>
          <w:tcPr>
            <w:tcW w:w="936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0.007</w:t>
            </w:r>
          </w:p>
        </w:tc>
        <w:tc>
          <w:tcPr>
            <w:tcW w:w="2280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-2.47 (-5.57 ~ 0.63)</w:t>
            </w:r>
          </w:p>
        </w:tc>
        <w:tc>
          <w:tcPr>
            <w:tcW w:w="100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0.117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DBP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-1.43 (-2.56 ~ -0.31)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0.013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-1.20 (-2.49 ~ 0.08)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0.065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-1.32 (-3.47 ~ 0.83)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0.225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</w:trPr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MAP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-1.93 (-3.01 ~ -0.84)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-1.59 (-2.83 ~ -0.35)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0.013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-1.71 (-3.78 ~ 0.37)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  <w:lang w:val="en-US" w:eastAsia="zh-CN"/>
              </w:rPr>
              <w:t>0.105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  <w:vertAlign w:val="superscript"/>
        </w:rPr>
        <w:t xml:space="preserve">a </w:t>
      </w:r>
      <w:r>
        <w:rPr>
          <w:rFonts w:hint="eastAsia" w:ascii="Times New Roman" w:hAnsi="Times New Roman" w:eastAsia="等线" w:cs="Times New Roman"/>
          <w:szCs w:val="21"/>
        </w:rPr>
        <w:t>Compared to participants who didn't use sleeping medication.</w:t>
      </w: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hint="eastAsia" w:ascii="Times New Roman" w:hAnsi="Times New Roman" w:eastAsia="等线" w:cs="Times New Roman"/>
          <w:szCs w:val="21"/>
        </w:rPr>
        <w:t xml:space="preserve">Unstandardized coefficients are presented with 95%CI in parentheses. All estimated models were adjusted for age, sex, race,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BMI group</w:t>
      </w:r>
      <w:r>
        <w:rPr>
          <w:rFonts w:hint="eastAsia" w:ascii="Times New Roman" w:hAnsi="Times New Roman" w:eastAsia="等线" w:cs="Times New Roman"/>
          <w:szCs w:val="21"/>
        </w:rPr>
        <w:t>, poverty income ratio, education, smoking status (never, former, current), drinking status (never, former, current), marital status, CVD history (yes/no), diabetes status (yes/no), and depressive symptom (yes/no).</w:t>
      </w:r>
    </w:p>
    <w:p>
      <w:pPr>
        <w:rPr>
          <w:rFonts w:hint="eastAsia" w:ascii="Times New Roman" w:hAnsi="Times New Roman" w:eastAsia="等线" w:cs="Times New Roman"/>
          <w:szCs w:val="21"/>
          <w:lang w:val="en-US" w:eastAsia="zh-CN"/>
        </w:rPr>
      </w:pPr>
      <w:r>
        <w:rPr>
          <w:rFonts w:ascii="Times New Roman" w:hAnsi="Times New Roman" w:eastAsia="等线" w:cs="Times New Roman"/>
          <w:szCs w:val="21"/>
        </w:rPr>
        <w:t xml:space="preserve">Abbreviation: </w:t>
      </w:r>
      <w:r>
        <w:rPr>
          <w:rFonts w:hint="eastAsia" w:ascii="Times New Roman" w:hAnsi="Times New Roman" w:eastAsia="等线" w:cs="Times New Roman"/>
          <w:szCs w:val="21"/>
        </w:rPr>
        <w:t xml:space="preserve">SBP, </w:t>
      </w:r>
      <w:r>
        <w:rPr>
          <w:rFonts w:ascii="Times New Roman" w:hAnsi="Times New Roman" w:eastAsia="等线" w:cs="Times New Roman"/>
          <w:szCs w:val="21"/>
        </w:rPr>
        <w:t>systolic blood pressure</w:t>
      </w:r>
      <w:r>
        <w:rPr>
          <w:rFonts w:hint="eastAsia" w:ascii="Times New Roman" w:hAnsi="Times New Roman" w:eastAsia="等线" w:cs="Times New Roman"/>
          <w:szCs w:val="21"/>
        </w:rPr>
        <w:t xml:space="preserve">; DBP, </w:t>
      </w:r>
      <w:r>
        <w:rPr>
          <w:rFonts w:ascii="Times New Roman" w:hAnsi="Times New Roman" w:eastAsia="等线" w:cs="Times New Roman"/>
          <w:szCs w:val="21"/>
        </w:rPr>
        <w:t>diastolic blood pressure</w:t>
      </w:r>
      <w:r>
        <w:rPr>
          <w:rFonts w:hint="eastAsia" w:ascii="Times New Roman" w:hAnsi="Times New Roman" w:eastAsia="等线" w:cs="Times New Roman"/>
          <w:szCs w:val="21"/>
        </w:rPr>
        <w:t xml:space="preserve">; MAP, mean </w:t>
      </w:r>
      <w:r>
        <w:rPr>
          <w:rFonts w:ascii="Times New Roman" w:hAnsi="Times New Roman" w:eastAsia="等线" w:cs="Times New Roman"/>
          <w:szCs w:val="21"/>
        </w:rPr>
        <w:t>arterial pressure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7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Estimated variations in blood pressure across sleep medications in participants </w:t>
      </w:r>
      <w:r>
        <w:rPr>
          <w:rFonts w:hint="eastAsia" w:ascii="Times New Roman" w:hAnsi="Times New Roman" w:eastAsia="等线" w:cs="Times New Roman"/>
          <w:szCs w:val="21"/>
        </w:rPr>
        <w:t>in weighted analysis</w:t>
      </w:r>
      <w:r>
        <w:rPr>
          <w:rFonts w:hint="eastAsia" w:ascii="Times New Roman" w:hAnsi="Times New Roman" w:eastAsia="宋体" w:cs="Times New Roman"/>
        </w:rPr>
        <w:t xml:space="preserve">. </w:t>
      </w:r>
    </w:p>
    <w:tbl>
      <w:tblPr>
        <w:tblStyle w:val="2"/>
        <w:tblW w:w="11410" w:type="dxa"/>
        <w:tblInd w:w="-15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8"/>
        <w:gridCol w:w="1334"/>
        <w:gridCol w:w="2118"/>
        <w:gridCol w:w="924"/>
        <w:gridCol w:w="2079"/>
        <w:gridCol w:w="879"/>
        <w:gridCol w:w="1997"/>
        <w:gridCol w:w="9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tblHeader/>
        </w:trPr>
        <w:tc>
          <w:tcPr>
            <w:tcW w:w="1138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Names</w:t>
            </w:r>
          </w:p>
        </w:tc>
        <w:tc>
          <w:tcPr>
            <w:tcW w:w="1334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Medication kind</w:t>
            </w:r>
          </w:p>
        </w:tc>
        <w:tc>
          <w:tcPr>
            <w:tcW w:w="304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SBP</w:t>
            </w:r>
          </w:p>
        </w:tc>
        <w:tc>
          <w:tcPr>
            <w:tcW w:w="295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DBP</w:t>
            </w:r>
          </w:p>
        </w:tc>
        <w:tc>
          <w:tcPr>
            <w:tcW w:w="293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tblHeader/>
        </w:trPr>
        <w:tc>
          <w:tcPr>
            <w:tcW w:w="1138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Beta (95% CI)</w:t>
            </w:r>
          </w:p>
        </w:tc>
        <w:tc>
          <w:tcPr>
            <w:tcW w:w="92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20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Beta (95% CI)</w:t>
            </w:r>
          </w:p>
        </w:tc>
        <w:tc>
          <w:tcPr>
            <w:tcW w:w="8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1997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Beta (95% CI)</w:t>
            </w:r>
          </w:p>
        </w:tc>
        <w:tc>
          <w:tcPr>
            <w:tcW w:w="94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leftChars="0" w:right="10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</w:trPr>
        <w:tc>
          <w:tcPr>
            <w:tcW w:w="113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Alprazolam</w:t>
            </w:r>
          </w:p>
        </w:tc>
        <w:tc>
          <w:tcPr>
            <w:tcW w:w="133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bookmarkStart w:id="6" w:name="OLE_LINK4"/>
            <w:r>
              <w:rPr>
                <w:rFonts w:hint="eastAsia"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DZ</w:t>
            </w:r>
            <w:bookmarkEnd w:id="6"/>
          </w:p>
        </w:tc>
        <w:tc>
          <w:tcPr>
            <w:tcW w:w="211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-2.69 (-5.22 ~ -0.17)</w:t>
            </w:r>
          </w:p>
        </w:tc>
        <w:tc>
          <w:tcPr>
            <w:tcW w:w="92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0.037</w:t>
            </w:r>
          </w:p>
        </w:tc>
        <w:tc>
          <w:tcPr>
            <w:tcW w:w="207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-0.49 (-2.14 ~ 1.16)</w:t>
            </w:r>
          </w:p>
        </w:tc>
        <w:tc>
          <w:tcPr>
            <w:tcW w:w="879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0.557</w:t>
            </w:r>
          </w:p>
        </w:tc>
        <w:tc>
          <w:tcPr>
            <w:tcW w:w="1997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-1.22 (-2.94 ~ 0.49)</w:t>
            </w:r>
          </w:p>
        </w:tc>
        <w:tc>
          <w:tcPr>
            <w:tcW w:w="94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0.159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Lorazepam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DZ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-2.20 (-5.67 ~ 1.26)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0.210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-2.10 (-4.13 ~ -0.07)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-2.13 (-4.12 ~ -0.15)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Temazepam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DZ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-4.47 (-8.99 ~ 0.06)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0.053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-4.25 (-6.99 ~ -1.52)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-4.32 (-7.25 ~ -1.40)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Diazepam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DZ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-6.09 (-13.76 ~ 1.58)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0.118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-4.16 (-9.21 ~ 0.89)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0.105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-4.80 (-10.19 ~ 0.59)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Clonazepam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DZ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-3.05 (-5.81 ~ -0.29)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-0.92 (-3.29 ~ 1.46)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0.445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-1.63 (-3.81 ~ 0.55)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0.141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</w:trPr>
        <w:tc>
          <w:tcPr>
            <w:tcW w:w="11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Zolpidem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Z-drugs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-4.23 (-7.37 ~ -1.09)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-2.47 (-4.51 ~ -0.42)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0.019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-3.05 (-5.12 ~ -0.99)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0.004</w:t>
            </w:r>
          </w:p>
        </w:tc>
      </w:tr>
    </w:tbl>
    <w:p>
      <w:pPr>
        <w:rPr>
          <w:rFonts w:hint="eastAsia" w:ascii="Times New Roman" w:hAnsi="Times New Roman" w:eastAsia="等线" w:cs="Times New Roman"/>
          <w:szCs w:val="21"/>
          <w:lang w:val="en-US" w:eastAsia="zh-CN"/>
        </w:rPr>
      </w:pPr>
      <w:r>
        <w:rPr>
          <w:rFonts w:hint="eastAsia" w:ascii="Times New Roman" w:hAnsi="Times New Roman" w:eastAsia="等线" w:cs="Times New Roman"/>
          <w:szCs w:val="21"/>
        </w:rPr>
        <w:t xml:space="preserve">Table illustrates the comparison between participants receiving the specific medication and those </w:t>
      </w:r>
      <w:r>
        <w:rPr>
          <w:rFonts w:ascii="Times New Roman" w:hAnsi="Times New Roman" w:eastAsia="等线" w:cs="Times New Roman"/>
          <w:szCs w:val="21"/>
        </w:rPr>
        <w:t>not using</w:t>
      </w:r>
      <w:r>
        <w:rPr>
          <w:rFonts w:hint="eastAsia" w:ascii="Times New Roman" w:hAnsi="Times New Roman" w:eastAsia="等线" w:cs="Times New Roman"/>
          <w:szCs w:val="21"/>
        </w:rPr>
        <w:t xml:space="preserve"> sleep medications. All estimated models were adjusted for age, sex, race, </w:t>
      </w:r>
      <w:r>
        <w:rPr>
          <w:rFonts w:hint="eastAsia" w:ascii="Times New Roman" w:hAnsi="Times New Roman" w:eastAsia="等线" w:cs="Times New Roman"/>
          <w:szCs w:val="21"/>
          <w:lang w:eastAsia="zh-CN"/>
        </w:rPr>
        <w:t>BMI group</w:t>
      </w:r>
      <w:r>
        <w:rPr>
          <w:rFonts w:hint="eastAsia" w:ascii="Times New Roman" w:hAnsi="Times New Roman" w:eastAsia="等线" w:cs="Times New Roman"/>
          <w:szCs w:val="21"/>
        </w:rPr>
        <w:t xml:space="preserve">, poverty income ratio, education, smoking status, drinking status, marital status, CVD history, diabetes status and depressive symptom. </w:t>
      </w:r>
      <w:r>
        <w:rPr>
          <w:rFonts w:ascii="Times New Roman" w:hAnsi="Times New Roman" w:eastAsia="等线" w:cs="Times New Roman"/>
          <w:szCs w:val="21"/>
        </w:rPr>
        <w:t>Bold p-values denote statistical significance at the p&lt;.05 level.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Abbreviation: SBP, systolic blood pressure; DBP, diastolic blood pressure; MAP, mean arterial pressure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; </w:t>
      </w:r>
      <w:r>
        <w:rPr>
          <w:rFonts w:hint="eastAsia" w:ascii="Times New Roman" w:hAnsi="Times New Roman" w:eastAsia="等线" w:cs="Times New Roman"/>
          <w:szCs w:val="21"/>
        </w:rPr>
        <w:t>BDZ, benzodiazepines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>.</w:t>
      </w:r>
    </w:p>
    <w:p>
      <w:pPr>
        <w:rPr>
          <w:rFonts w:hint="eastAsia" w:ascii="Times New Roman" w:hAnsi="Times New Roman" w:eastAsia="等线" w:cs="Times New Roman"/>
          <w:szCs w:val="21"/>
          <w:lang w:val="en-US" w:eastAsia="zh-CN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8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Multivariate Cox regression analysis examining the impact of sleep medication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>across different treatment groups on mortality in weighted analysis.</w:t>
      </w:r>
    </w:p>
    <w:tbl>
      <w:tblPr>
        <w:tblStyle w:val="2"/>
        <w:tblpPr w:leftFromText="180" w:rightFromText="180" w:vertAnchor="text" w:horzAnchor="page" w:tblpX="293" w:tblpY="63"/>
        <w:tblOverlap w:val="never"/>
        <w:tblW w:w="111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1"/>
        <w:gridCol w:w="2179"/>
        <w:gridCol w:w="966"/>
        <w:gridCol w:w="1754"/>
        <w:gridCol w:w="931"/>
        <w:gridCol w:w="1731"/>
        <w:gridCol w:w="10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  <w:tblHeader/>
        </w:trPr>
        <w:tc>
          <w:tcPr>
            <w:tcW w:w="2591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1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Crude Model</w:t>
            </w:r>
          </w:p>
        </w:tc>
        <w:tc>
          <w:tcPr>
            <w:tcW w:w="268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  <w:tblHeader/>
        </w:trPr>
        <w:tc>
          <w:tcPr>
            <w:tcW w:w="2591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5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3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3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100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1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Cs w:val="21"/>
              </w:rPr>
              <w:t>All-cause mortality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Without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 any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1.57 (1.29 - 1.92)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1.19 (0.97 - 1.47)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0.099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1.19 (0.97 - 1.47)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enzodiazepines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1.51 (1.21 - 1.88)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&lt;0.001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1.08 (0.84 - 1.37)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0.558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1.07 (0.84 - 1.36)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0.599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Z-drugs</w:t>
            </w:r>
            <w:r>
              <w:rPr>
                <w:rFonts w:hint="eastAsia" w:ascii="Times New Roman" w:hAnsi="Times New Roman" w:eastAsia="等线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1.68 (1.14 - 2.47)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1.44 (1.05 - 1.98)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0.025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1.43 (1.05 - 1.96)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11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  <w:t>Cardiovascular mortality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Without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 any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0.94 (0.52 - 1.69)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0.74 (0.41 - 1.33)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0.312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0.73 (0.41 - 1.32)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enzodiazepines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0.89 (0.50 - 1.59)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0.698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 (0.38 - 1.08)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0.096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0.61 (0.36 - 1.04)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0.068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25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Z-drugs</w:t>
            </w:r>
            <w:r>
              <w:rPr>
                <w:rFonts w:hint="eastAsia" w:ascii="Times New Roman" w:hAnsi="Times New Roman" w:eastAsia="等线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0.51 (0.18 - 1.43)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0.203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0.46 (0.18 - 1.18)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0.105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0.46 (0.18 - 1.17)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0.104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Abbreviation: HR, Hazard Ratio; CI, confidence interval.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Cox proportional hazard models were performed for all-cause mortality. Competing risk analyses of cause-specific mortality were performed.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The crude model did not adjust for any covariates.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1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status,</w:t>
      </w:r>
      <w:r>
        <w:rPr>
          <w:rFonts w:hint="eastAsia" w:ascii="Times New Roman" w:hAnsi="Times New Roman" w:eastAsia="等线" w:cs="Times New Roman"/>
          <w:szCs w:val="21"/>
        </w:rPr>
        <w:t xml:space="preserve"> and depressive </w:t>
      </w:r>
      <w:r>
        <w:rPr>
          <w:rFonts w:ascii="Times New Roman" w:hAnsi="Times New Roman" w:eastAsia="等线" w:cs="Times New Roman"/>
          <w:szCs w:val="21"/>
        </w:rPr>
        <w:t>symptoms</w:t>
      </w:r>
      <w:r>
        <w:rPr>
          <w:rFonts w:hint="eastAsia" w:ascii="Times New Roman" w:hAnsi="Times New Roman" w:eastAsia="等线" w:cs="Times New Roman"/>
          <w:szCs w:val="21"/>
        </w:rPr>
        <w:t xml:space="preserve"> (yes/no)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2 was adjusted for </w:t>
      </w:r>
      <w:r>
        <w:rPr>
          <w:rFonts w:hint="eastAsia" w:ascii="Times New Roman" w:hAnsi="Times New Roman" w:eastAsia="等线" w:cs="Times New Roman"/>
          <w:szCs w:val="21"/>
        </w:rPr>
        <w:t>CVD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history and diabetes status </w:t>
      </w:r>
      <w:r>
        <w:rPr>
          <w:rFonts w:ascii="Times New Roman" w:hAnsi="Times New Roman" w:eastAsia="等线" w:cs="Times New Roman"/>
          <w:szCs w:val="21"/>
        </w:rPr>
        <w:t>in addition to model 1.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Bold p-values denote statistical significance at the p&lt;.05 level.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宋体" w:cs="Times New Roman"/>
          <w:b/>
          <w:bCs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9</w:t>
      </w:r>
      <w:r>
        <w:rPr>
          <w:rFonts w:ascii="Times New Roman" w:hAnsi="Times New Roman" w:eastAsia="宋体" w:cs="Times New Roman"/>
          <w:b/>
          <w:bCs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Multivariate Cox regression analysis examining the impact of </w:t>
      </w:r>
      <w:r>
        <w:rPr>
          <w:rFonts w:hint="eastAsia" w:ascii="Times New Roman" w:hAnsi="Times New Roman" w:eastAsia="等线" w:cs="Times New Roman"/>
          <w:szCs w:val="21"/>
          <w:lang w:val="en-US" w:eastAsia="zh-CN"/>
        </w:rPr>
        <w:t xml:space="preserve">specific </w:t>
      </w:r>
      <w:r>
        <w:rPr>
          <w:rFonts w:hint="eastAsia" w:ascii="Times New Roman" w:hAnsi="Times New Roman" w:eastAsia="等线" w:cs="Times New Roman"/>
          <w:szCs w:val="21"/>
        </w:rPr>
        <w:t>sleep medication on mortality in weighted analysis.</w:t>
      </w:r>
    </w:p>
    <w:tbl>
      <w:tblPr>
        <w:tblStyle w:val="2"/>
        <w:tblpPr w:leftFromText="180" w:rightFromText="180" w:vertAnchor="text" w:horzAnchor="page" w:tblpX="293" w:tblpY="63"/>
        <w:tblOverlap w:val="never"/>
        <w:tblW w:w="111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1"/>
        <w:gridCol w:w="2179"/>
        <w:gridCol w:w="966"/>
        <w:gridCol w:w="1754"/>
        <w:gridCol w:w="931"/>
        <w:gridCol w:w="1731"/>
        <w:gridCol w:w="10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  <w:tblHeader/>
        </w:trPr>
        <w:tc>
          <w:tcPr>
            <w:tcW w:w="2591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1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Crude Model</w:t>
            </w:r>
          </w:p>
        </w:tc>
        <w:tc>
          <w:tcPr>
            <w:tcW w:w="268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 xml:space="preserve">Model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Model 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  <w:tblHeader/>
        </w:trPr>
        <w:tc>
          <w:tcPr>
            <w:tcW w:w="2591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66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54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93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173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HR (95% CI)</w:t>
            </w:r>
          </w:p>
        </w:tc>
        <w:tc>
          <w:tcPr>
            <w:tcW w:w="100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</w:rPr>
              <w:t>-value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11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Cs w:val="21"/>
              </w:rPr>
              <w:t>All-cause mortality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Without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Alprazolam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1.46 (1.12 - 1.91)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0.96 (0.68 - 1.36)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0.822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0.94 (0.66 - 1.35)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0.749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Lorazepam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1.73 (1.04 - 2.86)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1.44 (0.94 - 2.23)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0.097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1.41 (0.91 - 2.18)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0.129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Temazepam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1.37 (0.69 - 2.69)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0.365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0.78 (0.39 - 1.57)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0.484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0.78 (0.37 - 1.65)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Diazepam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2.09 (1.03 - 4.25)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0.042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1.91 (0.96 - 3.78)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0.063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2.21 (1.12 - 4.33)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Clonazepam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1.50 (0.98 - 2.28)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0.060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1.29 (0.77 - 2.15)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0.330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1.34 (0.83 - 2.18)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0.229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Zolpidem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1.63 (1.13 - 2.34)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0.008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1.41 (1.02 - 1.94)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0.036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1.46 (1.06 - 2.02)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11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  <w:t>Cardiovascular mortality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 xml:space="preserve">Without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sleep medication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1[Ref.]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Alprazolam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0.99 (0.41 - 2.38)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0.980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0.65 (0.29 - 1.45)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0.294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(0.29 - 1.35)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0.231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Lorazepam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0.64 (0.21 - 1.91)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0.422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0.53 (0.19 - 1.53)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0.242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0.50 (0.18 - 1.41)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0.192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Temazepam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Diazepam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2.57 (0.88 - 7.51)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0.083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2.62 (0.93 - 7.36)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0.069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3.27 (1.31 - 8.16)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bCs/>
                <w:color w:val="000000"/>
                <w:szCs w:val="21"/>
                <w:lang w:val="en-US" w:eastAsia="zh-CN"/>
              </w:rPr>
              <w:t>0.011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Clonazepam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1.49 (0.35 - 6.41)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0.594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1.37 (0.29 - 6.44)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0.693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1.41 (0.31 - 6.46)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0.656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leftChars="0" w:right="100" w:rightChars="0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Zolpidem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1.24 (0.43 - 3.59)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0.697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1.15 (0.40 - 3.28)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0.795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1.23 (0.43 - 3.52)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0.699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25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0" w:right="100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Z-drugs</w:t>
            </w:r>
            <w:r>
              <w:rPr>
                <w:rFonts w:hint="eastAsia" w:ascii="Times New Roman" w:hAnsi="Times New Roman" w:eastAsia="等线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0.99 (0.41 - 2.38)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0.98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0.65 (0.29 - 1.45)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0.294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0.62 (0.29 - 1.35)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0" w:after="100" w:afterAutospacing="0"/>
              <w:ind w:left="100" w:right="100"/>
              <w:jc w:val="center"/>
              <w:rPr>
                <w:rFonts w:hint="default" w:ascii="Times New Roman" w:hAnsi="Times New Roman" w:eastAsia="Arial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color w:val="000000"/>
                <w:szCs w:val="21"/>
                <w:lang w:val="en-US" w:eastAsia="zh-CN"/>
              </w:rPr>
              <w:t>0.231</w:t>
            </w:r>
          </w:p>
        </w:tc>
      </w:tr>
    </w:tbl>
    <w:p>
      <w:pPr>
        <w:rPr>
          <w:rFonts w:ascii="Times New Roman" w:hAnsi="Times New Roman" w:eastAsia="等线" w:cs="Times New Roman"/>
          <w:szCs w:val="21"/>
        </w:rPr>
      </w:pPr>
      <w:r>
        <w:rPr>
          <w:rFonts w:ascii="Times New Roman" w:hAnsi="Times New Roman" w:eastAsia="等线" w:cs="Times New Roman"/>
          <w:szCs w:val="21"/>
        </w:rPr>
        <w:t>Abbreviation: HR, Hazard Ratio; CI, confidence interval.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Cox proportional hazard models were performed for all-cause mortality. Competing risk analyses of cause-specific mortality were performed.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The crude model did not adjust for any covariates.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1 was adjusted for age, sex, race, </w:t>
      </w:r>
      <w:r>
        <w:rPr>
          <w:rFonts w:hint="eastAsia" w:ascii="Times New Roman" w:hAnsi="Times New Roman" w:eastAsia="等线" w:cs="Times New Roman"/>
          <w:szCs w:val="21"/>
        </w:rPr>
        <w:t>BMI group,</w:t>
      </w:r>
      <w:r>
        <w:rPr>
          <w:rFonts w:ascii="Times New Roman" w:hAnsi="Times New Roman" w:eastAsia="等线" w:cs="Times New Roman"/>
          <w:szCs w:val="21"/>
        </w:rPr>
        <w:t xml:space="preserve"> poverty income ratio, education, smoking</w:t>
      </w:r>
      <w:r>
        <w:rPr>
          <w:rFonts w:hint="eastAsia" w:ascii="Times New Roman" w:hAnsi="Times New Roman" w:eastAsia="等线" w:cs="Times New Roman"/>
          <w:szCs w:val="21"/>
        </w:rPr>
        <w:t xml:space="preserve">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drinking status</w:t>
      </w:r>
      <w:r>
        <w:rPr>
          <w:rFonts w:ascii="Times New Roman" w:hAnsi="Times New Roman" w:eastAsia="等线" w:cs="Times New Roman"/>
          <w:szCs w:val="21"/>
        </w:rPr>
        <w:t>,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marital status,</w:t>
      </w:r>
      <w:r>
        <w:rPr>
          <w:rFonts w:hint="eastAsia" w:ascii="Times New Roman" w:hAnsi="Times New Roman" w:eastAsia="等线" w:cs="Times New Roman"/>
          <w:szCs w:val="21"/>
        </w:rPr>
        <w:t xml:space="preserve"> and depressive </w:t>
      </w:r>
      <w:r>
        <w:rPr>
          <w:rFonts w:ascii="Times New Roman" w:hAnsi="Times New Roman" w:eastAsia="等线" w:cs="Times New Roman"/>
          <w:szCs w:val="21"/>
        </w:rPr>
        <w:t>symptoms</w:t>
      </w:r>
      <w:r>
        <w:rPr>
          <w:rFonts w:hint="eastAsia" w:ascii="Times New Roman" w:hAnsi="Times New Roman" w:eastAsia="等线" w:cs="Times New Roman"/>
          <w:szCs w:val="21"/>
        </w:rPr>
        <w:t xml:space="preserve"> (yes/no)</w:t>
      </w:r>
      <w:r>
        <w:rPr>
          <w:rFonts w:ascii="Times New Roman" w:hAnsi="Times New Roman" w:eastAsia="等线" w:cs="Times New Roman"/>
          <w:szCs w:val="21"/>
        </w:rPr>
        <w:t>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 xml:space="preserve">Model 2 was adjusted for </w:t>
      </w:r>
      <w:r>
        <w:rPr>
          <w:rFonts w:hint="eastAsia" w:ascii="Times New Roman" w:hAnsi="Times New Roman" w:eastAsia="等线" w:cs="Times New Roman"/>
          <w:szCs w:val="21"/>
        </w:rPr>
        <w:t>CVD</w:t>
      </w:r>
      <w:r>
        <w:rPr>
          <w:rFonts w:ascii="Times New Roman" w:hAnsi="Times New Roman" w:eastAsia="等线" w:cs="Times New Roman"/>
          <w:szCs w:val="21"/>
        </w:rPr>
        <w:t xml:space="preserve"> </w:t>
      </w:r>
      <w:r>
        <w:rPr>
          <w:rFonts w:hint="eastAsia" w:ascii="Times New Roman" w:hAnsi="Times New Roman" w:eastAsia="等线" w:cs="Times New Roman"/>
          <w:szCs w:val="21"/>
        </w:rPr>
        <w:t xml:space="preserve">history and diabetes status </w:t>
      </w:r>
      <w:r>
        <w:rPr>
          <w:rFonts w:ascii="Times New Roman" w:hAnsi="Times New Roman" w:eastAsia="等线" w:cs="Times New Roman"/>
          <w:szCs w:val="21"/>
        </w:rPr>
        <w:t>in addition to model 1.</w:t>
      </w:r>
      <w:r>
        <w:rPr>
          <w:rFonts w:hint="eastAsia" w:ascii="Times New Roman" w:hAnsi="Times New Roman" w:eastAsia="等线" w:cs="Times New Roman"/>
          <w:szCs w:val="21"/>
        </w:rPr>
        <w:t xml:space="preserve"> </w:t>
      </w:r>
      <w:r>
        <w:rPr>
          <w:rFonts w:ascii="Times New Roman" w:hAnsi="Times New Roman" w:eastAsia="等线" w:cs="Times New Roman"/>
          <w:szCs w:val="21"/>
        </w:rPr>
        <w:t>Bold p-values denote statistical significance at the p&lt;.05 level.</w:t>
      </w:r>
    </w:p>
    <w:p>
      <w:pPr>
        <w:rPr>
          <w:rFonts w:ascii="Times New Roman" w:hAnsi="Times New Roman" w:eastAsia="等线" w:cs="Times New Roman"/>
          <w:szCs w:val="21"/>
        </w:rPr>
      </w:pPr>
    </w:p>
    <w:p>
      <w:pPr>
        <w:rPr>
          <w:rFonts w:ascii="Times New Roman" w:hAnsi="Times New Roman" w:eastAsia="等线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zZiMGUzNDQzYTliNTU5YTY1ZjU4ZDFiZGM1MTcifQ=="/>
  </w:docVars>
  <w:rsids>
    <w:rsidRoot w:val="627D7494"/>
    <w:rsid w:val="0031338B"/>
    <w:rsid w:val="003C415A"/>
    <w:rsid w:val="00955594"/>
    <w:rsid w:val="00C630C0"/>
    <w:rsid w:val="00F06077"/>
    <w:rsid w:val="00FE759D"/>
    <w:rsid w:val="014D0C00"/>
    <w:rsid w:val="01CF143C"/>
    <w:rsid w:val="01F74141"/>
    <w:rsid w:val="025E756E"/>
    <w:rsid w:val="032347B9"/>
    <w:rsid w:val="034D6BB0"/>
    <w:rsid w:val="03556B84"/>
    <w:rsid w:val="0381685A"/>
    <w:rsid w:val="03C2134C"/>
    <w:rsid w:val="065D35AE"/>
    <w:rsid w:val="06C70A28"/>
    <w:rsid w:val="073E0DCC"/>
    <w:rsid w:val="076D6513"/>
    <w:rsid w:val="07A5520D"/>
    <w:rsid w:val="07C35012"/>
    <w:rsid w:val="07E51AAD"/>
    <w:rsid w:val="091D124D"/>
    <w:rsid w:val="09CE36FE"/>
    <w:rsid w:val="0A40746F"/>
    <w:rsid w:val="0A624868"/>
    <w:rsid w:val="0D5F6CB8"/>
    <w:rsid w:val="0DB43634"/>
    <w:rsid w:val="0E7A7C0E"/>
    <w:rsid w:val="10EB19A6"/>
    <w:rsid w:val="11501F26"/>
    <w:rsid w:val="116457F1"/>
    <w:rsid w:val="11B83D8F"/>
    <w:rsid w:val="11E64458"/>
    <w:rsid w:val="12E10DF9"/>
    <w:rsid w:val="13001549"/>
    <w:rsid w:val="145E0C1D"/>
    <w:rsid w:val="146313AE"/>
    <w:rsid w:val="151F7BFA"/>
    <w:rsid w:val="15EE7A56"/>
    <w:rsid w:val="1798522F"/>
    <w:rsid w:val="17FC327D"/>
    <w:rsid w:val="181B1F72"/>
    <w:rsid w:val="19371A3D"/>
    <w:rsid w:val="19404D24"/>
    <w:rsid w:val="19605416"/>
    <w:rsid w:val="19D46D32"/>
    <w:rsid w:val="19E219A9"/>
    <w:rsid w:val="1A3178BC"/>
    <w:rsid w:val="1A693E78"/>
    <w:rsid w:val="1B4E63EC"/>
    <w:rsid w:val="1BF23BBA"/>
    <w:rsid w:val="1C703892"/>
    <w:rsid w:val="1D093235"/>
    <w:rsid w:val="1D2251D7"/>
    <w:rsid w:val="1D4738BB"/>
    <w:rsid w:val="1E3046B7"/>
    <w:rsid w:val="1E6B7BEB"/>
    <w:rsid w:val="1E9E7E97"/>
    <w:rsid w:val="1F8D0609"/>
    <w:rsid w:val="2039362C"/>
    <w:rsid w:val="21143362"/>
    <w:rsid w:val="228A1178"/>
    <w:rsid w:val="22DD18A7"/>
    <w:rsid w:val="22E639B9"/>
    <w:rsid w:val="22EA1A1C"/>
    <w:rsid w:val="230218B1"/>
    <w:rsid w:val="232B3B29"/>
    <w:rsid w:val="2351194D"/>
    <w:rsid w:val="23FA60C2"/>
    <w:rsid w:val="24156E1F"/>
    <w:rsid w:val="247B4ED4"/>
    <w:rsid w:val="25A476DF"/>
    <w:rsid w:val="25CA445F"/>
    <w:rsid w:val="260E4FAA"/>
    <w:rsid w:val="2944785F"/>
    <w:rsid w:val="2B262BFA"/>
    <w:rsid w:val="2B487ADA"/>
    <w:rsid w:val="2BE912BD"/>
    <w:rsid w:val="2D5F60B5"/>
    <w:rsid w:val="2E67471B"/>
    <w:rsid w:val="2E993178"/>
    <w:rsid w:val="2ECF6C02"/>
    <w:rsid w:val="2F1018EA"/>
    <w:rsid w:val="2FA8774C"/>
    <w:rsid w:val="2FB614B6"/>
    <w:rsid w:val="2FEE5624"/>
    <w:rsid w:val="30670498"/>
    <w:rsid w:val="3095731D"/>
    <w:rsid w:val="30AB4D93"/>
    <w:rsid w:val="311E73BA"/>
    <w:rsid w:val="31990B56"/>
    <w:rsid w:val="31B07249"/>
    <w:rsid w:val="320A55E2"/>
    <w:rsid w:val="32584A65"/>
    <w:rsid w:val="32C75241"/>
    <w:rsid w:val="32D6267D"/>
    <w:rsid w:val="332130EA"/>
    <w:rsid w:val="34253631"/>
    <w:rsid w:val="34476E5F"/>
    <w:rsid w:val="348B6F5E"/>
    <w:rsid w:val="35FC1BEC"/>
    <w:rsid w:val="36032F7B"/>
    <w:rsid w:val="36462E68"/>
    <w:rsid w:val="36FB3E29"/>
    <w:rsid w:val="375A4FD4"/>
    <w:rsid w:val="37904CE2"/>
    <w:rsid w:val="37B94B15"/>
    <w:rsid w:val="397119C0"/>
    <w:rsid w:val="39D87645"/>
    <w:rsid w:val="3A7C7AC5"/>
    <w:rsid w:val="3ABC5917"/>
    <w:rsid w:val="3ACF167E"/>
    <w:rsid w:val="3AF75BC2"/>
    <w:rsid w:val="3B005CDB"/>
    <w:rsid w:val="3B213E7B"/>
    <w:rsid w:val="3B2435B9"/>
    <w:rsid w:val="3B842468"/>
    <w:rsid w:val="3BC241CB"/>
    <w:rsid w:val="3C2E20A6"/>
    <w:rsid w:val="3C3E1CB5"/>
    <w:rsid w:val="3C6B77D1"/>
    <w:rsid w:val="3CEF24AB"/>
    <w:rsid w:val="3D4311FF"/>
    <w:rsid w:val="3D5347E8"/>
    <w:rsid w:val="3D7B3D3F"/>
    <w:rsid w:val="3D9C3168"/>
    <w:rsid w:val="3DBB65DA"/>
    <w:rsid w:val="3DC079A3"/>
    <w:rsid w:val="3E15655F"/>
    <w:rsid w:val="3F0410F9"/>
    <w:rsid w:val="417B661D"/>
    <w:rsid w:val="41952BC8"/>
    <w:rsid w:val="435412BA"/>
    <w:rsid w:val="43EE526A"/>
    <w:rsid w:val="44E620B1"/>
    <w:rsid w:val="462E6024"/>
    <w:rsid w:val="47211AB2"/>
    <w:rsid w:val="47266171"/>
    <w:rsid w:val="47694F1C"/>
    <w:rsid w:val="479A0B45"/>
    <w:rsid w:val="4850399C"/>
    <w:rsid w:val="486B41A9"/>
    <w:rsid w:val="489D2DBB"/>
    <w:rsid w:val="48C53C2C"/>
    <w:rsid w:val="490216E1"/>
    <w:rsid w:val="495D452B"/>
    <w:rsid w:val="4A7D10F6"/>
    <w:rsid w:val="4A9508EC"/>
    <w:rsid w:val="4A967308"/>
    <w:rsid w:val="4AC4194A"/>
    <w:rsid w:val="4AE97F83"/>
    <w:rsid w:val="4AFF2072"/>
    <w:rsid w:val="4B80290C"/>
    <w:rsid w:val="4C270839"/>
    <w:rsid w:val="4C6D68CD"/>
    <w:rsid w:val="4D7E0DEF"/>
    <w:rsid w:val="4DEE0D66"/>
    <w:rsid w:val="4E305B24"/>
    <w:rsid w:val="4E3354C4"/>
    <w:rsid w:val="4EC66A03"/>
    <w:rsid w:val="4F053E51"/>
    <w:rsid w:val="4F924BE4"/>
    <w:rsid w:val="4FF0236A"/>
    <w:rsid w:val="50862FF0"/>
    <w:rsid w:val="517E430A"/>
    <w:rsid w:val="51F223CA"/>
    <w:rsid w:val="53B11E10"/>
    <w:rsid w:val="53E977FC"/>
    <w:rsid w:val="53FE4A0C"/>
    <w:rsid w:val="5471184B"/>
    <w:rsid w:val="560C07C1"/>
    <w:rsid w:val="56114DE8"/>
    <w:rsid w:val="562E06A6"/>
    <w:rsid w:val="56D4449B"/>
    <w:rsid w:val="56D567B3"/>
    <w:rsid w:val="56FB5DFE"/>
    <w:rsid w:val="57316401"/>
    <w:rsid w:val="57C36B01"/>
    <w:rsid w:val="59C42947"/>
    <w:rsid w:val="5A830AFB"/>
    <w:rsid w:val="5AF87969"/>
    <w:rsid w:val="5B791466"/>
    <w:rsid w:val="5B8727FA"/>
    <w:rsid w:val="5C9D48B8"/>
    <w:rsid w:val="5CB178C7"/>
    <w:rsid w:val="5CE70032"/>
    <w:rsid w:val="5D014829"/>
    <w:rsid w:val="5D075B29"/>
    <w:rsid w:val="5E98135A"/>
    <w:rsid w:val="5EC073AC"/>
    <w:rsid w:val="5F125E59"/>
    <w:rsid w:val="6022031E"/>
    <w:rsid w:val="60472AF3"/>
    <w:rsid w:val="609D4E6C"/>
    <w:rsid w:val="61077C50"/>
    <w:rsid w:val="6159566A"/>
    <w:rsid w:val="627D7494"/>
    <w:rsid w:val="63A31776"/>
    <w:rsid w:val="63CE3457"/>
    <w:rsid w:val="63F55D49"/>
    <w:rsid w:val="64113DCF"/>
    <w:rsid w:val="649E6ED2"/>
    <w:rsid w:val="64A1076B"/>
    <w:rsid w:val="64AE06C7"/>
    <w:rsid w:val="64D27AC2"/>
    <w:rsid w:val="64E4000D"/>
    <w:rsid w:val="65BF1B5B"/>
    <w:rsid w:val="664408C2"/>
    <w:rsid w:val="691E6A93"/>
    <w:rsid w:val="69AF0D22"/>
    <w:rsid w:val="69C62A73"/>
    <w:rsid w:val="6A681023"/>
    <w:rsid w:val="6A714BD6"/>
    <w:rsid w:val="6ABF101E"/>
    <w:rsid w:val="6B69463C"/>
    <w:rsid w:val="6C5C6003"/>
    <w:rsid w:val="6CF02A75"/>
    <w:rsid w:val="6D3D245C"/>
    <w:rsid w:val="6D50550A"/>
    <w:rsid w:val="6E573888"/>
    <w:rsid w:val="6EE03FD2"/>
    <w:rsid w:val="6F2A51BA"/>
    <w:rsid w:val="6FAF14A2"/>
    <w:rsid w:val="704832EA"/>
    <w:rsid w:val="70D80585"/>
    <w:rsid w:val="71236A2B"/>
    <w:rsid w:val="71A32941"/>
    <w:rsid w:val="71C10491"/>
    <w:rsid w:val="72402BF3"/>
    <w:rsid w:val="749957DC"/>
    <w:rsid w:val="750C3A85"/>
    <w:rsid w:val="75317111"/>
    <w:rsid w:val="765377F4"/>
    <w:rsid w:val="771C189B"/>
    <w:rsid w:val="775C1F10"/>
    <w:rsid w:val="778D08BF"/>
    <w:rsid w:val="77F42EDE"/>
    <w:rsid w:val="791D0166"/>
    <w:rsid w:val="79226F14"/>
    <w:rsid w:val="794D6E35"/>
    <w:rsid w:val="79F25C86"/>
    <w:rsid w:val="7A285C9F"/>
    <w:rsid w:val="7C4C354E"/>
    <w:rsid w:val="7EDE0F2F"/>
    <w:rsid w:val="7F3E4552"/>
    <w:rsid w:val="7F58584A"/>
    <w:rsid w:val="7FA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2294</Words>
  <Characters>14041</Characters>
  <Lines>1170</Lines>
  <Paragraphs>859</Paragraphs>
  <TotalTime>34</TotalTime>
  <ScaleCrop>false</ScaleCrop>
  <LinksUpToDate>false</LinksUpToDate>
  <CharactersWithSpaces>15476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2024-05-29T14:21:00Z</dcterms:created>
  <dc:creator>泽锐</dc:creator>
  <cp:lastModifiedBy>泽锐</cp:lastModifiedBy>
  <dcterms:modified xsi:type="dcterms:W3CDTF">2025-01-14T12:13:07Z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C0A0ED4A86D04F6482A22E68DF03BA26</vt:lpwstr>
  </property>
  <property fmtid="{D5CDD505-2E9C-101B-9397-08002B2CF9AE}" pid="4" name="GrammarlyDocumentId">
    <vt:lpwstr>b13773ffdb79f87d9c5b8313861e9ad61d5bfdda940417bc3b1178bc4ffd536d</vt:lpwstr>
  </property>
</Properties>
</file>