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26AF65" w14:textId="4AEBD024" w:rsidR="00F263CE" w:rsidRPr="00F263CE" w:rsidRDefault="00F263CE" w:rsidP="0088310E">
      <w:pPr>
        <w:pStyle w:val="Title"/>
        <w:spacing w:after="120"/>
        <w:rPr>
          <w:sz w:val="36"/>
          <w:szCs w:val="36"/>
        </w:rPr>
      </w:pPr>
      <w:r w:rsidRPr="00F263CE">
        <w:rPr>
          <w:sz w:val="36"/>
          <w:szCs w:val="36"/>
        </w:rPr>
        <w:t>Supplemental Information for:</w:t>
      </w:r>
    </w:p>
    <w:p w14:paraId="5665457A" w14:textId="2B89C723" w:rsidR="00F263CE" w:rsidRPr="006258A9" w:rsidRDefault="00371B15" w:rsidP="006258A9">
      <w:pPr>
        <w:pStyle w:val="Title"/>
        <w:spacing w:after="120"/>
        <w:rPr>
          <w:b/>
          <w:bCs/>
        </w:rPr>
      </w:pPr>
      <w:r w:rsidRPr="00F263CE">
        <w:rPr>
          <w:b/>
          <w:bCs/>
        </w:rPr>
        <w:t xml:space="preserve">Regional coordination </w:t>
      </w:r>
      <w:r w:rsidR="00175DCF" w:rsidRPr="00F263CE">
        <w:rPr>
          <w:b/>
          <w:bCs/>
        </w:rPr>
        <w:t xml:space="preserve">can </w:t>
      </w:r>
      <w:r w:rsidRPr="00F263CE">
        <w:rPr>
          <w:b/>
          <w:bCs/>
        </w:rPr>
        <w:t xml:space="preserve">alleviate </w:t>
      </w:r>
      <w:r w:rsidR="00782021" w:rsidRPr="00F263CE">
        <w:rPr>
          <w:b/>
          <w:bCs/>
        </w:rPr>
        <w:t>the cost</w:t>
      </w:r>
      <w:r w:rsidRPr="00F263CE">
        <w:rPr>
          <w:b/>
          <w:bCs/>
        </w:rPr>
        <w:t xml:space="preserve"> burden of </w:t>
      </w:r>
      <w:r w:rsidR="00782021" w:rsidRPr="00F263CE">
        <w:rPr>
          <w:b/>
          <w:bCs/>
        </w:rPr>
        <w:t xml:space="preserve">a </w:t>
      </w:r>
      <w:r w:rsidR="00C041B1" w:rsidRPr="00F263CE">
        <w:rPr>
          <w:b/>
          <w:bCs/>
        </w:rPr>
        <w:t>low-carbon</w:t>
      </w:r>
      <w:r w:rsidRPr="00F263CE">
        <w:rPr>
          <w:b/>
          <w:bCs/>
        </w:rPr>
        <w:t xml:space="preserve"> electricity system</w:t>
      </w:r>
    </w:p>
    <w:p w14:paraId="605554A2" w14:textId="15804E75" w:rsidR="006F1179" w:rsidRPr="00A02B80" w:rsidRDefault="006F1179" w:rsidP="0088310E">
      <w:pPr>
        <w:pStyle w:val="Authors"/>
        <w:spacing w:before="120" w:after="120"/>
      </w:pPr>
      <w:r w:rsidRPr="00A02B80">
        <w:t>Jacob Wessel</w:t>
      </w:r>
      <w:r w:rsidRPr="00A02B80">
        <w:rPr>
          <w:vertAlign w:val="superscript"/>
        </w:rPr>
        <w:t>a,*</w:t>
      </w:r>
      <w:r w:rsidRPr="00A02B80">
        <w:t xml:space="preserve">, </w:t>
      </w:r>
      <w:r w:rsidR="00371B15" w:rsidRPr="00A02B80">
        <w:t>AFM Kamal Chowdhury</w:t>
      </w:r>
      <w:r w:rsidR="00371B15" w:rsidRPr="00A02B80">
        <w:rPr>
          <w:vertAlign w:val="superscript"/>
        </w:rPr>
        <w:t>b</w:t>
      </w:r>
      <w:r w:rsidRPr="00A02B80">
        <w:t>, Thomas Wild</w:t>
      </w:r>
      <w:r w:rsidRPr="00A02B80">
        <w:rPr>
          <w:vertAlign w:val="superscript"/>
        </w:rPr>
        <w:t>b</w:t>
      </w:r>
      <w:r w:rsidRPr="00A02B80">
        <w:t xml:space="preserve">, </w:t>
      </w:r>
      <w:r w:rsidR="00371B15" w:rsidRPr="00A02B80">
        <w:t>Franklyn</w:t>
      </w:r>
      <w:r w:rsidRPr="00A02B80">
        <w:t xml:space="preserve"> </w:t>
      </w:r>
      <w:r w:rsidR="00371B15" w:rsidRPr="00A02B80">
        <w:t>Kanyako</w:t>
      </w:r>
      <w:r w:rsidR="00B20C01">
        <w:rPr>
          <w:vertAlign w:val="superscript"/>
        </w:rPr>
        <w:t>c</w:t>
      </w:r>
      <w:r w:rsidR="000F6F65" w:rsidRPr="00A02B80">
        <w:t xml:space="preserve">, </w:t>
      </w:r>
      <w:r w:rsidR="000024AE">
        <w:t>Gokul Iyer</w:t>
      </w:r>
      <w:r w:rsidR="00B20C01">
        <w:rPr>
          <w:vertAlign w:val="superscript"/>
        </w:rPr>
        <w:t>d</w:t>
      </w:r>
      <w:r w:rsidR="000024AE">
        <w:t xml:space="preserve">, </w:t>
      </w:r>
      <w:r w:rsidR="000F6F65" w:rsidRPr="00A02B80">
        <w:t>Jonathan Lamontagne</w:t>
      </w:r>
      <w:r w:rsidR="000F6F65" w:rsidRPr="00A02B80">
        <w:rPr>
          <w:vertAlign w:val="superscript"/>
        </w:rPr>
        <w:t>a</w:t>
      </w:r>
    </w:p>
    <w:p w14:paraId="489F3105" w14:textId="77777777" w:rsidR="00371B15" w:rsidRPr="00781402" w:rsidRDefault="006F1179" w:rsidP="00F6566A">
      <w:pPr>
        <w:pStyle w:val="Affiliations"/>
        <w:rPr>
          <w:sz w:val="17"/>
          <w:szCs w:val="17"/>
        </w:rPr>
      </w:pPr>
      <w:r w:rsidRPr="00781402">
        <w:rPr>
          <w:sz w:val="17"/>
          <w:szCs w:val="17"/>
          <w:vertAlign w:val="superscript"/>
        </w:rPr>
        <w:t xml:space="preserve">a </w:t>
      </w:r>
      <w:r w:rsidRPr="00781402">
        <w:rPr>
          <w:sz w:val="17"/>
          <w:szCs w:val="17"/>
        </w:rPr>
        <w:t>Department of Civil and Environmental Engineering, Tufts University, Medford, MA 02155, United States</w:t>
      </w:r>
    </w:p>
    <w:p w14:paraId="53A4C0CF" w14:textId="77777777" w:rsidR="000109D6" w:rsidRPr="00781402" w:rsidRDefault="00371B15" w:rsidP="000109D6">
      <w:pPr>
        <w:pStyle w:val="Affiliations"/>
        <w:rPr>
          <w:sz w:val="17"/>
          <w:szCs w:val="17"/>
        </w:rPr>
      </w:pPr>
      <w:r w:rsidRPr="00781402">
        <w:rPr>
          <w:sz w:val="17"/>
          <w:szCs w:val="17"/>
          <w:vertAlign w:val="superscript"/>
        </w:rPr>
        <w:t xml:space="preserve">b </w:t>
      </w:r>
      <w:r w:rsidRPr="00781402">
        <w:rPr>
          <w:sz w:val="17"/>
          <w:szCs w:val="17"/>
        </w:rPr>
        <w:t>Earth System Science Interdisciplinary Center, University of Maryland, College Park, MD 20740, United States</w:t>
      </w:r>
    </w:p>
    <w:p w14:paraId="2CB6D909" w14:textId="375B554C" w:rsidR="006F1179" w:rsidRPr="00781402" w:rsidRDefault="000109D6" w:rsidP="00F6566A">
      <w:pPr>
        <w:pStyle w:val="Affiliations"/>
        <w:rPr>
          <w:sz w:val="17"/>
          <w:szCs w:val="17"/>
        </w:rPr>
      </w:pPr>
      <w:r w:rsidRPr="00781402">
        <w:rPr>
          <w:sz w:val="17"/>
          <w:szCs w:val="17"/>
          <w:vertAlign w:val="superscript"/>
        </w:rPr>
        <w:t xml:space="preserve">c </w:t>
      </w:r>
      <w:r w:rsidR="00781402" w:rsidRPr="00781402">
        <w:rPr>
          <w:sz w:val="17"/>
          <w:szCs w:val="17"/>
        </w:rPr>
        <w:t xml:space="preserve">Nelson Institute Center for Sustainability and the Global Environment, University of Wisconsin, Madison, WI </w:t>
      </w:r>
      <w:r w:rsidRPr="00781402">
        <w:rPr>
          <w:sz w:val="17"/>
          <w:szCs w:val="17"/>
        </w:rPr>
        <w:t>53706, United States</w:t>
      </w:r>
    </w:p>
    <w:p w14:paraId="261D9908" w14:textId="378F8D17" w:rsidR="00F263CE" w:rsidRDefault="000109D6" w:rsidP="00F263CE">
      <w:pPr>
        <w:pStyle w:val="Affiliations"/>
      </w:pPr>
      <w:r w:rsidRPr="00781402">
        <w:rPr>
          <w:sz w:val="17"/>
          <w:szCs w:val="17"/>
          <w:vertAlign w:val="superscript"/>
        </w:rPr>
        <w:t>d</w:t>
      </w:r>
      <w:r w:rsidR="006F1179" w:rsidRPr="00781402">
        <w:rPr>
          <w:sz w:val="17"/>
          <w:szCs w:val="17"/>
          <w:vertAlign w:val="superscript"/>
        </w:rPr>
        <w:t xml:space="preserve"> </w:t>
      </w:r>
      <w:r w:rsidR="006F1179" w:rsidRPr="00781402">
        <w:rPr>
          <w:sz w:val="17"/>
          <w:szCs w:val="17"/>
        </w:rPr>
        <w:t>C</w:t>
      </w:r>
      <w:r w:rsidRPr="00781402">
        <w:rPr>
          <w:sz w:val="17"/>
          <w:szCs w:val="17"/>
        </w:rPr>
        <w:t>enter for Global Sustainability</w:t>
      </w:r>
      <w:r w:rsidR="006F1179" w:rsidRPr="00781402">
        <w:rPr>
          <w:sz w:val="17"/>
          <w:szCs w:val="17"/>
        </w:rPr>
        <w:t xml:space="preserve">, </w:t>
      </w:r>
      <w:r w:rsidRPr="00781402">
        <w:rPr>
          <w:sz w:val="17"/>
          <w:szCs w:val="17"/>
        </w:rPr>
        <w:t>University of Maryland</w:t>
      </w:r>
      <w:r w:rsidR="006F1179" w:rsidRPr="00781402">
        <w:rPr>
          <w:sz w:val="17"/>
          <w:szCs w:val="17"/>
        </w:rPr>
        <w:t>, College Park, MD 20740, United States</w:t>
      </w:r>
      <w:bookmarkStart w:id="0" w:name="_Ref168056768"/>
      <w:bookmarkStart w:id="1" w:name="_Toc176883498"/>
    </w:p>
    <w:sdt>
      <w:sdtPr>
        <w:rPr>
          <w:rFonts w:eastAsia="Times New Roman"/>
          <w:b w:val="0"/>
          <w:bCs w:val="0"/>
          <w:color w:val="000000"/>
          <w:sz w:val="24"/>
          <w:szCs w:val="24"/>
        </w:rPr>
        <w:id w:val="-1319951473"/>
        <w:docPartObj>
          <w:docPartGallery w:val="Table of Contents"/>
          <w:docPartUnique/>
        </w:docPartObj>
      </w:sdtPr>
      <w:sdtEndPr>
        <w:rPr>
          <w:noProof/>
        </w:rPr>
      </w:sdtEndPr>
      <w:sdtContent>
        <w:p w14:paraId="622740E8" w14:textId="319F253A" w:rsidR="00F263CE" w:rsidRDefault="00F263CE">
          <w:pPr>
            <w:pStyle w:val="TOCHeading"/>
          </w:pPr>
          <w:r>
            <w:t>Contents</w:t>
          </w:r>
        </w:p>
        <w:p w14:paraId="6BD643B9" w14:textId="28C9D218" w:rsidR="00F35942" w:rsidRDefault="00F263CE">
          <w:pPr>
            <w:pStyle w:val="TOC2"/>
            <w:rPr>
              <w:rFonts w:asciiTheme="minorHAnsi" w:eastAsiaTheme="minorEastAsia" w:hAnsiTheme="minorHAnsi" w:cstheme="minorBidi"/>
              <w:noProof/>
              <w:color w:val="auto"/>
              <w:kern w:val="2"/>
              <w:sz w:val="24"/>
              <w14:ligatures w14:val="standardContextual"/>
            </w:rPr>
          </w:pPr>
          <w:r>
            <w:fldChar w:fldCharType="begin"/>
          </w:r>
          <w:r>
            <w:instrText xml:space="preserve"> TOC \o "1-3" \h \z \u</w:instrText>
          </w:r>
          <w:r>
            <w:fldChar w:fldCharType="separate"/>
          </w:r>
          <w:hyperlink w:anchor="_Toc194577040" w:history="1">
            <w:r w:rsidR="00F35942" w:rsidRPr="00267566">
              <w:rPr>
                <w:rStyle w:val="Hyperlink"/>
                <w:noProof/>
              </w:rPr>
              <w:t>Text S1.</w:t>
            </w:r>
            <w:r w:rsidR="00F35942">
              <w:rPr>
                <w:rFonts w:asciiTheme="minorHAnsi" w:eastAsiaTheme="minorEastAsia" w:hAnsiTheme="minorHAnsi" w:cstheme="minorBidi"/>
                <w:noProof/>
                <w:color w:val="auto"/>
                <w:kern w:val="2"/>
                <w:sz w:val="24"/>
                <w14:ligatures w14:val="standardContextual"/>
              </w:rPr>
              <w:tab/>
            </w:r>
            <w:r w:rsidR="00F35942" w:rsidRPr="00267566">
              <w:rPr>
                <w:rStyle w:val="Hyperlink"/>
                <w:noProof/>
              </w:rPr>
              <w:t>Benefits of Regional Coordination</w:t>
            </w:r>
            <w:r w:rsidR="00F35942">
              <w:rPr>
                <w:noProof/>
                <w:webHidden/>
              </w:rPr>
              <w:tab/>
            </w:r>
            <w:r w:rsidR="00F35942">
              <w:rPr>
                <w:noProof/>
                <w:webHidden/>
              </w:rPr>
              <w:fldChar w:fldCharType="begin"/>
            </w:r>
            <w:r w:rsidR="00F35942">
              <w:rPr>
                <w:noProof/>
                <w:webHidden/>
              </w:rPr>
              <w:instrText xml:space="preserve"> PAGEREF _Toc194577040 \h </w:instrText>
            </w:r>
            <w:r w:rsidR="00F35942">
              <w:rPr>
                <w:noProof/>
                <w:webHidden/>
              </w:rPr>
            </w:r>
            <w:r w:rsidR="00F35942">
              <w:rPr>
                <w:noProof/>
                <w:webHidden/>
              </w:rPr>
              <w:fldChar w:fldCharType="separate"/>
            </w:r>
            <w:r w:rsidR="00F35942">
              <w:rPr>
                <w:noProof/>
                <w:webHidden/>
              </w:rPr>
              <w:t>2</w:t>
            </w:r>
            <w:r w:rsidR="00F35942">
              <w:rPr>
                <w:noProof/>
                <w:webHidden/>
              </w:rPr>
              <w:fldChar w:fldCharType="end"/>
            </w:r>
          </w:hyperlink>
        </w:p>
        <w:p w14:paraId="15F0F67D" w14:textId="0C9FBDB0" w:rsidR="00F35942" w:rsidRDefault="00F35942">
          <w:pPr>
            <w:pStyle w:val="TOC2"/>
            <w:rPr>
              <w:rFonts w:asciiTheme="minorHAnsi" w:eastAsiaTheme="minorEastAsia" w:hAnsiTheme="minorHAnsi" w:cstheme="minorBidi"/>
              <w:noProof/>
              <w:color w:val="auto"/>
              <w:kern w:val="2"/>
              <w:sz w:val="24"/>
              <w14:ligatures w14:val="standardContextual"/>
            </w:rPr>
          </w:pPr>
          <w:hyperlink w:anchor="_Toc194577041" w:history="1">
            <w:r w:rsidRPr="00267566">
              <w:rPr>
                <w:rStyle w:val="Hyperlink"/>
                <w:noProof/>
              </w:rPr>
              <w:t>Text S2.</w:t>
            </w:r>
            <w:r>
              <w:rPr>
                <w:rFonts w:asciiTheme="minorHAnsi" w:eastAsiaTheme="minorEastAsia" w:hAnsiTheme="minorHAnsi" w:cstheme="minorBidi"/>
                <w:noProof/>
                <w:color w:val="auto"/>
                <w:kern w:val="2"/>
                <w:sz w:val="24"/>
                <w14:ligatures w14:val="standardContextual"/>
              </w:rPr>
              <w:tab/>
            </w:r>
            <w:r w:rsidRPr="00267566">
              <w:rPr>
                <w:rStyle w:val="Hyperlink"/>
                <w:noProof/>
              </w:rPr>
              <w:t>Uncertainty and Resolution in Electricity System Models</w:t>
            </w:r>
            <w:r>
              <w:rPr>
                <w:noProof/>
                <w:webHidden/>
              </w:rPr>
              <w:tab/>
            </w:r>
            <w:r>
              <w:rPr>
                <w:noProof/>
                <w:webHidden/>
              </w:rPr>
              <w:fldChar w:fldCharType="begin"/>
            </w:r>
            <w:r>
              <w:rPr>
                <w:noProof/>
                <w:webHidden/>
              </w:rPr>
              <w:instrText xml:space="preserve"> PAGEREF _Toc194577041 \h </w:instrText>
            </w:r>
            <w:r>
              <w:rPr>
                <w:noProof/>
                <w:webHidden/>
              </w:rPr>
            </w:r>
            <w:r>
              <w:rPr>
                <w:noProof/>
                <w:webHidden/>
              </w:rPr>
              <w:fldChar w:fldCharType="separate"/>
            </w:r>
            <w:r>
              <w:rPr>
                <w:noProof/>
                <w:webHidden/>
              </w:rPr>
              <w:t>6</w:t>
            </w:r>
            <w:r>
              <w:rPr>
                <w:noProof/>
                <w:webHidden/>
              </w:rPr>
              <w:fldChar w:fldCharType="end"/>
            </w:r>
          </w:hyperlink>
        </w:p>
        <w:p w14:paraId="582CCAA3" w14:textId="526B98CC" w:rsidR="00F35942" w:rsidRDefault="00F35942">
          <w:pPr>
            <w:pStyle w:val="TOC2"/>
            <w:rPr>
              <w:rFonts w:asciiTheme="minorHAnsi" w:eastAsiaTheme="minorEastAsia" w:hAnsiTheme="minorHAnsi" w:cstheme="minorBidi"/>
              <w:noProof/>
              <w:color w:val="auto"/>
              <w:kern w:val="2"/>
              <w:sz w:val="24"/>
              <w14:ligatures w14:val="standardContextual"/>
            </w:rPr>
          </w:pPr>
          <w:hyperlink w:anchor="_Toc194577042" w:history="1">
            <w:r w:rsidRPr="00267566">
              <w:rPr>
                <w:rStyle w:val="Hyperlink"/>
                <w:noProof/>
              </w:rPr>
              <w:t>Text S3.</w:t>
            </w:r>
            <w:r>
              <w:rPr>
                <w:rFonts w:asciiTheme="minorHAnsi" w:eastAsiaTheme="minorEastAsia" w:hAnsiTheme="minorHAnsi" w:cstheme="minorBidi"/>
                <w:noProof/>
                <w:color w:val="auto"/>
                <w:kern w:val="2"/>
                <w:sz w:val="24"/>
                <w14:ligatures w14:val="standardContextual"/>
              </w:rPr>
              <w:tab/>
            </w:r>
            <w:r w:rsidRPr="00267566">
              <w:rPr>
                <w:rStyle w:val="Hyperlink"/>
                <w:noProof/>
              </w:rPr>
              <w:t>Mercosur and SIESUR</w:t>
            </w:r>
            <w:r>
              <w:rPr>
                <w:noProof/>
                <w:webHidden/>
              </w:rPr>
              <w:tab/>
            </w:r>
            <w:r>
              <w:rPr>
                <w:noProof/>
                <w:webHidden/>
              </w:rPr>
              <w:fldChar w:fldCharType="begin"/>
            </w:r>
            <w:r>
              <w:rPr>
                <w:noProof/>
                <w:webHidden/>
              </w:rPr>
              <w:instrText xml:space="preserve"> PAGEREF _Toc194577042 \h </w:instrText>
            </w:r>
            <w:r>
              <w:rPr>
                <w:noProof/>
                <w:webHidden/>
              </w:rPr>
            </w:r>
            <w:r>
              <w:rPr>
                <w:noProof/>
                <w:webHidden/>
              </w:rPr>
              <w:fldChar w:fldCharType="separate"/>
            </w:r>
            <w:r>
              <w:rPr>
                <w:noProof/>
                <w:webHidden/>
              </w:rPr>
              <w:t>11</w:t>
            </w:r>
            <w:r>
              <w:rPr>
                <w:noProof/>
                <w:webHidden/>
              </w:rPr>
              <w:fldChar w:fldCharType="end"/>
            </w:r>
          </w:hyperlink>
        </w:p>
        <w:p w14:paraId="4966B604" w14:textId="500E4610" w:rsidR="00F35942" w:rsidRDefault="00F35942">
          <w:pPr>
            <w:pStyle w:val="TOC2"/>
            <w:rPr>
              <w:rFonts w:asciiTheme="minorHAnsi" w:eastAsiaTheme="minorEastAsia" w:hAnsiTheme="minorHAnsi" w:cstheme="minorBidi"/>
              <w:noProof/>
              <w:color w:val="auto"/>
              <w:kern w:val="2"/>
              <w:sz w:val="24"/>
              <w14:ligatures w14:val="standardContextual"/>
            </w:rPr>
          </w:pPr>
          <w:hyperlink w:anchor="_Toc194577043" w:history="1">
            <w:r w:rsidRPr="00267566">
              <w:rPr>
                <w:rStyle w:val="Hyperlink"/>
                <w:noProof/>
              </w:rPr>
              <w:t>Supplemental Tables</w:t>
            </w:r>
            <w:r>
              <w:rPr>
                <w:noProof/>
                <w:webHidden/>
              </w:rPr>
              <w:tab/>
            </w:r>
            <w:r>
              <w:rPr>
                <w:noProof/>
                <w:webHidden/>
              </w:rPr>
              <w:fldChar w:fldCharType="begin"/>
            </w:r>
            <w:r>
              <w:rPr>
                <w:noProof/>
                <w:webHidden/>
              </w:rPr>
              <w:instrText xml:space="preserve"> PAGEREF _Toc194577043 \h </w:instrText>
            </w:r>
            <w:r>
              <w:rPr>
                <w:noProof/>
                <w:webHidden/>
              </w:rPr>
            </w:r>
            <w:r>
              <w:rPr>
                <w:noProof/>
                <w:webHidden/>
              </w:rPr>
              <w:fldChar w:fldCharType="separate"/>
            </w:r>
            <w:r>
              <w:rPr>
                <w:noProof/>
                <w:webHidden/>
              </w:rPr>
              <w:t>13</w:t>
            </w:r>
            <w:r>
              <w:rPr>
                <w:noProof/>
                <w:webHidden/>
              </w:rPr>
              <w:fldChar w:fldCharType="end"/>
            </w:r>
          </w:hyperlink>
        </w:p>
        <w:p w14:paraId="04619963" w14:textId="4EDE18B0" w:rsidR="00F35942" w:rsidRDefault="00F35942">
          <w:pPr>
            <w:pStyle w:val="TOC2"/>
            <w:rPr>
              <w:rFonts w:asciiTheme="minorHAnsi" w:eastAsiaTheme="minorEastAsia" w:hAnsiTheme="minorHAnsi" w:cstheme="minorBidi"/>
              <w:noProof/>
              <w:color w:val="auto"/>
              <w:kern w:val="2"/>
              <w:sz w:val="24"/>
              <w14:ligatures w14:val="standardContextual"/>
            </w:rPr>
          </w:pPr>
          <w:hyperlink w:anchor="_Toc194577044" w:history="1">
            <w:r w:rsidRPr="00267566">
              <w:rPr>
                <w:rStyle w:val="Hyperlink"/>
                <w:noProof/>
              </w:rPr>
              <w:t>Supplemental Figures</w:t>
            </w:r>
            <w:r>
              <w:rPr>
                <w:noProof/>
                <w:webHidden/>
              </w:rPr>
              <w:tab/>
            </w:r>
            <w:r>
              <w:rPr>
                <w:noProof/>
                <w:webHidden/>
              </w:rPr>
              <w:fldChar w:fldCharType="begin"/>
            </w:r>
            <w:r>
              <w:rPr>
                <w:noProof/>
                <w:webHidden/>
              </w:rPr>
              <w:instrText xml:space="preserve"> PAGEREF _Toc194577044 \h </w:instrText>
            </w:r>
            <w:r>
              <w:rPr>
                <w:noProof/>
                <w:webHidden/>
              </w:rPr>
            </w:r>
            <w:r>
              <w:rPr>
                <w:noProof/>
                <w:webHidden/>
              </w:rPr>
              <w:fldChar w:fldCharType="separate"/>
            </w:r>
            <w:r>
              <w:rPr>
                <w:noProof/>
                <w:webHidden/>
              </w:rPr>
              <w:t>14</w:t>
            </w:r>
            <w:r>
              <w:rPr>
                <w:noProof/>
                <w:webHidden/>
              </w:rPr>
              <w:fldChar w:fldCharType="end"/>
            </w:r>
          </w:hyperlink>
        </w:p>
        <w:p w14:paraId="2F462DF4" w14:textId="27EBF383" w:rsidR="00F35942" w:rsidRDefault="00F35942">
          <w:pPr>
            <w:pStyle w:val="TOC2"/>
            <w:rPr>
              <w:rFonts w:asciiTheme="minorHAnsi" w:eastAsiaTheme="minorEastAsia" w:hAnsiTheme="minorHAnsi" w:cstheme="minorBidi"/>
              <w:noProof/>
              <w:color w:val="auto"/>
              <w:kern w:val="2"/>
              <w:sz w:val="24"/>
              <w14:ligatures w14:val="standardContextual"/>
            </w:rPr>
          </w:pPr>
          <w:hyperlink w:anchor="_Toc194577045" w:history="1">
            <w:r w:rsidRPr="00267566">
              <w:rPr>
                <w:rStyle w:val="Hyperlink"/>
                <w:noProof/>
              </w:rPr>
              <w:t>Text S4.</w:t>
            </w:r>
            <w:r>
              <w:rPr>
                <w:rFonts w:asciiTheme="minorHAnsi" w:eastAsiaTheme="minorEastAsia" w:hAnsiTheme="minorHAnsi" w:cstheme="minorBidi"/>
                <w:noProof/>
                <w:color w:val="auto"/>
                <w:kern w:val="2"/>
                <w:sz w:val="24"/>
                <w14:ligatures w14:val="standardContextual"/>
              </w:rPr>
              <w:tab/>
            </w:r>
            <w:r w:rsidRPr="00267566">
              <w:rPr>
                <w:rStyle w:val="Hyperlink"/>
                <w:noProof/>
              </w:rPr>
              <w:t>Stranded Coordination Vulnerability</w:t>
            </w:r>
            <w:r>
              <w:rPr>
                <w:noProof/>
                <w:webHidden/>
              </w:rPr>
              <w:tab/>
            </w:r>
            <w:r>
              <w:rPr>
                <w:noProof/>
                <w:webHidden/>
              </w:rPr>
              <w:fldChar w:fldCharType="begin"/>
            </w:r>
            <w:r>
              <w:rPr>
                <w:noProof/>
                <w:webHidden/>
              </w:rPr>
              <w:instrText xml:space="preserve"> PAGEREF _Toc194577045 \h </w:instrText>
            </w:r>
            <w:r>
              <w:rPr>
                <w:noProof/>
                <w:webHidden/>
              </w:rPr>
            </w:r>
            <w:r>
              <w:rPr>
                <w:noProof/>
                <w:webHidden/>
              </w:rPr>
              <w:fldChar w:fldCharType="separate"/>
            </w:r>
            <w:r>
              <w:rPr>
                <w:noProof/>
                <w:webHidden/>
              </w:rPr>
              <w:t>29</w:t>
            </w:r>
            <w:r>
              <w:rPr>
                <w:noProof/>
                <w:webHidden/>
              </w:rPr>
              <w:fldChar w:fldCharType="end"/>
            </w:r>
          </w:hyperlink>
        </w:p>
        <w:p w14:paraId="325DABF4" w14:textId="0FBB8E27" w:rsidR="00F35942" w:rsidRDefault="00F35942">
          <w:pPr>
            <w:pStyle w:val="TOC1"/>
            <w:rPr>
              <w:rFonts w:asciiTheme="minorHAnsi" w:eastAsiaTheme="minorEastAsia" w:hAnsiTheme="minorHAnsi" w:cstheme="minorBidi"/>
              <w:noProof/>
              <w:color w:val="auto"/>
              <w:kern w:val="2"/>
              <w:sz w:val="24"/>
              <w14:ligatures w14:val="standardContextual"/>
            </w:rPr>
          </w:pPr>
          <w:hyperlink w:anchor="_Toc194577046" w:history="1">
            <w:r w:rsidRPr="00267566">
              <w:rPr>
                <w:rStyle w:val="Hyperlink"/>
                <w:noProof/>
              </w:rPr>
              <w:t>References for Supplemental Information</w:t>
            </w:r>
            <w:r>
              <w:rPr>
                <w:noProof/>
                <w:webHidden/>
              </w:rPr>
              <w:tab/>
            </w:r>
            <w:r>
              <w:rPr>
                <w:noProof/>
                <w:webHidden/>
              </w:rPr>
              <w:fldChar w:fldCharType="begin"/>
            </w:r>
            <w:r>
              <w:rPr>
                <w:noProof/>
                <w:webHidden/>
              </w:rPr>
              <w:instrText xml:space="preserve"> PAGEREF _Toc194577046 \h </w:instrText>
            </w:r>
            <w:r>
              <w:rPr>
                <w:noProof/>
                <w:webHidden/>
              </w:rPr>
            </w:r>
            <w:r>
              <w:rPr>
                <w:noProof/>
                <w:webHidden/>
              </w:rPr>
              <w:fldChar w:fldCharType="separate"/>
            </w:r>
            <w:r>
              <w:rPr>
                <w:noProof/>
                <w:webHidden/>
              </w:rPr>
              <w:t>32</w:t>
            </w:r>
            <w:r>
              <w:rPr>
                <w:noProof/>
                <w:webHidden/>
              </w:rPr>
              <w:fldChar w:fldCharType="end"/>
            </w:r>
          </w:hyperlink>
        </w:p>
        <w:p w14:paraId="16F1E58B" w14:textId="4E9A7FF7" w:rsidR="00F263CE" w:rsidRDefault="00F263CE" w:rsidP="006258A9">
          <w:pPr>
            <w:spacing w:before="0" w:after="0"/>
            <w:rPr>
              <w:b/>
              <w:bCs/>
              <w:noProof/>
            </w:rPr>
          </w:pPr>
          <w:r>
            <w:rPr>
              <w:b/>
              <w:bCs/>
              <w:noProof/>
            </w:rPr>
            <w:fldChar w:fldCharType="end"/>
          </w:r>
        </w:p>
      </w:sdtContent>
    </w:sdt>
    <w:p w14:paraId="2C5466C3" w14:textId="382D6C49" w:rsidR="00F35942" w:rsidRDefault="0037143E">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r>
        <w:rPr>
          <w:b/>
          <w:bCs/>
          <w:noProof/>
        </w:rPr>
        <w:fldChar w:fldCharType="begin"/>
      </w:r>
      <w:r>
        <w:rPr>
          <w:b/>
          <w:bCs/>
          <w:noProof/>
        </w:rPr>
        <w:instrText xml:space="preserve"> TOC \h \z \t "Table Caption" \c </w:instrText>
      </w:r>
      <w:r>
        <w:rPr>
          <w:b/>
          <w:bCs/>
          <w:noProof/>
        </w:rPr>
        <w:fldChar w:fldCharType="separate"/>
      </w:r>
      <w:hyperlink w:anchor="_Toc194577047" w:history="1">
        <w:r w:rsidR="00F35942" w:rsidRPr="0004518E">
          <w:rPr>
            <w:rStyle w:val="Hyperlink"/>
            <w:noProof/>
          </w:rPr>
          <w:t>Table S1</w:t>
        </w:r>
        <w:r w:rsidR="00F35942">
          <w:rPr>
            <w:noProof/>
            <w:webHidden/>
          </w:rPr>
          <w:tab/>
        </w:r>
        <w:r w:rsidR="00F35942">
          <w:rPr>
            <w:noProof/>
            <w:webHidden/>
          </w:rPr>
          <w:fldChar w:fldCharType="begin"/>
        </w:r>
        <w:r w:rsidR="00F35942">
          <w:rPr>
            <w:noProof/>
            <w:webHidden/>
          </w:rPr>
          <w:instrText xml:space="preserve"> PAGEREF _Toc194577047 \h </w:instrText>
        </w:r>
        <w:r w:rsidR="00F35942">
          <w:rPr>
            <w:noProof/>
            <w:webHidden/>
          </w:rPr>
        </w:r>
        <w:r w:rsidR="00F35942">
          <w:rPr>
            <w:noProof/>
            <w:webHidden/>
          </w:rPr>
          <w:fldChar w:fldCharType="separate"/>
        </w:r>
        <w:r w:rsidR="00F35942">
          <w:rPr>
            <w:noProof/>
            <w:webHidden/>
          </w:rPr>
          <w:t>2</w:t>
        </w:r>
        <w:r w:rsidR="00F35942">
          <w:rPr>
            <w:noProof/>
            <w:webHidden/>
          </w:rPr>
          <w:fldChar w:fldCharType="end"/>
        </w:r>
      </w:hyperlink>
    </w:p>
    <w:p w14:paraId="3CF71FB5" w14:textId="23EA496F"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48" w:history="1">
        <w:r w:rsidRPr="0004518E">
          <w:rPr>
            <w:rStyle w:val="Hyperlink"/>
            <w:noProof/>
          </w:rPr>
          <w:t>Table S2</w:t>
        </w:r>
        <w:r>
          <w:rPr>
            <w:noProof/>
            <w:webHidden/>
          </w:rPr>
          <w:tab/>
        </w:r>
        <w:r>
          <w:rPr>
            <w:noProof/>
            <w:webHidden/>
          </w:rPr>
          <w:fldChar w:fldCharType="begin"/>
        </w:r>
        <w:r>
          <w:rPr>
            <w:noProof/>
            <w:webHidden/>
          </w:rPr>
          <w:instrText xml:space="preserve"> PAGEREF _Toc194577048 \h </w:instrText>
        </w:r>
        <w:r>
          <w:rPr>
            <w:noProof/>
            <w:webHidden/>
          </w:rPr>
        </w:r>
        <w:r>
          <w:rPr>
            <w:noProof/>
            <w:webHidden/>
          </w:rPr>
          <w:fldChar w:fldCharType="separate"/>
        </w:r>
        <w:r>
          <w:rPr>
            <w:noProof/>
            <w:webHidden/>
          </w:rPr>
          <w:t>7</w:t>
        </w:r>
        <w:r>
          <w:rPr>
            <w:noProof/>
            <w:webHidden/>
          </w:rPr>
          <w:fldChar w:fldCharType="end"/>
        </w:r>
      </w:hyperlink>
    </w:p>
    <w:p w14:paraId="6F882690" w14:textId="7CF55BDF"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49" w:history="1">
        <w:r w:rsidRPr="0004518E">
          <w:rPr>
            <w:rStyle w:val="Hyperlink"/>
            <w:noProof/>
          </w:rPr>
          <w:t>Table S3</w:t>
        </w:r>
        <w:r>
          <w:rPr>
            <w:noProof/>
            <w:webHidden/>
          </w:rPr>
          <w:tab/>
        </w:r>
        <w:r>
          <w:rPr>
            <w:noProof/>
            <w:webHidden/>
          </w:rPr>
          <w:fldChar w:fldCharType="begin"/>
        </w:r>
        <w:r>
          <w:rPr>
            <w:noProof/>
            <w:webHidden/>
          </w:rPr>
          <w:instrText xml:space="preserve"> PAGEREF _Toc194577049 \h </w:instrText>
        </w:r>
        <w:r>
          <w:rPr>
            <w:noProof/>
            <w:webHidden/>
          </w:rPr>
        </w:r>
        <w:r>
          <w:rPr>
            <w:noProof/>
            <w:webHidden/>
          </w:rPr>
          <w:fldChar w:fldCharType="separate"/>
        </w:r>
        <w:r>
          <w:rPr>
            <w:noProof/>
            <w:webHidden/>
          </w:rPr>
          <w:t>8</w:t>
        </w:r>
        <w:r>
          <w:rPr>
            <w:noProof/>
            <w:webHidden/>
          </w:rPr>
          <w:fldChar w:fldCharType="end"/>
        </w:r>
      </w:hyperlink>
    </w:p>
    <w:p w14:paraId="553C4AE9" w14:textId="133EF86E"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0" w:history="1">
        <w:r w:rsidRPr="0004518E">
          <w:rPr>
            <w:rStyle w:val="Hyperlink"/>
            <w:noProof/>
          </w:rPr>
          <w:t>Table S4</w:t>
        </w:r>
        <w:r>
          <w:rPr>
            <w:noProof/>
            <w:webHidden/>
          </w:rPr>
          <w:tab/>
        </w:r>
        <w:r>
          <w:rPr>
            <w:noProof/>
            <w:webHidden/>
          </w:rPr>
          <w:fldChar w:fldCharType="begin"/>
        </w:r>
        <w:r>
          <w:rPr>
            <w:noProof/>
            <w:webHidden/>
          </w:rPr>
          <w:instrText xml:space="preserve"> PAGEREF _Toc194577050 \h </w:instrText>
        </w:r>
        <w:r>
          <w:rPr>
            <w:noProof/>
            <w:webHidden/>
          </w:rPr>
        </w:r>
        <w:r>
          <w:rPr>
            <w:noProof/>
            <w:webHidden/>
          </w:rPr>
          <w:fldChar w:fldCharType="separate"/>
        </w:r>
        <w:r>
          <w:rPr>
            <w:noProof/>
            <w:webHidden/>
          </w:rPr>
          <w:t>9</w:t>
        </w:r>
        <w:r>
          <w:rPr>
            <w:noProof/>
            <w:webHidden/>
          </w:rPr>
          <w:fldChar w:fldCharType="end"/>
        </w:r>
      </w:hyperlink>
    </w:p>
    <w:p w14:paraId="0512BC5E" w14:textId="33933412"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1" w:history="1">
        <w:r w:rsidRPr="0004518E">
          <w:rPr>
            <w:rStyle w:val="Hyperlink"/>
            <w:noProof/>
          </w:rPr>
          <w:t>Table S5</w:t>
        </w:r>
        <w:r>
          <w:rPr>
            <w:noProof/>
            <w:webHidden/>
          </w:rPr>
          <w:tab/>
        </w:r>
        <w:r>
          <w:rPr>
            <w:noProof/>
            <w:webHidden/>
          </w:rPr>
          <w:fldChar w:fldCharType="begin"/>
        </w:r>
        <w:r>
          <w:rPr>
            <w:noProof/>
            <w:webHidden/>
          </w:rPr>
          <w:instrText xml:space="preserve"> PAGEREF _Toc194577051 \h </w:instrText>
        </w:r>
        <w:r>
          <w:rPr>
            <w:noProof/>
            <w:webHidden/>
          </w:rPr>
        </w:r>
        <w:r>
          <w:rPr>
            <w:noProof/>
            <w:webHidden/>
          </w:rPr>
          <w:fldChar w:fldCharType="separate"/>
        </w:r>
        <w:r>
          <w:rPr>
            <w:noProof/>
            <w:webHidden/>
          </w:rPr>
          <w:t>12</w:t>
        </w:r>
        <w:r>
          <w:rPr>
            <w:noProof/>
            <w:webHidden/>
          </w:rPr>
          <w:fldChar w:fldCharType="end"/>
        </w:r>
      </w:hyperlink>
    </w:p>
    <w:p w14:paraId="3AD10EF5" w14:textId="17E2A4EF"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2" w:history="1">
        <w:r w:rsidRPr="0004518E">
          <w:rPr>
            <w:rStyle w:val="Hyperlink"/>
            <w:noProof/>
            <w:lang w:val="fr-FR"/>
          </w:rPr>
          <w:t>Table S6</w:t>
        </w:r>
        <w:r>
          <w:rPr>
            <w:noProof/>
            <w:webHidden/>
          </w:rPr>
          <w:tab/>
        </w:r>
        <w:r>
          <w:rPr>
            <w:noProof/>
            <w:webHidden/>
          </w:rPr>
          <w:fldChar w:fldCharType="begin"/>
        </w:r>
        <w:r>
          <w:rPr>
            <w:noProof/>
            <w:webHidden/>
          </w:rPr>
          <w:instrText xml:space="preserve"> PAGEREF _Toc194577052 \h </w:instrText>
        </w:r>
        <w:r>
          <w:rPr>
            <w:noProof/>
            <w:webHidden/>
          </w:rPr>
        </w:r>
        <w:r>
          <w:rPr>
            <w:noProof/>
            <w:webHidden/>
          </w:rPr>
          <w:fldChar w:fldCharType="separate"/>
        </w:r>
        <w:r>
          <w:rPr>
            <w:noProof/>
            <w:webHidden/>
          </w:rPr>
          <w:t>13</w:t>
        </w:r>
        <w:r>
          <w:rPr>
            <w:noProof/>
            <w:webHidden/>
          </w:rPr>
          <w:fldChar w:fldCharType="end"/>
        </w:r>
      </w:hyperlink>
    </w:p>
    <w:p w14:paraId="01379850" w14:textId="7621EFE5"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3" w:history="1">
        <w:r w:rsidRPr="0004518E">
          <w:rPr>
            <w:rStyle w:val="Hyperlink"/>
            <w:noProof/>
          </w:rPr>
          <w:t>Table S7</w:t>
        </w:r>
        <w:r>
          <w:rPr>
            <w:noProof/>
            <w:webHidden/>
          </w:rPr>
          <w:tab/>
        </w:r>
        <w:r>
          <w:rPr>
            <w:noProof/>
            <w:webHidden/>
          </w:rPr>
          <w:fldChar w:fldCharType="begin"/>
        </w:r>
        <w:r>
          <w:rPr>
            <w:noProof/>
            <w:webHidden/>
          </w:rPr>
          <w:instrText xml:space="preserve"> PAGEREF _Toc194577053 \h </w:instrText>
        </w:r>
        <w:r>
          <w:rPr>
            <w:noProof/>
            <w:webHidden/>
          </w:rPr>
        </w:r>
        <w:r>
          <w:rPr>
            <w:noProof/>
            <w:webHidden/>
          </w:rPr>
          <w:fldChar w:fldCharType="separate"/>
        </w:r>
        <w:r>
          <w:rPr>
            <w:noProof/>
            <w:webHidden/>
          </w:rPr>
          <w:t>13</w:t>
        </w:r>
        <w:r>
          <w:rPr>
            <w:noProof/>
            <w:webHidden/>
          </w:rPr>
          <w:fldChar w:fldCharType="end"/>
        </w:r>
      </w:hyperlink>
    </w:p>
    <w:p w14:paraId="05B2970E" w14:textId="77777777" w:rsidR="00F35942" w:rsidRDefault="0037143E" w:rsidP="006258A9">
      <w:pPr>
        <w:spacing w:before="0" w:after="0"/>
        <w:rPr>
          <w:noProof/>
        </w:rPr>
      </w:pPr>
      <w:r>
        <w:rPr>
          <w:b/>
          <w:bCs/>
          <w:noProof/>
        </w:rPr>
        <w:fldChar w:fldCharType="end"/>
      </w:r>
      <w:r w:rsidR="006258A9">
        <w:rPr>
          <w:b/>
          <w:bCs/>
          <w:noProof/>
        </w:rPr>
        <w:fldChar w:fldCharType="begin"/>
      </w:r>
      <w:r w:rsidR="006258A9">
        <w:rPr>
          <w:b/>
          <w:bCs/>
          <w:noProof/>
        </w:rPr>
        <w:instrText xml:space="preserve"> TOC \h \z \t "Figure Caption" \c </w:instrText>
      </w:r>
      <w:r w:rsidR="006258A9">
        <w:rPr>
          <w:b/>
          <w:bCs/>
          <w:noProof/>
        </w:rPr>
        <w:fldChar w:fldCharType="separate"/>
      </w:r>
    </w:p>
    <w:p w14:paraId="2F59ACA8" w14:textId="602CB213"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4" w:history="1">
        <w:r w:rsidRPr="00C33F51">
          <w:rPr>
            <w:rStyle w:val="Hyperlink"/>
            <w:noProof/>
          </w:rPr>
          <w:t>Figure S1</w:t>
        </w:r>
        <w:r>
          <w:rPr>
            <w:noProof/>
            <w:webHidden/>
          </w:rPr>
          <w:tab/>
        </w:r>
        <w:r>
          <w:rPr>
            <w:noProof/>
            <w:webHidden/>
          </w:rPr>
          <w:fldChar w:fldCharType="begin"/>
        </w:r>
        <w:r>
          <w:rPr>
            <w:noProof/>
            <w:webHidden/>
          </w:rPr>
          <w:instrText xml:space="preserve"> PAGEREF _Toc194577054 \h </w:instrText>
        </w:r>
        <w:r>
          <w:rPr>
            <w:noProof/>
            <w:webHidden/>
          </w:rPr>
        </w:r>
        <w:r>
          <w:rPr>
            <w:noProof/>
            <w:webHidden/>
          </w:rPr>
          <w:fldChar w:fldCharType="separate"/>
        </w:r>
        <w:r>
          <w:rPr>
            <w:noProof/>
            <w:webHidden/>
          </w:rPr>
          <w:t>14</w:t>
        </w:r>
        <w:r>
          <w:rPr>
            <w:noProof/>
            <w:webHidden/>
          </w:rPr>
          <w:fldChar w:fldCharType="end"/>
        </w:r>
      </w:hyperlink>
    </w:p>
    <w:p w14:paraId="1E418831" w14:textId="2BF0EFAB"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5" w:history="1">
        <w:r w:rsidRPr="00C33F51">
          <w:rPr>
            <w:rStyle w:val="Hyperlink"/>
            <w:noProof/>
          </w:rPr>
          <w:t>Figure S2</w:t>
        </w:r>
        <w:r>
          <w:rPr>
            <w:noProof/>
            <w:webHidden/>
          </w:rPr>
          <w:tab/>
        </w:r>
        <w:r>
          <w:rPr>
            <w:noProof/>
            <w:webHidden/>
          </w:rPr>
          <w:fldChar w:fldCharType="begin"/>
        </w:r>
        <w:r>
          <w:rPr>
            <w:noProof/>
            <w:webHidden/>
          </w:rPr>
          <w:instrText xml:space="preserve"> PAGEREF _Toc194577055 \h </w:instrText>
        </w:r>
        <w:r>
          <w:rPr>
            <w:noProof/>
            <w:webHidden/>
          </w:rPr>
        </w:r>
        <w:r>
          <w:rPr>
            <w:noProof/>
            <w:webHidden/>
          </w:rPr>
          <w:fldChar w:fldCharType="separate"/>
        </w:r>
        <w:r>
          <w:rPr>
            <w:noProof/>
            <w:webHidden/>
          </w:rPr>
          <w:t>15</w:t>
        </w:r>
        <w:r>
          <w:rPr>
            <w:noProof/>
            <w:webHidden/>
          </w:rPr>
          <w:fldChar w:fldCharType="end"/>
        </w:r>
      </w:hyperlink>
    </w:p>
    <w:p w14:paraId="53128D80" w14:textId="3A3C2D04"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6" w:history="1">
        <w:r w:rsidRPr="00C33F51">
          <w:rPr>
            <w:rStyle w:val="Hyperlink"/>
            <w:noProof/>
          </w:rPr>
          <w:t>Figure S3</w:t>
        </w:r>
        <w:r>
          <w:rPr>
            <w:noProof/>
            <w:webHidden/>
          </w:rPr>
          <w:tab/>
        </w:r>
        <w:r>
          <w:rPr>
            <w:noProof/>
            <w:webHidden/>
          </w:rPr>
          <w:fldChar w:fldCharType="begin"/>
        </w:r>
        <w:r>
          <w:rPr>
            <w:noProof/>
            <w:webHidden/>
          </w:rPr>
          <w:instrText xml:space="preserve"> PAGEREF _Toc194577056 \h </w:instrText>
        </w:r>
        <w:r>
          <w:rPr>
            <w:noProof/>
            <w:webHidden/>
          </w:rPr>
        </w:r>
        <w:r>
          <w:rPr>
            <w:noProof/>
            <w:webHidden/>
          </w:rPr>
          <w:fldChar w:fldCharType="separate"/>
        </w:r>
        <w:r>
          <w:rPr>
            <w:noProof/>
            <w:webHidden/>
          </w:rPr>
          <w:t>16</w:t>
        </w:r>
        <w:r>
          <w:rPr>
            <w:noProof/>
            <w:webHidden/>
          </w:rPr>
          <w:fldChar w:fldCharType="end"/>
        </w:r>
      </w:hyperlink>
    </w:p>
    <w:p w14:paraId="09CB4F34" w14:textId="07C4AEB7"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7" w:history="1">
        <w:r w:rsidRPr="00C33F51">
          <w:rPr>
            <w:rStyle w:val="Hyperlink"/>
            <w:noProof/>
          </w:rPr>
          <w:t>Figure S4</w:t>
        </w:r>
        <w:r>
          <w:rPr>
            <w:noProof/>
            <w:webHidden/>
          </w:rPr>
          <w:tab/>
        </w:r>
        <w:r>
          <w:rPr>
            <w:noProof/>
            <w:webHidden/>
          </w:rPr>
          <w:fldChar w:fldCharType="begin"/>
        </w:r>
        <w:r>
          <w:rPr>
            <w:noProof/>
            <w:webHidden/>
          </w:rPr>
          <w:instrText xml:space="preserve"> PAGEREF _Toc194577057 \h </w:instrText>
        </w:r>
        <w:r>
          <w:rPr>
            <w:noProof/>
            <w:webHidden/>
          </w:rPr>
        </w:r>
        <w:r>
          <w:rPr>
            <w:noProof/>
            <w:webHidden/>
          </w:rPr>
          <w:fldChar w:fldCharType="separate"/>
        </w:r>
        <w:r>
          <w:rPr>
            <w:noProof/>
            <w:webHidden/>
          </w:rPr>
          <w:t>17</w:t>
        </w:r>
        <w:r>
          <w:rPr>
            <w:noProof/>
            <w:webHidden/>
          </w:rPr>
          <w:fldChar w:fldCharType="end"/>
        </w:r>
      </w:hyperlink>
    </w:p>
    <w:p w14:paraId="57AA405A" w14:textId="6A8B61F3"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8" w:history="1">
        <w:r w:rsidRPr="00C33F51">
          <w:rPr>
            <w:rStyle w:val="Hyperlink"/>
            <w:noProof/>
          </w:rPr>
          <w:t>Figure S5</w:t>
        </w:r>
        <w:r>
          <w:rPr>
            <w:noProof/>
            <w:webHidden/>
          </w:rPr>
          <w:tab/>
        </w:r>
        <w:r>
          <w:rPr>
            <w:noProof/>
            <w:webHidden/>
          </w:rPr>
          <w:fldChar w:fldCharType="begin"/>
        </w:r>
        <w:r>
          <w:rPr>
            <w:noProof/>
            <w:webHidden/>
          </w:rPr>
          <w:instrText xml:space="preserve"> PAGEREF _Toc194577058 \h </w:instrText>
        </w:r>
        <w:r>
          <w:rPr>
            <w:noProof/>
            <w:webHidden/>
          </w:rPr>
        </w:r>
        <w:r>
          <w:rPr>
            <w:noProof/>
            <w:webHidden/>
          </w:rPr>
          <w:fldChar w:fldCharType="separate"/>
        </w:r>
        <w:r>
          <w:rPr>
            <w:noProof/>
            <w:webHidden/>
          </w:rPr>
          <w:t>18</w:t>
        </w:r>
        <w:r>
          <w:rPr>
            <w:noProof/>
            <w:webHidden/>
          </w:rPr>
          <w:fldChar w:fldCharType="end"/>
        </w:r>
      </w:hyperlink>
    </w:p>
    <w:p w14:paraId="39739AF5" w14:textId="24EED7FE"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59" w:history="1">
        <w:r w:rsidRPr="00C33F51">
          <w:rPr>
            <w:rStyle w:val="Hyperlink"/>
            <w:noProof/>
          </w:rPr>
          <w:t>Figure S6</w:t>
        </w:r>
        <w:r>
          <w:rPr>
            <w:noProof/>
            <w:webHidden/>
          </w:rPr>
          <w:tab/>
        </w:r>
        <w:r>
          <w:rPr>
            <w:noProof/>
            <w:webHidden/>
          </w:rPr>
          <w:fldChar w:fldCharType="begin"/>
        </w:r>
        <w:r>
          <w:rPr>
            <w:noProof/>
            <w:webHidden/>
          </w:rPr>
          <w:instrText xml:space="preserve"> PAGEREF _Toc194577059 \h </w:instrText>
        </w:r>
        <w:r>
          <w:rPr>
            <w:noProof/>
            <w:webHidden/>
          </w:rPr>
        </w:r>
        <w:r>
          <w:rPr>
            <w:noProof/>
            <w:webHidden/>
          </w:rPr>
          <w:fldChar w:fldCharType="separate"/>
        </w:r>
        <w:r>
          <w:rPr>
            <w:noProof/>
            <w:webHidden/>
          </w:rPr>
          <w:t>19</w:t>
        </w:r>
        <w:r>
          <w:rPr>
            <w:noProof/>
            <w:webHidden/>
          </w:rPr>
          <w:fldChar w:fldCharType="end"/>
        </w:r>
      </w:hyperlink>
    </w:p>
    <w:p w14:paraId="230C6FD0" w14:textId="1202FE7B"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0" w:history="1">
        <w:r w:rsidRPr="00C33F51">
          <w:rPr>
            <w:rStyle w:val="Hyperlink"/>
            <w:noProof/>
          </w:rPr>
          <w:t>Figure S7</w:t>
        </w:r>
        <w:r>
          <w:rPr>
            <w:noProof/>
            <w:webHidden/>
          </w:rPr>
          <w:tab/>
        </w:r>
        <w:r>
          <w:rPr>
            <w:noProof/>
            <w:webHidden/>
          </w:rPr>
          <w:fldChar w:fldCharType="begin"/>
        </w:r>
        <w:r>
          <w:rPr>
            <w:noProof/>
            <w:webHidden/>
          </w:rPr>
          <w:instrText xml:space="preserve"> PAGEREF _Toc194577060 \h </w:instrText>
        </w:r>
        <w:r>
          <w:rPr>
            <w:noProof/>
            <w:webHidden/>
          </w:rPr>
        </w:r>
        <w:r>
          <w:rPr>
            <w:noProof/>
            <w:webHidden/>
          </w:rPr>
          <w:fldChar w:fldCharType="separate"/>
        </w:r>
        <w:r>
          <w:rPr>
            <w:noProof/>
            <w:webHidden/>
          </w:rPr>
          <w:t>20</w:t>
        </w:r>
        <w:r>
          <w:rPr>
            <w:noProof/>
            <w:webHidden/>
          </w:rPr>
          <w:fldChar w:fldCharType="end"/>
        </w:r>
      </w:hyperlink>
    </w:p>
    <w:p w14:paraId="2F2A4AFE" w14:textId="01674C1D"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1" w:history="1">
        <w:r w:rsidRPr="00C33F51">
          <w:rPr>
            <w:rStyle w:val="Hyperlink"/>
            <w:noProof/>
          </w:rPr>
          <w:t>Figure S8</w:t>
        </w:r>
        <w:r>
          <w:rPr>
            <w:noProof/>
            <w:webHidden/>
          </w:rPr>
          <w:tab/>
        </w:r>
        <w:r>
          <w:rPr>
            <w:noProof/>
            <w:webHidden/>
          </w:rPr>
          <w:fldChar w:fldCharType="begin"/>
        </w:r>
        <w:r>
          <w:rPr>
            <w:noProof/>
            <w:webHidden/>
          </w:rPr>
          <w:instrText xml:space="preserve"> PAGEREF _Toc194577061 \h </w:instrText>
        </w:r>
        <w:r>
          <w:rPr>
            <w:noProof/>
            <w:webHidden/>
          </w:rPr>
        </w:r>
        <w:r>
          <w:rPr>
            <w:noProof/>
            <w:webHidden/>
          </w:rPr>
          <w:fldChar w:fldCharType="separate"/>
        </w:r>
        <w:r>
          <w:rPr>
            <w:noProof/>
            <w:webHidden/>
          </w:rPr>
          <w:t>21</w:t>
        </w:r>
        <w:r>
          <w:rPr>
            <w:noProof/>
            <w:webHidden/>
          </w:rPr>
          <w:fldChar w:fldCharType="end"/>
        </w:r>
      </w:hyperlink>
    </w:p>
    <w:p w14:paraId="048BB03E" w14:textId="2705DEF7"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2" w:history="1">
        <w:r w:rsidRPr="00C33F51">
          <w:rPr>
            <w:rStyle w:val="Hyperlink"/>
            <w:noProof/>
          </w:rPr>
          <w:t>Figure S9</w:t>
        </w:r>
        <w:r>
          <w:rPr>
            <w:noProof/>
            <w:webHidden/>
          </w:rPr>
          <w:tab/>
        </w:r>
        <w:r>
          <w:rPr>
            <w:noProof/>
            <w:webHidden/>
          </w:rPr>
          <w:fldChar w:fldCharType="begin"/>
        </w:r>
        <w:r>
          <w:rPr>
            <w:noProof/>
            <w:webHidden/>
          </w:rPr>
          <w:instrText xml:space="preserve"> PAGEREF _Toc194577062 \h </w:instrText>
        </w:r>
        <w:r>
          <w:rPr>
            <w:noProof/>
            <w:webHidden/>
          </w:rPr>
        </w:r>
        <w:r>
          <w:rPr>
            <w:noProof/>
            <w:webHidden/>
          </w:rPr>
          <w:fldChar w:fldCharType="separate"/>
        </w:r>
        <w:r>
          <w:rPr>
            <w:noProof/>
            <w:webHidden/>
          </w:rPr>
          <w:t>22</w:t>
        </w:r>
        <w:r>
          <w:rPr>
            <w:noProof/>
            <w:webHidden/>
          </w:rPr>
          <w:fldChar w:fldCharType="end"/>
        </w:r>
      </w:hyperlink>
    </w:p>
    <w:p w14:paraId="7DF4F650" w14:textId="0B73E6EB"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3" w:history="1">
        <w:r w:rsidRPr="00C33F51">
          <w:rPr>
            <w:rStyle w:val="Hyperlink"/>
            <w:noProof/>
          </w:rPr>
          <w:t>Figure S10</w:t>
        </w:r>
        <w:r>
          <w:rPr>
            <w:noProof/>
            <w:webHidden/>
          </w:rPr>
          <w:tab/>
        </w:r>
        <w:r>
          <w:rPr>
            <w:noProof/>
            <w:webHidden/>
          </w:rPr>
          <w:fldChar w:fldCharType="begin"/>
        </w:r>
        <w:r>
          <w:rPr>
            <w:noProof/>
            <w:webHidden/>
          </w:rPr>
          <w:instrText xml:space="preserve"> PAGEREF _Toc194577063 \h </w:instrText>
        </w:r>
        <w:r>
          <w:rPr>
            <w:noProof/>
            <w:webHidden/>
          </w:rPr>
        </w:r>
        <w:r>
          <w:rPr>
            <w:noProof/>
            <w:webHidden/>
          </w:rPr>
          <w:fldChar w:fldCharType="separate"/>
        </w:r>
        <w:r>
          <w:rPr>
            <w:noProof/>
            <w:webHidden/>
          </w:rPr>
          <w:t>23</w:t>
        </w:r>
        <w:r>
          <w:rPr>
            <w:noProof/>
            <w:webHidden/>
          </w:rPr>
          <w:fldChar w:fldCharType="end"/>
        </w:r>
      </w:hyperlink>
    </w:p>
    <w:p w14:paraId="399A5951" w14:textId="1166F37A"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4" w:history="1">
        <w:r w:rsidRPr="00C33F51">
          <w:rPr>
            <w:rStyle w:val="Hyperlink"/>
            <w:noProof/>
          </w:rPr>
          <w:t>Figure S11</w:t>
        </w:r>
        <w:r>
          <w:rPr>
            <w:noProof/>
            <w:webHidden/>
          </w:rPr>
          <w:tab/>
        </w:r>
        <w:r>
          <w:rPr>
            <w:noProof/>
            <w:webHidden/>
          </w:rPr>
          <w:fldChar w:fldCharType="begin"/>
        </w:r>
        <w:r>
          <w:rPr>
            <w:noProof/>
            <w:webHidden/>
          </w:rPr>
          <w:instrText xml:space="preserve"> PAGEREF _Toc194577064 \h </w:instrText>
        </w:r>
        <w:r>
          <w:rPr>
            <w:noProof/>
            <w:webHidden/>
          </w:rPr>
        </w:r>
        <w:r>
          <w:rPr>
            <w:noProof/>
            <w:webHidden/>
          </w:rPr>
          <w:fldChar w:fldCharType="separate"/>
        </w:r>
        <w:r>
          <w:rPr>
            <w:noProof/>
            <w:webHidden/>
          </w:rPr>
          <w:t>24</w:t>
        </w:r>
        <w:r>
          <w:rPr>
            <w:noProof/>
            <w:webHidden/>
          </w:rPr>
          <w:fldChar w:fldCharType="end"/>
        </w:r>
      </w:hyperlink>
    </w:p>
    <w:p w14:paraId="716154CF" w14:textId="3A8B68F9"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5" w:history="1">
        <w:r w:rsidRPr="00C33F51">
          <w:rPr>
            <w:rStyle w:val="Hyperlink"/>
            <w:noProof/>
          </w:rPr>
          <w:t>Figure S12</w:t>
        </w:r>
        <w:r>
          <w:rPr>
            <w:noProof/>
            <w:webHidden/>
          </w:rPr>
          <w:tab/>
        </w:r>
        <w:r>
          <w:rPr>
            <w:noProof/>
            <w:webHidden/>
          </w:rPr>
          <w:fldChar w:fldCharType="begin"/>
        </w:r>
        <w:r>
          <w:rPr>
            <w:noProof/>
            <w:webHidden/>
          </w:rPr>
          <w:instrText xml:space="preserve"> PAGEREF _Toc194577065 \h </w:instrText>
        </w:r>
        <w:r>
          <w:rPr>
            <w:noProof/>
            <w:webHidden/>
          </w:rPr>
        </w:r>
        <w:r>
          <w:rPr>
            <w:noProof/>
            <w:webHidden/>
          </w:rPr>
          <w:fldChar w:fldCharType="separate"/>
        </w:r>
        <w:r>
          <w:rPr>
            <w:noProof/>
            <w:webHidden/>
          </w:rPr>
          <w:t>25</w:t>
        </w:r>
        <w:r>
          <w:rPr>
            <w:noProof/>
            <w:webHidden/>
          </w:rPr>
          <w:fldChar w:fldCharType="end"/>
        </w:r>
      </w:hyperlink>
    </w:p>
    <w:p w14:paraId="3DFF87FA" w14:textId="54D3071C"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6" w:history="1">
        <w:r w:rsidRPr="00C33F51">
          <w:rPr>
            <w:rStyle w:val="Hyperlink"/>
            <w:noProof/>
          </w:rPr>
          <w:t>Figure S13</w:t>
        </w:r>
        <w:r>
          <w:rPr>
            <w:noProof/>
            <w:webHidden/>
          </w:rPr>
          <w:tab/>
        </w:r>
        <w:r>
          <w:rPr>
            <w:noProof/>
            <w:webHidden/>
          </w:rPr>
          <w:fldChar w:fldCharType="begin"/>
        </w:r>
        <w:r>
          <w:rPr>
            <w:noProof/>
            <w:webHidden/>
          </w:rPr>
          <w:instrText xml:space="preserve"> PAGEREF _Toc194577066 \h </w:instrText>
        </w:r>
        <w:r>
          <w:rPr>
            <w:noProof/>
            <w:webHidden/>
          </w:rPr>
        </w:r>
        <w:r>
          <w:rPr>
            <w:noProof/>
            <w:webHidden/>
          </w:rPr>
          <w:fldChar w:fldCharType="separate"/>
        </w:r>
        <w:r>
          <w:rPr>
            <w:noProof/>
            <w:webHidden/>
          </w:rPr>
          <w:t>26</w:t>
        </w:r>
        <w:r>
          <w:rPr>
            <w:noProof/>
            <w:webHidden/>
          </w:rPr>
          <w:fldChar w:fldCharType="end"/>
        </w:r>
      </w:hyperlink>
    </w:p>
    <w:p w14:paraId="0F10688D" w14:textId="2CCBDB01"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7" w:history="1">
        <w:r w:rsidRPr="00C33F51">
          <w:rPr>
            <w:rStyle w:val="Hyperlink"/>
            <w:noProof/>
          </w:rPr>
          <w:t>Figure S14</w:t>
        </w:r>
        <w:r>
          <w:rPr>
            <w:noProof/>
            <w:webHidden/>
          </w:rPr>
          <w:tab/>
        </w:r>
        <w:r>
          <w:rPr>
            <w:noProof/>
            <w:webHidden/>
          </w:rPr>
          <w:fldChar w:fldCharType="begin"/>
        </w:r>
        <w:r>
          <w:rPr>
            <w:noProof/>
            <w:webHidden/>
          </w:rPr>
          <w:instrText xml:space="preserve"> PAGEREF _Toc194577067 \h </w:instrText>
        </w:r>
        <w:r>
          <w:rPr>
            <w:noProof/>
            <w:webHidden/>
          </w:rPr>
        </w:r>
        <w:r>
          <w:rPr>
            <w:noProof/>
            <w:webHidden/>
          </w:rPr>
          <w:fldChar w:fldCharType="separate"/>
        </w:r>
        <w:r>
          <w:rPr>
            <w:noProof/>
            <w:webHidden/>
          </w:rPr>
          <w:t>27</w:t>
        </w:r>
        <w:r>
          <w:rPr>
            <w:noProof/>
            <w:webHidden/>
          </w:rPr>
          <w:fldChar w:fldCharType="end"/>
        </w:r>
      </w:hyperlink>
    </w:p>
    <w:p w14:paraId="03879DD4" w14:textId="1132507A"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8" w:history="1">
        <w:r w:rsidRPr="00C33F51">
          <w:rPr>
            <w:rStyle w:val="Hyperlink"/>
            <w:noProof/>
          </w:rPr>
          <w:t>Figure S15</w:t>
        </w:r>
        <w:r>
          <w:rPr>
            <w:noProof/>
            <w:webHidden/>
          </w:rPr>
          <w:tab/>
        </w:r>
        <w:r>
          <w:rPr>
            <w:noProof/>
            <w:webHidden/>
          </w:rPr>
          <w:fldChar w:fldCharType="begin"/>
        </w:r>
        <w:r>
          <w:rPr>
            <w:noProof/>
            <w:webHidden/>
          </w:rPr>
          <w:instrText xml:space="preserve"> PAGEREF _Toc194577068 \h </w:instrText>
        </w:r>
        <w:r>
          <w:rPr>
            <w:noProof/>
            <w:webHidden/>
          </w:rPr>
        </w:r>
        <w:r>
          <w:rPr>
            <w:noProof/>
            <w:webHidden/>
          </w:rPr>
          <w:fldChar w:fldCharType="separate"/>
        </w:r>
        <w:r>
          <w:rPr>
            <w:noProof/>
            <w:webHidden/>
          </w:rPr>
          <w:t>27</w:t>
        </w:r>
        <w:r>
          <w:rPr>
            <w:noProof/>
            <w:webHidden/>
          </w:rPr>
          <w:fldChar w:fldCharType="end"/>
        </w:r>
      </w:hyperlink>
    </w:p>
    <w:p w14:paraId="04BE6EC3" w14:textId="2D8BBFCD"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69" w:history="1">
        <w:r w:rsidRPr="00C33F51">
          <w:rPr>
            <w:rStyle w:val="Hyperlink"/>
            <w:noProof/>
          </w:rPr>
          <w:t>Figure S16</w:t>
        </w:r>
        <w:r>
          <w:rPr>
            <w:noProof/>
            <w:webHidden/>
          </w:rPr>
          <w:tab/>
        </w:r>
        <w:r>
          <w:rPr>
            <w:noProof/>
            <w:webHidden/>
          </w:rPr>
          <w:fldChar w:fldCharType="begin"/>
        </w:r>
        <w:r>
          <w:rPr>
            <w:noProof/>
            <w:webHidden/>
          </w:rPr>
          <w:instrText xml:space="preserve"> PAGEREF _Toc194577069 \h </w:instrText>
        </w:r>
        <w:r>
          <w:rPr>
            <w:noProof/>
            <w:webHidden/>
          </w:rPr>
        </w:r>
        <w:r>
          <w:rPr>
            <w:noProof/>
            <w:webHidden/>
          </w:rPr>
          <w:fldChar w:fldCharType="separate"/>
        </w:r>
        <w:r>
          <w:rPr>
            <w:noProof/>
            <w:webHidden/>
          </w:rPr>
          <w:t>28</w:t>
        </w:r>
        <w:r>
          <w:rPr>
            <w:noProof/>
            <w:webHidden/>
          </w:rPr>
          <w:fldChar w:fldCharType="end"/>
        </w:r>
      </w:hyperlink>
    </w:p>
    <w:p w14:paraId="18ABF0C8" w14:textId="7643F662"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70" w:history="1">
        <w:r w:rsidRPr="00C33F51">
          <w:rPr>
            <w:rStyle w:val="Hyperlink"/>
            <w:noProof/>
          </w:rPr>
          <w:t>Figure S17</w:t>
        </w:r>
        <w:r>
          <w:rPr>
            <w:noProof/>
            <w:webHidden/>
          </w:rPr>
          <w:tab/>
        </w:r>
        <w:r>
          <w:rPr>
            <w:noProof/>
            <w:webHidden/>
          </w:rPr>
          <w:fldChar w:fldCharType="begin"/>
        </w:r>
        <w:r>
          <w:rPr>
            <w:noProof/>
            <w:webHidden/>
          </w:rPr>
          <w:instrText xml:space="preserve"> PAGEREF _Toc194577070 \h </w:instrText>
        </w:r>
        <w:r>
          <w:rPr>
            <w:noProof/>
            <w:webHidden/>
          </w:rPr>
        </w:r>
        <w:r>
          <w:rPr>
            <w:noProof/>
            <w:webHidden/>
          </w:rPr>
          <w:fldChar w:fldCharType="separate"/>
        </w:r>
        <w:r>
          <w:rPr>
            <w:noProof/>
            <w:webHidden/>
          </w:rPr>
          <w:t>29</w:t>
        </w:r>
        <w:r>
          <w:rPr>
            <w:noProof/>
            <w:webHidden/>
          </w:rPr>
          <w:fldChar w:fldCharType="end"/>
        </w:r>
      </w:hyperlink>
    </w:p>
    <w:p w14:paraId="1740D624" w14:textId="3C9FB8F3"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71" w:history="1">
        <w:r w:rsidRPr="00C33F51">
          <w:rPr>
            <w:rStyle w:val="Hyperlink"/>
            <w:noProof/>
          </w:rPr>
          <w:t>Figure S18</w:t>
        </w:r>
        <w:r>
          <w:rPr>
            <w:noProof/>
            <w:webHidden/>
          </w:rPr>
          <w:tab/>
        </w:r>
        <w:r>
          <w:rPr>
            <w:noProof/>
            <w:webHidden/>
          </w:rPr>
          <w:fldChar w:fldCharType="begin"/>
        </w:r>
        <w:r>
          <w:rPr>
            <w:noProof/>
            <w:webHidden/>
          </w:rPr>
          <w:instrText xml:space="preserve"> PAGEREF _Toc194577071 \h </w:instrText>
        </w:r>
        <w:r>
          <w:rPr>
            <w:noProof/>
            <w:webHidden/>
          </w:rPr>
        </w:r>
        <w:r>
          <w:rPr>
            <w:noProof/>
            <w:webHidden/>
          </w:rPr>
          <w:fldChar w:fldCharType="separate"/>
        </w:r>
        <w:r>
          <w:rPr>
            <w:noProof/>
            <w:webHidden/>
          </w:rPr>
          <w:t>30</w:t>
        </w:r>
        <w:r>
          <w:rPr>
            <w:noProof/>
            <w:webHidden/>
          </w:rPr>
          <w:fldChar w:fldCharType="end"/>
        </w:r>
      </w:hyperlink>
    </w:p>
    <w:p w14:paraId="2D63E05F" w14:textId="592656BD"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72" w:history="1">
        <w:r w:rsidRPr="00C33F51">
          <w:rPr>
            <w:rStyle w:val="Hyperlink"/>
            <w:noProof/>
          </w:rPr>
          <w:t>Figure S19</w:t>
        </w:r>
        <w:r>
          <w:rPr>
            <w:noProof/>
            <w:webHidden/>
          </w:rPr>
          <w:tab/>
        </w:r>
        <w:r>
          <w:rPr>
            <w:noProof/>
            <w:webHidden/>
          </w:rPr>
          <w:fldChar w:fldCharType="begin"/>
        </w:r>
        <w:r>
          <w:rPr>
            <w:noProof/>
            <w:webHidden/>
          </w:rPr>
          <w:instrText xml:space="preserve"> PAGEREF _Toc194577072 \h </w:instrText>
        </w:r>
        <w:r>
          <w:rPr>
            <w:noProof/>
            <w:webHidden/>
          </w:rPr>
        </w:r>
        <w:r>
          <w:rPr>
            <w:noProof/>
            <w:webHidden/>
          </w:rPr>
          <w:fldChar w:fldCharType="separate"/>
        </w:r>
        <w:r>
          <w:rPr>
            <w:noProof/>
            <w:webHidden/>
          </w:rPr>
          <w:t>31</w:t>
        </w:r>
        <w:r>
          <w:rPr>
            <w:noProof/>
            <w:webHidden/>
          </w:rPr>
          <w:fldChar w:fldCharType="end"/>
        </w:r>
      </w:hyperlink>
    </w:p>
    <w:p w14:paraId="6BA36650" w14:textId="6D1F27E3" w:rsidR="00F35942" w:rsidRDefault="00F35942">
      <w:pPr>
        <w:pStyle w:val="TableofFigures"/>
        <w:tabs>
          <w:tab w:val="right" w:leader="dot" w:pos="9350"/>
        </w:tabs>
        <w:rPr>
          <w:rFonts w:asciiTheme="minorHAnsi" w:eastAsiaTheme="minorEastAsia" w:hAnsiTheme="minorHAnsi" w:cstheme="minorBidi"/>
          <w:noProof/>
          <w:color w:val="auto"/>
          <w:kern w:val="2"/>
          <w:sz w:val="24"/>
          <w14:ligatures w14:val="standardContextual"/>
        </w:rPr>
      </w:pPr>
      <w:hyperlink w:anchor="_Toc194577073" w:history="1">
        <w:r w:rsidRPr="00C33F51">
          <w:rPr>
            <w:rStyle w:val="Hyperlink"/>
            <w:noProof/>
          </w:rPr>
          <w:t>Figure S20</w:t>
        </w:r>
        <w:r>
          <w:rPr>
            <w:noProof/>
            <w:webHidden/>
          </w:rPr>
          <w:tab/>
        </w:r>
        <w:r>
          <w:rPr>
            <w:noProof/>
            <w:webHidden/>
          </w:rPr>
          <w:fldChar w:fldCharType="begin"/>
        </w:r>
        <w:r>
          <w:rPr>
            <w:noProof/>
            <w:webHidden/>
          </w:rPr>
          <w:instrText xml:space="preserve"> PAGEREF _Toc194577073 \h </w:instrText>
        </w:r>
        <w:r>
          <w:rPr>
            <w:noProof/>
            <w:webHidden/>
          </w:rPr>
        </w:r>
        <w:r>
          <w:rPr>
            <w:noProof/>
            <w:webHidden/>
          </w:rPr>
          <w:fldChar w:fldCharType="separate"/>
        </w:r>
        <w:r>
          <w:rPr>
            <w:noProof/>
            <w:webHidden/>
          </w:rPr>
          <w:t>31</w:t>
        </w:r>
        <w:r>
          <w:rPr>
            <w:noProof/>
            <w:webHidden/>
          </w:rPr>
          <w:fldChar w:fldCharType="end"/>
        </w:r>
      </w:hyperlink>
    </w:p>
    <w:p w14:paraId="29DB343F" w14:textId="36540632" w:rsidR="0085539E" w:rsidRDefault="006258A9" w:rsidP="006258A9">
      <w:pPr>
        <w:pStyle w:val="Appendix"/>
      </w:pPr>
      <w:r>
        <w:rPr>
          <w:noProof/>
        </w:rPr>
        <w:lastRenderedPageBreak/>
        <w:fldChar w:fldCharType="end"/>
      </w:r>
      <w:bookmarkStart w:id="2" w:name="_Toc180052164"/>
      <w:bookmarkStart w:id="3" w:name="_Ref180055273"/>
      <w:bookmarkStart w:id="4" w:name="_Ref189470701"/>
      <w:bookmarkStart w:id="5" w:name="_Toc194577040"/>
      <w:r w:rsidR="00566DD6">
        <w:t>Benefits of Regional Coordination</w:t>
      </w:r>
      <w:bookmarkEnd w:id="0"/>
      <w:bookmarkEnd w:id="1"/>
      <w:bookmarkEnd w:id="2"/>
      <w:bookmarkEnd w:id="3"/>
      <w:bookmarkEnd w:id="4"/>
      <w:bookmarkEnd w:id="5"/>
    </w:p>
    <w:p w14:paraId="547DEFD8" w14:textId="6355AED8" w:rsidR="008F25E5" w:rsidRDefault="008F25E5" w:rsidP="008F25E5">
      <w:r>
        <w:t xml:space="preserve">There exist many regional initiatives worldwide with the goal of connecting and coordinating neighboring electric grids to derive mutual benefit from </w:t>
      </w:r>
      <w:r w:rsidRPr="001477B0">
        <w:t>operating a larger system</w:t>
      </w:r>
      <w:r w:rsidR="00F263CE" w:rsidRPr="00F263CE">
        <w:rPr>
          <w:vertAlign w:val="superscript"/>
        </w:rPr>
        <w:t>1</w:t>
      </w:r>
      <w:r w:rsidRPr="001477B0">
        <w:t>, including five African Power Pools</w:t>
      </w:r>
      <w:r w:rsidR="00F263CE" w:rsidRPr="00F263CE">
        <w:rPr>
          <w:vertAlign w:val="superscript"/>
        </w:rPr>
        <w:t>2</w:t>
      </w:r>
      <w:r w:rsidRPr="001477B0">
        <w:t>, the Association of Southeast Asian Nations (ASEAN) Power Grid (APG)</w:t>
      </w:r>
      <w:r w:rsidR="00F263CE" w:rsidRPr="00F263CE">
        <w:rPr>
          <w:vertAlign w:val="superscript"/>
        </w:rPr>
        <w:t>3</w:t>
      </w:r>
      <w:r w:rsidRPr="001477B0">
        <w:t xml:space="preserve">, and the European Network of Transmission </w:t>
      </w:r>
      <w:r w:rsidRPr="006873F0">
        <w:t>System Operators for Electricity (ENTSO-E)</w:t>
      </w:r>
      <w:r w:rsidR="00F263CE" w:rsidRPr="00F263CE">
        <w:rPr>
          <w:vertAlign w:val="superscript"/>
        </w:rPr>
        <w:t>4</w:t>
      </w:r>
      <w:r w:rsidRPr="006873F0">
        <w:t>. Researchers have also examined the potential of further integrating the United States’ three grid interconnections</w:t>
      </w:r>
      <w:r w:rsidR="00F263CE" w:rsidRPr="00F263CE">
        <w:rPr>
          <w:vertAlign w:val="superscript"/>
        </w:rPr>
        <w:t>5,6</w:t>
      </w:r>
      <w:r w:rsidRPr="006873F0">
        <w:t>, which themselves trade large amounts of electricity with Canada and Mexico</w:t>
      </w:r>
      <w:r w:rsidR="00F263CE" w:rsidRPr="00F263CE">
        <w:rPr>
          <w:vertAlign w:val="superscript"/>
        </w:rPr>
        <w:t>7,8</w:t>
      </w:r>
      <w:r w:rsidRPr="006873F0">
        <w:t>.</w:t>
      </w:r>
      <w:r>
        <w:t xml:space="preserve"> Increasingly, more serious consideration is also being given to the potential implications of intercontinental and globally interconnected power systems</w:t>
      </w:r>
      <w:r w:rsidR="00F263CE" w:rsidRPr="00F263CE">
        <w:rPr>
          <w:vertAlign w:val="superscript"/>
        </w:rPr>
        <w:t>9,10</w:t>
      </w:r>
      <w:r>
        <w:t>.</w:t>
      </w:r>
    </w:p>
    <w:p w14:paraId="3F789FA3" w14:textId="5CC3D5D8" w:rsidR="008F25E5" w:rsidRPr="008F25E5" w:rsidRDefault="008F25E5" w:rsidP="008F25E5">
      <w:r w:rsidRPr="0069662E">
        <w:t xml:space="preserve">Interregional electricity trade </w:t>
      </w:r>
      <w:r>
        <w:t xml:space="preserve">and coordinated planning </w:t>
      </w:r>
      <w:r w:rsidRPr="0069662E">
        <w:t>can cost-effectively promote higher shares of renewables in the generation mix and reduce cumulative CO</w:t>
      </w:r>
      <w:r w:rsidRPr="0069662E">
        <w:rPr>
          <w:vertAlign w:val="subscript"/>
        </w:rPr>
        <w:t>2</w:t>
      </w:r>
      <w:r w:rsidRPr="0069662E">
        <w:t xml:space="preserve"> emissions</w:t>
      </w:r>
      <w:r w:rsidR="00F263CE" w:rsidRPr="00F263CE">
        <w:rPr>
          <w:vertAlign w:val="superscript"/>
        </w:rPr>
        <w:t>11,9,12</w:t>
      </w:r>
      <w:r w:rsidRPr="0069662E">
        <w:t xml:space="preserve">. </w:t>
      </w:r>
      <w:r>
        <w:t>This is primarily due to 1) a spatially heterogeneous distribution of renewable resource quality throughout a region</w:t>
      </w:r>
      <w:r w:rsidR="00F263CE" w:rsidRPr="00F263CE">
        <w:rPr>
          <w:vertAlign w:val="superscript"/>
        </w:rPr>
        <w:t>13</w:t>
      </w:r>
      <w:r>
        <w:t>; 2) lower system costs offered by balancing supply and demand variability over a larger region</w:t>
      </w:r>
      <w:r w:rsidR="00F263CE" w:rsidRPr="00F263CE">
        <w:rPr>
          <w:vertAlign w:val="superscript"/>
        </w:rPr>
        <w:t>6,14</w:t>
      </w:r>
      <w:r>
        <w:t xml:space="preserve"> as well as centralized dispatch</w:t>
      </w:r>
      <w:r w:rsidR="00F263CE" w:rsidRPr="00F263CE">
        <w:rPr>
          <w:vertAlign w:val="superscript"/>
        </w:rPr>
        <w:t>15</w:t>
      </w:r>
      <w:r>
        <w:t>; and 3) increased reliability in the face of hydrometeorological extremes such as drought and heat waves</w:t>
      </w:r>
      <w:r w:rsidR="00F263CE" w:rsidRPr="00F263CE">
        <w:rPr>
          <w:vertAlign w:val="superscript"/>
        </w:rPr>
        <w:t>16</w:t>
      </w:r>
      <w:r>
        <w:t>. Electricity systems with high shares of intermittent renewables can further benefit from investment in transmission expansion through decreases in curtailment, price volatility, and reliance on storage technologies</w:t>
      </w:r>
      <w:r w:rsidR="00F263CE" w:rsidRPr="00F263CE">
        <w:rPr>
          <w:vertAlign w:val="superscript"/>
        </w:rPr>
        <w:t>5,10,11,17</w:t>
      </w:r>
      <w:r>
        <w:t>. Still, such coordination must ensure benefits are distributed among participating regions and align</w:t>
      </w:r>
      <w:r w:rsidRPr="00BB5885">
        <w:t>ed with the goals and unique development contexts of individual countries</w:t>
      </w:r>
      <w:r w:rsidR="00F263CE" w:rsidRPr="00F263CE">
        <w:rPr>
          <w:vertAlign w:val="superscript"/>
        </w:rPr>
        <w:t>18–20</w:t>
      </w:r>
      <w:r w:rsidRPr="00BB5885">
        <w:t xml:space="preserve">. </w:t>
      </w:r>
      <w:r w:rsidR="00BB5885" w:rsidRPr="00BB5885">
        <w:t>Table S</w:t>
      </w:r>
      <w:r w:rsidR="00BB5885" w:rsidRPr="00BB5885">
        <w:rPr>
          <w:noProof/>
        </w:rPr>
        <w:t>1</w:t>
      </w:r>
      <w:r w:rsidR="00BB5885" w:rsidRPr="00BB5885">
        <w:t xml:space="preserve"> </w:t>
      </w:r>
      <w:r w:rsidRPr="00BB5885">
        <w:t>provides</w:t>
      </w:r>
      <w:r>
        <w:t xml:space="preserve"> an additional (non-exhaustive) review of relevant studies.</w:t>
      </w:r>
    </w:p>
    <w:p w14:paraId="60B99625" w14:textId="77777777" w:rsidR="006258A9" w:rsidRPr="006258A9" w:rsidRDefault="00BB5885" w:rsidP="00BB5885">
      <w:pPr>
        <w:pStyle w:val="TableCaption"/>
        <w:rPr>
          <w:noProof/>
          <w:vanish/>
          <w:specVanish/>
        </w:rPr>
      </w:pPr>
      <w:bookmarkStart w:id="6" w:name="_Ref193960639"/>
      <w:bookmarkStart w:id="7" w:name="_Toc194577047"/>
      <w:bookmarkStart w:id="8" w:name="_Toc194575607"/>
      <w:r w:rsidRPr="00BB5885">
        <w:t>Table S</w:t>
      </w:r>
      <w:r w:rsidR="00237128">
        <w:rPr>
          <w:noProof/>
        </w:rPr>
        <w:t>1</w:t>
      </w:r>
      <w:bookmarkEnd w:id="6"/>
      <w:bookmarkEnd w:id="7"/>
    </w:p>
    <w:p w14:paraId="27339D3B" w14:textId="7684FA77" w:rsidR="00B0047D" w:rsidRPr="00BB5885" w:rsidRDefault="00B0047D" w:rsidP="006258A9">
      <w:pPr>
        <w:pStyle w:val="Style3"/>
      </w:pPr>
      <w:r w:rsidRPr="00BB5885">
        <w:t xml:space="preserve">: Review of studies </w:t>
      </w:r>
      <w:r w:rsidR="001E28D2" w:rsidRPr="00BB5885">
        <w:t xml:space="preserve">(by region) </w:t>
      </w:r>
      <w:r w:rsidRPr="00BB5885">
        <w:t>examining increased regional coordination in electricity systems.</w:t>
      </w:r>
      <w:bookmarkEnd w:id="8"/>
    </w:p>
    <w:tbl>
      <w:tblPr>
        <w:tblStyle w:val="TableGrid"/>
        <w:tblW w:w="4967" w:type="pct"/>
        <w:tblCellMar>
          <w:top w:w="14" w:type="dxa"/>
          <w:left w:w="58" w:type="dxa"/>
          <w:right w:w="58" w:type="dxa"/>
        </w:tblCellMar>
        <w:tblLook w:val="04A0" w:firstRow="1" w:lastRow="0" w:firstColumn="1" w:lastColumn="0" w:noHBand="0" w:noVBand="1"/>
      </w:tblPr>
      <w:tblGrid>
        <w:gridCol w:w="715"/>
        <w:gridCol w:w="1170"/>
        <w:gridCol w:w="2700"/>
        <w:gridCol w:w="4703"/>
      </w:tblGrid>
      <w:tr w:rsidR="00B0047D" w:rsidRPr="005C5AAA" w14:paraId="316E3D4B" w14:textId="77777777" w:rsidTr="00F35942">
        <w:trPr>
          <w:trHeight w:val="332"/>
        </w:trPr>
        <w:tc>
          <w:tcPr>
            <w:tcW w:w="715" w:type="dxa"/>
            <w:vAlign w:val="center"/>
          </w:tcPr>
          <w:p w14:paraId="00B09985" w14:textId="77777777" w:rsidR="00B0047D" w:rsidRPr="0071548F" w:rsidRDefault="00B0047D" w:rsidP="00F35942">
            <w:pPr>
              <w:spacing w:before="0" w:after="0"/>
              <w:contextualSpacing/>
              <w:jc w:val="center"/>
              <w:rPr>
                <w:b/>
                <w:bCs/>
                <w:sz w:val="18"/>
                <w:szCs w:val="18"/>
              </w:rPr>
            </w:pPr>
            <w:bookmarkStart w:id="9" w:name="_Ref168056754"/>
            <w:r w:rsidRPr="0071548F">
              <w:rPr>
                <w:b/>
                <w:bCs/>
                <w:sz w:val="18"/>
                <w:szCs w:val="18"/>
              </w:rPr>
              <w:t>Ref.</w:t>
            </w:r>
          </w:p>
        </w:tc>
        <w:tc>
          <w:tcPr>
            <w:tcW w:w="1170" w:type="dxa"/>
            <w:vAlign w:val="center"/>
          </w:tcPr>
          <w:p w14:paraId="11FE3526" w14:textId="77777777" w:rsidR="00B0047D" w:rsidRPr="0071548F" w:rsidRDefault="00B0047D" w:rsidP="00F35942">
            <w:pPr>
              <w:spacing w:before="0" w:after="0"/>
              <w:contextualSpacing/>
              <w:jc w:val="center"/>
              <w:rPr>
                <w:b/>
                <w:bCs/>
                <w:sz w:val="18"/>
                <w:szCs w:val="18"/>
              </w:rPr>
            </w:pPr>
            <w:r w:rsidRPr="0071548F">
              <w:rPr>
                <w:b/>
                <w:bCs/>
                <w:sz w:val="18"/>
                <w:szCs w:val="18"/>
              </w:rPr>
              <w:t>Region</w:t>
            </w:r>
          </w:p>
        </w:tc>
        <w:tc>
          <w:tcPr>
            <w:tcW w:w="2700" w:type="dxa"/>
            <w:vAlign w:val="center"/>
          </w:tcPr>
          <w:p w14:paraId="60499E43" w14:textId="77777777" w:rsidR="00B0047D" w:rsidRPr="0071548F" w:rsidRDefault="00B0047D" w:rsidP="00F35942">
            <w:pPr>
              <w:spacing w:before="0" w:after="0"/>
              <w:contextualSpacing/>
              <w:jc w:val="center"/>
              <w:rPr>
                <w:b/>
                <w:bCs/>
                <w:sz w:val="18"/>
                <w:szCs w:val="18"/>
              </w:rPr>
            </w:pPr>
            <w:r w:rsidRPr="0071548F">
              <w:rPr>
                <w:b/>
                <w:bCs/>
                <w:sz w:val="18"/>
                <w:szCs w:val="18"/>
              </w:rPr>
              <w:t>Focus</w:t>
            </w:r>
          </w:p>
        </w:tc>
        <w:tc>
          <w:tcPr>
            <w:tcW w:w="4703" w:type="dxa"/>
            <w:vAlign w:val="center"/>
          </w:tcPr>
          <w:p w14:paraId="0349632C" w14:textId="77777777" w:rsidR="00B0047D" w:rsidRPr="0071548F" w:rsidRDefault="00B0047D" w:rsidP="00F35942">
            <w:pPr>
              <w:spacing w:before="0" w:after="0"/>
              <w:contextualSpacing/>
              <w:jc w:val="center"/>
              <w:rPr>
                <w:b/>
                <w:bCs/>
                <w:sz w:val="18"/>
                <w:szCs w:val="18"/>
              </w:rPr>
            </w:pPr>
            <w:r w:rsidRPr="0071548F">
              <w:rPr>
                <w:b/>
                <w:bCs/>
                <w:sz w:val="18"/>
                <w:szCs w:val="18"/>
              </w:rPr>
              <w:t>Detail</w:t>
            </w:r>
          </w:p>
        </w:tc>
      </w:tr>
      <w:tr w:rsidR="00B0047D" w:rsidRPr="005C5AAA" w14:paraId="1AACB3D8" w14:textId="77777777" w:rsidTr="00F35942">
        <w:trPr>
          <w:trHeight w:val="980"/>
        </w:trPr>
        <w:tc>
          <w:tcPr>
            <w:tcW w:w="715" w:type="dxa"/>
            <w:vAlign w:val="center"/>
          </w:tcPr>
          <w:p w14:paraId="6D322376" w14:textId="31F662B0" w:rsidR="00B0047D" w:rsidRPr="00F35942" w:rsidRDefault="00F263CE" w:rsidP="00A67470">
            <w:pPr>
              <w:spacing w:before="0" w:after="0"/>
              <w:contextualSpacing/>
              <w:rPr>
                <w:sz w:val="28"/>
                <w:szCs w:val="28"/>
              </w:rPr>
            </w:pPr>
            <w:r w:rsidRPr="00F35942">
              <w:rPr>
                <w:sz w:val="28"/>
                <w:szCs w:val="28"/>
                <w:vertAlign w:val="superscript"/>
              </w:rPr>
              <w:t>1</w:t>
            </w:r>
          </w:p>
        </w:tc>
        <w:tc>
          <w:tcPr>
            <w:tcW w:w="1170" w:type="dxa"/>
            <w:vAlign w:val="center"/>
          </w:tcPr>
          <w:p w14:paraId="37876612" w14:textId="77777777" w:rsidR="00B0047D" w:rsidRPr="00F35942" w:rsidRDefault="00B0047D" w:rsidP="00A67470">
            <w:pPr>
              <w:spacing w:before="0" w:after="0"/>
              <w:contextualSpacing/>
              <w:rPr>
                <w:sz w:val="16"/>
                <w:szCs w:val="16"/>
              </w:rPr>
            </w:pPr>
            <w:r w:rsidRPr="00F35942">
              <w:rPr>
                <w:sz w:val="16"/>
                <w:szCs w:val="16"/>
              </w:rPr>
              <w:t>International</w:t>
            </w:r>
          </w:p>
        </w:tc>
        <w:tc>
          <w:tcPr>
            <w:tcW w:w="2700" w:type="dxa"/>
            <w:vAlign w:val="center"/>
          </w:tcPr>
          <w:p w14:paraId="60639249" w14:textId="0EA2B05C" w:rsidR="00B0047D" w:rsidRPr="00F35942" w:rsidRDefault="00B0047D" w:rsidP="00A67470">
            <w:pPr>
              <w:spacing w:before="0" w:after="0"/>
              <w:contextualSpacing/>
              <w:rPr>
                <w:sz w:val="16"/>
                <w:szCs w:val="16"/>
              </w:rPr>
            </w:pPr>
            <w:r w:rsidRPr="00F35942">
              <w:rPr>
                <w:sz w:val="16"/>
                <w:szCs w:val="16"/>
              </w:rPr>
              <w:t>Review of “Macro Grids” worldwide, noting progress and opportunities in various regions. Relevant discussion for countries in South America included.</w:t>
            </w:r>
          </w:p>
        </w:tc>
        <w:tc>
          <w:tcPr>
            <w:tcW w:w="4703" w:type="dxa"/>
            <w:vAlign w:val="center"/>
          </w:tcPr>
          <w:p w14:paraId="66EFDAE0" w14:textId="77777777" w:rsidR="00B0047D" w:rsidRPr="00F35942" w:rsidRDefault="00B0047D" w:rsidP="00A67470">
            <w:pPr>
              <w:spacing w:before="0" w:after="0"/>
              <w:contextualSpacing/>
              <w:rPr>
                <w:sz w:val="16"/>
                <w:szCs w:val="16"/>
              </w:rPr>
            </w:pPr>
            <w:r w:rsidRPr="00F35942">
              <w:rPr>
                <w:sz w:val="16"/>
                <w:szCs w:val="16"/>
              </w:rPr>
              <w:t>South America is largely lacking international transmission interconnections, despite geographic diversity in its renewable resource potential. However, there are ongoing initiatives increasing within-country transmission capacity in Brazil (to connect Amazonian hydro and wind in the northeast) and Chile (to connect Atacama solar).</w:t>
            </w:r>
          </w:p>
        </w:tc>
      </w:tr>
      <w:tr w:rsidR="00B0047D" w:rsidRPr="005C5AAA" w14:paraId="7BE93C8E" w14:textId="77777777" w:rsidTr="00F35942">
        <w:trPr>
          <w:trHeight w:val="962"/>
        </w:trPr>
        <w:tc>
          <w:tcPr>
            <w:tcW w:w="715" w:type="dxa"/>
            <w:vAlign w:val="center"/>
          </w:tcPr>
          <w:p w14:paraId="6E7C3198" w14:textId="6F391D62" w:rsidR="00B0047D" w:rsidRPr="00F35942" w:rsidRDefault="00F263CE" w:rsidP="00A67470">
            <w:pPr>
              <w:spacing w:before="0" w:after="0"/>
              <w:contextualSpacing/>
              <w:rPr>
                <w:color w:val="auto"/>
                <w:sz w:val="28"/>
                <w:szCs w:val="28"/>
              </w:rPr>
            </w:pPr>
            <w:r w:rsidRPr="00F35942">
              <w:rPr>
                <w:sz w:val="28"/>
                <w:szCs w:val="28"/>
                <w:vertAlign w:val="superscript"/>
              </w:rPr>
              <w:t>12</w:t>
            </w:r>
          </w:p>
        </w:tc>
        <w:tc>
          <w:tcPr>
            <w:tcW w:w="1170" w:type="dxa"/>
            <w:vAlign w:val="center"/>
          </w:tcPr>
          <w:p w14:paraId="2D87830A" w14:textId="77777777" w:rsidR="00B0047D" w:rsidRPr="00F35942" w:rsidRDefault="00B0047D" w:rsidP="00A67470">
            <w:pPr>
              <w:spacing w:before="0" w:after="0"/>
              <w:contextualSpacing/>
              <w:rPr>
                <w:color w:val="auto"/>
                <w:sz w:val="16"/>
                <w:szCs w:val="16"/>
              </w:rPr>
            </w:pPr>
            <w:r w:rsidRPr="00F35942">
              <w:rPr>
                <w:color w:val="auto"/>
                <w:sz w:val="16"/>
                <w:szCs w:val="16"/>
              </w:rPr>
              <w:t>Latin America and the Caribbean</w:t>
            </w:r>
          </w:p>
        </w:tc>
        <w:tc>
          <w:tcPr>
            <w:tcW w:w="2700" w:type="dxa"/>
            <w:vAlign w:val="center"/>
          </w:tcPr>
          <w:p w14:paraId="42BAE2FC" w14:textId="2F5AE9D7" w:rsidR="00B0047D" w:rsidRPr="00F35942" w:rsidRDefault="00B0047D" w:rsidP="00A67470">
            <w:pPr>
              <w:spacing w:before="0" w:after="0"/>
              <w:contextualSpacing/>
              <w:rPr>
                <w:color w:val="auto"/>
                <w:sz w:val="16"/>
                <w:szCs w:val="16"/>
              </w:rPr>
            </w:pPr>
            <w:r w:rsidRPr="00F35942">
              <w:rPr>
                <w:color w:val="auto"/>
                <w:sz w:val="16"/>
                <w:szCs w:val="16"/>
              </w:rPr>
              <w:t>Examines near-term benefits of increasing transnational electricity trade in Latin America</w:t>
            </w:r>
            <w:r w:rsidR="005F5388" w:rsidRPr="00F35942">
              <w:rPr>
                <w:color w:val="auto"/>
                <w:sz w:val="16"/>
                <w:szCs w:val="16"/>
              </w:rPr>
              <w:t xml:space="preserve"> by modeling short-term dispatch with a production-cost model</w:t>
            </w:r>
            <w:r w:rsidRPr="00F35942">
              <w:rPr>
                <w:color w:val="auto"/>
                <w:sz w:val="16"/>
                <w:szCs w:val="16"/>
              </w:rPr>
              <w:t>.</w:t>
            </w:r>
          </w:p>
        </w:tc>
        <w:tc>
          <w:tcPr>
            <w:tcW w:w="4703" w:type="dxa"/>
            <w:vAlign w:val="center"/>
          </w:tcPr>
          <w:p w14:paraId="16A2BAE9" w14:textId="74DF756E" w:rsidR="00B0047D" w:rsidRPr="00F35942" w:rsidRDefault="00B0047D" w:rsidP="00A67470">
            <w:pPr>
              <w:spacing w:before="0" w:after="0"/>
              <w:contextualSpacing/>
              <w:rPr>
                <w:color w:val="C00000"/>
                <w:sz w:val="16"/>
                <w:szCs w:val="16"/>
              </w:rPr>
            </w:pPr>
            <w:r w:rsidRPr="00F35942">
              <w:rPr>
                <w:color w:val="auto"/>
                <w:sz w:val="16"/>
                <w:szCs w:val="16"/>
              </w:rPr>
              <w:t xml:space="preserve">Reviews benefits of </w:t>
            </w:r>
            <w:r w:rsidR="00532042" w:rsidRPr="00F35942">
              <w:rPr>
                <w:color w:val="auto"/>
                <w:sz w:val="16"/>
                <w:szCs w:val="16"/>
              </w:rPr>
              <w:t xml:space="preserve">short-term infra-marginal </w:t>
            </w:r>
            <w:r w:rsidRPr="00F35942">
              <w:rPr>
                <w:color w:val="auto"/>
                <w:sz w:val="16"/>
                <w:szCs w:val="16"/>
              </w:rPr>
              <w:t>electricity trade, asserting that costs involved with new infrastructure and institution building in the region can be far exceeded by, e.g., savings in fuel &amp; operational costs, lower peaking capacity investment, increased reliability, pooled reserve margins, optimal utilization of natural resources, and avoided emissions.</w:t>
            </w:r>
          </w:p>
        </w:tc>
      </w:tr>
      <w:tr w:rsidR="00B0047D" w:rsidRPr="005C5AAA" w14:paraId="59F5A82C" w14:textId="77777777" w:rsidTr="00F35942">
        <w:trPr>
          <w:trHeight w:val="984"/>
        </w:trPr>
        <w:tc>
          <w:tcPr>
            <w:tcW w:w="715" w:type="dxa"/>
            <w:vAlign w:val="center"/>
          </w:tcPr>
          <w:p w14:paraId="3DC51177" w14:textId="45D5964A" w:rsidR="00B0047D" w:rsidRPr="00F35942" w:rsidRDefault="00F263CE" w:rsidP="00A67470">
            <w:pPr>
              <w:spacing w:before="0" w:after="0"/>
              <w:contextualSpacing/>
              <w:rPr>
                <w:color w:val="auto"/>
                <w:sz w:val="28"/>
                <w:szCs w:val="28"/>
              </w:rPr>
            </w:pPr>
            <w:r w:rsidRPr="00F35942">
              <w:rPr>
                <w:sz w:val="28"/>
                <w:szCs w:val="28"/>
                <w:vertAlign w:val="superscript"/>
              </w:rPr>
              <w:t>21</w:t>
            </w:r>
          </w:p>
        </w:tc>
        <w:tc>
          <w:tcPr>
            <w:tcW w:w="1170" w:type="dxa"/>
            <w:vAlign w:val="center"/>
          </w:tcPr>
          <w:p w14:paraId="4C3BE210" w14:textId="77777777" w:rsidR="00B0047D" w:rsidRPr="00F35942" w:rsidRDefault="00B0047D" w:rsidP="00A67470">
            <w:pPr>
              <w:spacing w:before="0" w:after="0"/>
              <w:contextualSpacing/>
              <w:rPr>
                <w:color w:val="auto"/>
                <w:sz w:val="16"/>
                <w:szCs w:val="16"/>
              </w:rPr>
            </w:pPr>
            <w:r w:rsidRPr="00F35942">
              <w:rPr>
                <w:color w:val="auto"/>
                <w:sz w:val="16"/>
                <w:szCs w:val="16"/>
              </w:rPr>
              <w:t>Latin America and the Caribbean</w:t>
            </w:r>
          </w:p>
        </w:tc>
        <w:tc>
          <w:tcPr>
            <w:tcW w:w="2700" w:type="dxa"/>
            <w:vAlign w:val="center"/>
          </w:tcPr>
          <w:p w14:paraId="305C65DE" w14:textId="2A52BCF9" w:rsidR="00B0047D" w:rsidRPr="00F35942" w:rsidRDefault="00B0047D" w:rsidP="00A67470">
            <w:pPr>
              <w:spacing w:before="0" w:after="0"/>
              <w:contextualSpacing/>
              <w:rPr>
                <w:color w:val="auto"/>
                <w:sz w:val="16"/>
                <w:szCs w:val="16"/>
              </w:rPr>
            </w:pPr>
            <w:r w:rsidRPr="00F35942">
              <w:rPr>
                <w:color w:val="auto"/>
                <w:sz w:val="16"/>
                <w:szCs w:val="16"/>
              </w:rPr>
              <w:t>Brazil-focused study applying cooperative game theory (Shapley values) to analyze the bargaining power of Latin American countries.</w:t>
            </w:r>
          </w:p>
        </w:tc>
        <w:tc>
          <w:tcPr>
            <w:tcW w:w="4703" w:type="dxa"/>
            <w:vAlign w:val="center"/>
          </w:tcPr>
          <w:p w14:paraId="63BCB842" w14:textId="6B28A490" w:rsidR="00B0047D" w:rsidRPr="00F35942" w:rsidRDefault="00B0047D" w:rsidP="00A67470">
            <w:pPr>
              <w:spacing w:before="0" w:after="0"/>
              <w:contextualSpacing/>
              <w:rPr>
                <w:color w:val="auto"/>
                <w:sz w:val="16"/>
                <w:szCs w:val="16"/>
              </w:rPr>
            </w:pPr>
            <w:r w:rsidRPr="00F35942">
              <w:rPr>
                <w:color w:val="auto"/>
                <w:sz w:val="16"/>
                <w:szCs w:val="16"/>
              </w:rPr>
              <w:t>Three expansion scenarios are explored</w:t>
            </w:r>
            <w:r w:rsidR="005D5815" w:rsidRPr="00F35942">
              <w:rPr>
                <w:color w:val="auto"/>
                <w:sz w:val="16"/>
                <w:szCs w:val="16"/>
              </w:rPr>
              <w:t>; increased integration comes from pre-specified transmission expansion</w:t>
            </w:r>
            <w:r w:rsidRPr="00F35942">
              <w:rPr>
                <w:color w:val="auto"/>
                <w:sz w:val="16"/>
                <w:szCs w:val="16"/>
              </w:rPr>
              <w:t>. Brazil, Argentina, Paraguay, Peru, and Guyana are determined to have the most bargaining power.</w:t>
            </w:r>
            <w:r w:rsidR="005D5815" w:rsidRPr="00F35942">
              <w:rPr>
                <w:color w:val="auto"/>
                <w:sz w:val="16"/>
                <w:szCs w:val="16"/>
              </w:rPr>
              <w:t xml:space="preserve"> Models 48 time slices (one representative day per month, split into four 6-hour periods).</w:t>
            </w:r>
          </w:p>
        </w:tc>
      </w:tr>
      <w:tr w:rsidR="00B0047D" w:rsidRPr="005C5AAA" w14:paraId="2EA92B93" w14:textId="77777777" w:rsidTr="00F35942">
        <w:trPr>
          <w:trHeight w:val="800"/>
        </w:trPr>
        <w:tc>
          <w:tcPr>
            <w:tcW w:w="715" w:type="dxa"/>
            <w:vAlign w:val="center"/>
          </w:tcPr>
          <w:p w14:paraId="404184EA" w14:textId="738BCC39" w:rsidR="00B0047D" w:rsidRPr="00F35942" w:rsidRDefault="00F263CE" w:rsidP="00A67470">
            <w:pPr>
              <w:spacing w:before="0" w:after="0"/>
              <w:contextualSpacing/>
              <w:rPr>
                <w:color w:val="auto"/>
                <w:sz w:val="28"/>
                <w:szCs w:val="28"/>
              </w:rPr>
            </w:pPr>
            <w:r w:rsidRPr="00F35942">
              <w:rPr>
                <w:sz w:val="28"/>
                <w:szCs w:val="28"/>
                <w:vertAlign w:val="superscript"/>
              </w:rPr>
              <w:t>22</w:t>
            </w:r>
          </w:p>
        </w:tc>
        <w:tc>
          <w:tcPr>
            <w:tcW w:w="1170" w:type="dxa"/>
            <w:vAlign w:val="center"/>
          </w:tcPr>
          <w:p w14:paraId="2C94D22F" w14:textId="77777777" w:rsidR="00B0047D" w:rsidRPr="00F35942" w:rsidRDefault="00B0047D" w:rsidP="00A67470">
            <w:pPr>
              <w:spacing w:before="0" w:after="0"/>
              <w:contextualSpacing/>
              <w:rPr>
                <w:color w:val="auto"/>
                <w:sz w:val="16"/>
                <w:szCs w:val="16"/>
              </w:rPr>
            </w:pPr>
            <w:r w:rsidRPr="00F35942">
              <w:rPr>
                <w:color w:val="auto"/>
                <w:sz w:val="16"/>
                <w:szCs w:val="16"/>
              </w:rPr>
              <w:t>Latin America and the Caribbean</w:t>
            </w:r>
          </w:p>
        </w:tc>
        <w:tc>
          <w:tcPr>
            <w:tcW w:w="2700" w:type="dxa"/>
            <w:vAlign w:val="center"/>
          </w:tcPr>
          <w:p w14:paraId="6450325C" w14:textId="5E855B5E" w:rsidR="00B0047D" w:rsidRPr="00F35942" w:rsidRDefault="00B0047D" w:rsidP="00A67470">
            <w:pPr>
              <w:spacing w:before="0" w:after="0"/>
              <w:contextualSpacing/>
              <w:rPr>
                <w:color w:val="auto"/>
                <w:sz w:val="16"/>
                <w:szCs w:val="16"/>
              </w:rPr>
            </w:pPr>
            <w:r w:rsidRPr="00F35942">
              <w:rPr>
                <w:color w:val="auto"/>
                <w:sz w:val="16"/>
                <w:szCs w:val="16"/>
              </w:rPr>
              <w:t xml:space="preserve">Simulates grid integration in Latin America </w:t>
            </w:r>
            <w:r w:rsidR="005D5815" w:rsidRPr="00F35942">
              <w:rPr>
                <w:color w:val="auto"/>
                <w:sz w:val="16"/>
                <w:szCs w:val="16"/>
              </w:rPr>
              <w:t xml:space="preserve">with a system dynamics model </w:t>
            </w:r>
            <w:r w:rsidRPr="00F35942">
              <w:rPr>
                <w:color w:val="auto"/>
                <w:sz w:val="16"/>
                <w:szCs w:val="16"/>
              </w:rPr>
              <w:t>to articulate the opportunities and challenges involved.</w:t>
            </w:r>
          </w:p>
        </w:tc>
        <w:tc>
          <w:tcPr>
            <w:tcW w:w="4703" w:type="dxa"/>
            <w:vAlign w:val="center"/>
          </w:tcPr>
          <w:p w14:paraId="73A8D2BA" w14:textId="0B189740" w:rsidR="00B0047D" w:rsidRPr="00F35942" w:rsidRDefault="00B0047D" w:rsidP="00A67470">
            <w:pPr>
              <w:spacing w:before="0" w:after="0"/>
              <w:contextualSpacing/>
              <w:rPr>
                <w:color w:val="auto"/>
                <w:sz w:val="16"/>
                <w:szCs w:val="16"/>
              </w:rPr>
            </w:pPr>
            <w:r w:rsidRPr="00F35942">
              <w:rPr>
                <w:color w:val="auto"/>
                <w:sz w:val="16"/>
                <w:szCs w:val="16"/>
              </w:rPr>
              <w:t xml:space="preserve">Asserts that the benefits gained by increased integration will strongly depend on policy, regulatory, and technical issues. Further, countries should be wary of over-reliance on </w:t>
            </w:r>
            <w:r w:rsidR="001D2066" w:rsidRPr="00F35942">
              <w:rPr>
                <w:color w:val="auto"/>
                <w:sz w:val="16"/>
                <w:szCs w:val="16"/>
              </w:rPr>
              <w:t>their</w:t>
            </w:r>
            <w:r w:rsidRPr="00F35942">
              <w:rPr>
                <w:color w:val="auto"/>
                <w:sz w:val="16"/>
                <w:szCs w:val="16"/>
              </w:rPr>
              <w:t xml:space="preserve"> neighbors. Four policy-based scenarios are considered.</w:t>
            </w:r>
          </w:p>
        </w:tc>
      </w:tr>
      <w:tr w:rsidR="00B0047D" w:rsidRPr="005C5AAA" w14:paraId="4570266F" w14:textId="77777777" w:rsidTr="00F35942">
        <w:trPr>
          <w:trHeight w:val="957"/>
        </w:trPr>
        <w:tc>
          <w:tcPr>
            <w:tcW w:w="715" w:type="dxa"/>
            <w:vAlign w:val="center"/>
          </w:tcPr>
          <w:p w14:paraId="2AF95F93" w14:textId="2EE09EB7" w:rsidR="00B0047D" w:rsidRPr="00F35942" w:rsidRDefault="00F263CE" w:rsidP="00A67470">
            <w:pPr>
              <w:spacing w:before="0" w:after="0"/>
              <w:contextualSpacing/>
              <w:rPr>
                <w:color w:val="auto"/>
                <w:sz w:val="28"/>
                <w:szCs w:val="28"/>
              </w:rPr>
            </w:pPr>
            <w:r w:rsidRPr="00F35942">
              <w:rPr>
                <w:sz w:val="28"/>
                <w:szCs w:val="28"/>
                <w:vertAlign w:val="superscript"/>
              </w:rPr>
              <w:t>23</w:t>
            </w:r>
          </w:p>
        </w:tc>
        <w:tc>
          <w:tcPr>
            <w:tcW w:w="1170" w:type="dxa"/>
            <w:vAlign w:val="center"/>
          </w:tcPr>
          <w:p w14:paraId="3BD45495" w14:textId="77777777" w:rsidR="00B0047D" w:rsidRPr="00F35942" w:rsidRDefault="00B0047D" w:rsidP="00A67470">
            <w:pPr>
              <w:spacing w:before="0" w:after="0"/>
              <w:contextualSpacing/>
              <w:rPr>
                <w:color w:val="auto"/>
                <w:sz w:val="16"/>
                <w:szCs w:val="16"/>
              </w:rPr>
            </w:pPr>
            <w:r w:rsidRPr="00F35942">
              <w:rPr>
                <w:color w:val="auto"/>
                <w:sz w:val="16"/>
                <w:szCs w:val="16"/>
              </w:rPr>
              <w:t>Latin America and the Caribbean</w:t>
            </w:r>
          </w:p>
        </w:tc>
        <w:tc>
          <w:tcPr>
            <w:tcW w:w="2700" w:type="dxa"/>
            <w:vAlign w:val="center"/>
          </w:tcPr>
          <w:p w14:paraId="5BBDAB39" w14:textId="77777777" w:rsidR="00B0047D" w:rsidRPr="00F35942" w:rsidRDefault="00B0047D" w:rsidP="00A67470">
            <w:pPr>
              <w:spacing w:before="0" w:after="0"/>
              <w:contextualSpacing/>
              <w:rPr>
                <w:color w:val="900A0A"/>
                <w:sz w:val="16"/>
                <w:szCs w:val="16"/>
              </w:rPr>
            </w:pPr>
            <w:r w:rsidRPr="00F35942">
              <w:rPr>
                <w:color w:val="auto"/>
                <w:sz w:val="16"/>
                <w:szCs w:val="16"/>
              </w:rPr>
              <w:t>Examines transnational electricity trade in South America through a surplus-based framework, proposing regulatory policy through empirical analysis and simulation.</w:t>
            </w:r>
          </w:p>
        </w:tc>
        <w:tc>
          <w:tcPr>
            <w:tcW w:w="4703" w:type="dxa"/>
            <w:vAlign w:val="center"/>
          </w:tcPr>
          <w:p w14:paraId="165E9468" w14:textId="77777777" w:rsidR="00B0047D" w:rsidRPr="00F35942" w:rsidRDefault="00B0047D" w:rsidP="00A67470">
            <w:pPr>
              <w:spacing w:before="0" w:after="0"/>
              <w:contextualSpacing/>
              <w:rPr>
                <w:sz w:val="16"/>
                <w:szCs w:val="16"/>
              </w:rPr>
            </w:pPr>
            <w:r w:rsidRPr="00F35942">
              <w:rPr>
                <w:sz w:val="16"/>
                <w:szCs w:val="16"/>
              </w:rPr>
              <w:t>Enhanced trade can reduce marginal generation costs and overall operational costs.</w:t>
            </w:r>
          </w:p>
        </w:tc>
      </w:tr>
      <w:tr w:rsidR="00B0047D" w:rsidRPr="005C5AAA" w14:paraId="577473D4" w14:textId="77777777" w:rsidTr="00F35942">
        <w:trPr>
          <w:trHeight w:hRule="exact" w:val="1104"/>
        </w:trPr>
        <w:tc>
          <w:tcPr>
            <w:tcW w:w="715" w:type="dxa"/>
            <w:vAlign w:val="center"/>
          </w:tcPr>
          <w:p w14:paraId="76A2E1AE" w14:textId="0D99D4C6" w:rsidR="00B0047D" w:rsidRPr="00F35942" w:rsidRDefault="00F263CE" w:rsidP="00A67470">
            <w:pPr>
              <w:spacing w:before="0" w:after="0"/>
              <w:contextualSpacing/>
              <w:rPr>
                <w:color w:val="auto"/>
                <w:sz w:val="28"/>
                <w:szCs w:val="28"/>
                <w:lang w:val="pt-BR"/>
              </w:rPr>
            </w:pPr>
            <w:r w:rsidRPr="00F35942">
              <w:rPr>
                <w:sz w:val="28"/>
                <w:szCs w:val="28"/>
                <w:vertAlign w:val="superscript"/>
              </w:rPr>
              <w:lastRenderedPageBreak/>
              <w:t>24</w:t>
            </w:r>
          </w:p>
        </w:tc>
        <w:tc>
          <w:tcPr>
            <w:tcW w:w="1170" w:type="dxa"/>
            <w:vAlign w:val="center"/>
          </w:tcPr>
          <w:p w14:paraId="61B8BF8D" w14:textId="77777777" w:rsidR="00B0047D" w:rsidRPr="00F35942" w:rsidRDefault="00B0047D" w:rsidP="00A67470">
            <w:pPr>
              <w:spacing w:before="0" w:after="0"/>
              <w:contextualSpacing/>
              <w:rPr>
                <w:color w:val="auto"/>
                <w:sz w:val="16"/>
                <w:szCs w:val="16"/>
              </w:rPr>
            </w:pPr>
            <w:r w:rsidRPr="00F35942">
              <w:rPr>
                <w:color w:val="auto"/>
                <w:sz w:val="16"/>
                <w:szCs w:val="16"/>
              </w:rPr>
              <w:t>Latin America and the Caribbean</w:t>
            </w:r>
          </w:p>
        </w:tc>
        <w:tc>
          <w:tcPr>
            <w:tcW w:w="2700" w:type="dxa"/>
            <w:vAlign w:val="center"/>
          </w:tcPr>
          <w:p w14:paraId="0799816E" w14:textId="34F7C4B1" w:rsidR="00B0047D" w:rsidRPr="00F35942" w:rsidRDefault="00B0047D" w:rsidP="00A67470">
            <w:pPr>
              <w:spacing w:before="0" w:after="0"/>
              <w:contextualSpacing/>
              <w:rPr>
                <w:color w:val="900A0A"/>
                <w:sz w:val="16"/>
                <w:szCs w:val="16"/>
              </w:rPr>
            </w:pPr>
            <w:r w:rsidRPr="00F35942">
              <w:rPr>
                <w:color w:val="auto"/>
                <w:sz w:val="16"/>
                <w:szCs w:val="16"/>
              </w:rPr>
              <w:t xml:space="preserve">Examining alternative mitigation scenario for Latin America, in which transnational electricity trade is augmented through </w:t>
            </w:r>
            <w:r w:rsidR="00A45F0D" w:rsidRPr="00F35942">
              <w:rPr>
                <w:color w:val="auto"/>
                <w:sz w:val="16"/>
                <w:szCs w:val="16"/>
              </w:rPr>
              <w:t>high-capacity</w:t>
            </w:r>
            <w:r w:rsidRPr="00F35942">
              <w:rPr>
                <w:color w:val="auto"/>
                <w:sz w:val="16"/>
                <w:szCs w:val="16"/>
              </w:rPr>
              <w:t xml:space="preserve"> smart grids region-wide.</w:t>
            </w:r>
          </w:p>
        </w:tc>
        <w:tc>
          <w:tcPr>
            <w:tcW w:w="4703" w:type="dxa"/>
            <w:vAlign w:val="center"/>
          </w:tcPr>
          <w:p w14:paraId="27072072" w14:textId="1BF116E0" w:rsidR="00B0047D" w:rsidRPr="00F35942" w:rsidRDefault="00B0047D" w:rsidP="00A67470">
            <w:pPr>
              <w:spacing w:before="0" w:after="0"/>
              <w:contextualSpacing/>
              <w:rPr>
                <w:sz w:val="16"/>
                <w:szCs w:val="16"/>
              </w:rPr>
            </w:pPr>
            <w:r w:rsidRPr="00F35942">
              <w:rPr>
                <w:sz w:val="16"/>
                <w:szCs w:val="16"/>
              </w:rPr>
              <w:t>Latin America could increase its contribution to the global mitigation effort through a “Super Smar</w:t>
            </w:r>
            <w:r w:rsidR="00A45F0D" w:rsidRPr="00F35942">
              <w:rPr>
                <w:sz w:val="16"/>
                <w:szCs w:val="16"/>
              </w:rPr>
              <w:t>t</w:t>
            </w:r>
            <w:r w:rsidRPr="00F35942">
              <w:rPr>
                <w:sz w:val="16"/>
                <w:szCs w:val="16"/>
              </w:rPr>
              <w:t xml:space="preserve"> grid”, enabling broader integration of renewables.</w:t>
            </w:r>
          </w:p>
        </w:tc>
      </w:tr>
      <w:tr w:rsidR="00B0047D" w:rsidRPr="005C5AAA" w14:paraId="2BB43411" w14:textId="77777777" w:rsidTr="00F35942">
        <w:trPr>
          <w:trHeight w:val="692"/>
        </w:trPr>
        <w:tc>
          <w:tcPr>
            <w:tcW w:w="715" w:type="dxa"/>
            <w:vAlign w:val="center"/>
          </w:tcPr>
          <w:p w14:paraId="298C719F" w14:textId="1E47A2E8" w:rsidR="00B0047D" w:rsidRPr="00F35942" w:rsidRDefault="00F263CE" w:rsidP="00A67470">
            <w:pPr>
              <w:spacing w:before="0" w:after="0"/>
              <w:contextualSpacing/>
              <w:rPr>
                <w:color w:val="auto"/>
                <w:sz w:val="28"/>
                <w:szCs w:val="28"/>
              </w:rPr>
            </w:pPr>
            <w:r w:rsidRPr="00F35942">
              <w:rPr>
                <w:sz w:val="28"/>
                <w:szCs w:val="28"/>
                <w:vertAlign w:val="superscript"/>
              </w:rPr>
              <w:t>25</w:t>
            </w:r>
          </w:p>
        </w:tc>
        <w:tc>
          <w:tcPr>
            <w:tcW w:w="1170" w:type="dxa"/>
            <w:vAlign w:val="center"/>
          </w:tcPr>
          <w:p w14:paraId="0BEF9FEE" w14:textId="77777777" w:rsidR="00B0047D" w:rsidRPr="00F35942" w:rsidRDefault="00B0047D" w:rsidP="00A67470">
            <w:pPr>
              <w:spacing w:before="0" w:after="0"/>
              <w:contextualSpacing/>
              <w:rPr>
                <w:color w:val="auto"/>
                <w:sz w:val="16"/>
                <w:szCs w:val="16"/>
              </w:rPr>
            </w:pPr>
            <w:r w:rsidRPr="00F35942">
              <w:rPr>
                <w:color w:val="auto"/>
                <w:sz w:val="16"/>
                <w:szCs w:val="16"/>
              </w:rPr>
              <w:t>Latin America and the Caribbean</w:t>
            </w:r>
          </w:p>
        </w:tc>
        <w:tc>
          <w:tcPr>
            <w:tcW w:w="2700" w:type="dxa"/>
            <w:vAlign w:val="center"/>
          </w:tcPr>
          <w:p w14:paraId="02D725A9" w14:textId="6C322F7A" w:rsidR="00B0047D" w:rsidRPr="00F35942" w:rsidRDefault="00B0047D" w:rsidP="00A67470">
            <w:pPr>
              <w:spacing w:before="0" w:after="0"/>
              <w:contextualSpacing/>
              <w:rPr>
                <w:color w:val="auto"/>
                <w:sz w:val="16"/>
                <w:szCs w:val="16"/>
              </w:rPr>
            </w:pPr>
            <w:r w:rsidRPr="00F35942">
              <w:rPr>
                <w:color w:val="auto"/>
                <w:sz w:val="16"/>
                <w:szCs w:val="16"/>
              </w:rPr>
              <w:t xml:space="preserve">Hourly power system model with 100% renewables in 2030 in </w:t>
            </w:r>
            <w:r w:rsidR="005B26E3" w:rsidRPr="00F35942">
              <w:rPr>
                <w:color w:val="auto"/>
                <w:sz w:val="16"/>
                <w:szCs w:val="16"/>
              </w:rPr>
              <w:t xml:space="preserve">South and Central </w:t>
            </w:r>
            <w:r w:rsidRPr="00F35942">
              <w:rPr>
                <w:color w:val="auto"/>
                <w:sz w:val="16"/>
                <w:szCs w:val="16"/>
              </w:rPr>
              <w:t>America.</w:t>
            </w:r>
          </w:p>
        </w:tc>
        <w:tc>
          <w:tcPr>
            <w:tcW w:w="4703" w:type="dxa"/>
            <w:vAlign w:val="center"/>
          </w:tcPr>
          <w:p w14:paraId="12CC80B7" w14:textId="77777777" w:rsidR="00B0047D" w:rsidRPr="00F35942" w:rsidRDefault="00B0047D" w:rsidP="00A67470">
            <w:pPr>
              <w:spacing w:before="0" w:after="0"/>
              <w:contextualSpacing/>
              <w:rPr>
                <w:sz w:val="16"/>
                <w:szCs w:val="16"/>
              </w:rPr>
            </w:pPr>
            <w:r w:rsidRPr="00F35942">
              <w:rPr>
                <w:sz w:val="16"/>
                <w:szCs w:val="16"/>
              </w:rPr>
              <w:t>Runs four scenarios varying the level of development.</w:t>
            </w:r>
          </w:p>
          <w:p w14:paraId="4A72A86D" w14:textId="77777777" w:rsidR="00B0047D" w:rsidRPr="00F35942" w:rsidRDefault="00B0047D" w:rsidP="00A67470">
            <w:pPr>
              <w:spacing w:before="0" w:after="0"/>
              <w:contextualSpacing/>
              <w:rPr>
                <w:sz w:val="16"/>
                <w:szCs w:val="16"/>
              </w:rPr>
            </w:pPr>
            <w:r w:rsidRPr="00F35942">
              <w:rPr>
                <w:sz w:val="16"/>
                <w:szCs w:val="16"/>
              </w:rPr>
              <w:t>Shows cost reductions associated with higher grid coordination.</w:t>
            </w:r>
          </w:p>
        </w:tc>
      </w:tr>
      <w:tr w:rsidR="00B0047D" w:rsidRPr="005C5AAA" w14:paraId="100FC4E8" w14:textId="77777777" w:rsidTr="00F35942">
        <w:trPr>
          <w:trHeight w:val="1209"/>
        </w:trPr>
        <w:tc>
          <w:tcPr>
            <w:tcW w:w="715" w:type="dxa"/>
            <w:vAlign w:val="center"/>
          </w:tcPr>
          <w:p w14:paraId="3B3E3B2E" w14:textId="1DCD0AF7" w:rsidR="00B0047D" w:rsidRPr="00F35942" w:rsidRDefault="00F263CE" w:rsidP="00A67470">
            <w:pPr>
              <w:spacing w:before="0" w:after="0"/>
              <w:contextualSpacing/>
              <w:rPr>
                <w:color w:val="auto"/>
                <w:sz w:val="28"/>
                <w:szCs w:val="28"/>
              </w:rPr>
            </w:pPr>
            <w:r w:rsidRPr="00F35942">
              <w:rPr>
                <w:sz w:val="28"/>
                <w:szCs w:val="28"/>
                <w:vertAlign w:val="superscript"/>
              </w:rPr>
              <w:t>26</w:t>
            </w:r>
          </w:p>
        </w:tc>
        <w:tc>
          <w:tcPr>
            <w:tcW w:w="1170" w:type="dxa"/>
            <w:vAlign w:val="center"/>
          </w:tcPr>
          <w:p w14:paraId="5D7126BB" w14:textId="77777777" w:rsidR="00B0047D" w:rsidRPr="00F35942" w:rsidRDefault="00B0047D" w:rsidP="00A67470">
            <w:pPr>
              <w:spacing w:before="0" w:after="0"/>
              <w:contextualSpacing/>
              <w:rPr>
                <w:color w:val="auto"/>
                <w:sz w:val="16"/>
                <w:szCs w:val="16"/>
              </w:rPr>
            </w:pPr>
            <w:r w:rsidRPr="00F35942">
              <w:rPr>
                <w:color w:val="auto"/>
                <w:sz w:val="16"/>
                <w:szCs w:val="16"/>
              </w:rPr>
              <w:t>Latin America and the Caribbean</w:t>
            </w:r>
          </w:p>
        </w:tc>
        <w:tc>
          <w:tcPr>
            <w:tcW w:w="2700" w:type="dxa"/>
            <w:vAlign w:val="center"/>
          </w:tcPr>
          <w:p w14:paraId="58E7B7A9" w14:textId="77777777" w:rsidR="00B0047D" w:rsidRPr="00F35942" w:rsidRDefault="00B0047D" w:rsidP="00A67470">
            <w:pPr>
              <w:spacing w:before="0" w:after="0"/>
              <w:contextualSpacing/>
              <w:rPr>
                <w:color w:val="900A0A"/>
                <w:sz w:val="16"/>
                <w:szCs w:val="16"/>
              </w:rPr>
            </w:pPr>
            <w:r w:rsidRPr="00F35942">
              <w:rPr>
                <w:color w:val="auto"/>
                <w:sz w:val="16"/>
                <w:szCs w:val="16"/>
              </w:rPr>
              <w:t>Focus on detailed transmission topology. Proposes a grid configuration for an integrated Latin American “SuperGrid” by optimizing transmission investments under various weather scenarios.</w:t>
            </w:r>
          </w:p>
        </w:tc>
        <w:tc>
          <w:tcPr>
            <w:tcW w:w="4703" w:type="dxa"/>
            <w:vAlign w:val="center"/>
          </w:tcPr>
          <w:p w14:paraId="4C7DC588" w14:textId="77777777" w:rsidR="00B0047D" w:rsidRPr="00F35942" w:rsidRDefault="00B0047D" w:rsidP="00A67470">
            <w:pPr>
              <w:spacing w:before="0" w:after="0"/>
              <w:contextualSpacing/>
              <w:rPr>
                <w:sz w:val="16"/>
                <w:szCs w:val="16"/>
              </w:rPr>
            </w:pPr>
            <w:r w:rsidRPr="00F35942">
              <w:rPr>
                <w:sz w:val="16"/>
                <w:szCs w:val="16"/>
              </w:rPr>
              <w:t>Posits the “SuperGrid” as a means to guarantee energy security in the region, and more efficiently utilize natural renewable resources.</w:t>
            </w:r>
          </w:p>
        </w:tc>
      </w:tr>
      <w:tr w:rsidR="00B0047D" w:rsidRPr="005C5AAA" w14:paraId="70A6C97D" w14:textId="77777777" w:rsidTr="00F35942">
        <w:trPr>
          <w:trHeight w:val="795"/>
        </w:trPr>
        <w:tc>
          <w:tcPr>
            <w:tcW w:w="715" w:type="dxa"/>
            <w:vAlign w:val="center"/>
          </w:tcPr>
          <w:p w14:paraId="4801AB3B" w14:textId="3C3F88E3" w:rsidR="00B0047D" w:rsidRPr="00F35942" w:rsidRDefault="00F263CE" w:rsidP="00A67470">
            <w:pPr>
              <w:spacing w:before="0" w:after="0"/>
              <w:contextualSpacing/>
              <w:rPr>
                <w:color w:val="auto"/>
                <w:sz w:val="28"/>
                <w:szCs w:val="28"/>
              </w:rPr>
            </w:pPr>
            <w:r w:rsidRPr="00F35942">
              <w:rPr>
                <w:sz w:val="28"/>
                <w:szCs w:val="28"/>
                <w:vertAlign w:val="superscript"/>
              </w:rPr>
              <w:t>27</w:t>
            </w:r>
          </w:p>
        </w:tc>
        <w:tc>
          <w:tcPr>
            <w:tcW w:w="1170" w:type="dxa"/>
            <w:vAlign w:val="center"/>
          </w:tcPr>
          <w:p w14:paraId="0312E40F" w14:textId="77777777" w:rsidR="00B0047D" w:rsidRPr="00F35942" w:rsidRDefault="00B0047D" w:rsidP="00A67470">
            <w:pPr>
              <w:spacing w:before="0" w:after="0"/>
              <w:contextualSpacing/>
              <w:rPr>
                <w:color w:val="auto"/>
                <w:sz w:val="16"/>
                <w:szCs w:val="16"/>
              </w:rPr>
            </w:pPr>
            <w:r w:rsidRPr="00F35942">
              <w:rPr>
                <w:color w:val="auto"/>
                <w:sz w:val="16"/>
                <w:szCs w:val="16"/>
              </w:rPr>
              <w:t>Latin America and the Caribbean (and Europe)</w:t>
            </w:r>
          </w:p>
        </w:tc>
        <w:tc>
          <w:tcPr>
            <w:tcW w:w="2700" w:type="dxa"/>
            <w:vAlign w:val="center"/>
          </w:tcPr>
          <w:p w14:paraId="06C3BCF7" w14:textId="77777777" w:rsidR="00B0047D" w:rsidRPr="00F35942" w:rsidRDefault="00B0047D" w:rsidP="00A67470">
            <w:pPr>
              <w:spacing w:before="0" w:after="0"/>
              <w:contextualSpacing/>
              <w:rPr>
                <w:color w:val="auto"/>
                <w:sz w:val="16"/>
                <w:szCs w:val="16"/>
              </w:rPr>
            </w:pPr>
            <w:r w:rsidRPr="00F35942">
              <w:rPr>
                <w:color w:val="auto"/>
                <w:sz w:val="16"/>
                <w:szCs w:val="16"/>
              </w:rPr>
              <w:t>Focus on detailed transmission topology. Considers Super Grids in Latin America and in Europe for a comparative review.</w:t>
            </w:r>
          </w:p>
        </w:tc>
        <w:tc>
          <w:tcPr>
            <w:tcW w:w="4703" w:type="dxa"/>
            <w:vAlign w:val="center"/>
          </w:tcPr>
          <w:p w14:paraId="1E34F4F9" w14:textId="77777777" w:rsidR="00B0047D" w:rsidRPr="00F35942" w:rsidRDefault="00B0047D" w:rsidP="00A67470">
            <w:pPr>
              <w:spacing w:before="0" w:after="0"/>
              <w:contextualSpacing/>
              <w:rPr>
                <w:sz w:val="16"/>
                <w:szCs w:val="16"/>
              </w:rPr>
            </w:pPr>
            <w:r w:rsidRPr="00F35942">
              <w:rPr>
                <w:sz w:val="16"/>
                <w:szCs w:val="16"/>
              </w:rPr>
              <w:t>Lists increased reliability and resilience to extreme weather events as a reason for larger grid integration.</w:t>
            </w:r>
          </w:p>
        </w:tc>
      </w:tr>
      <w:tr w:rsidR="00B0047D" w:rsidRPr="005C5AAA" w14:paraId="0E19D238" w14:textId="77777777" w:rsidTr="00F35942">
        <w:trPr>
          <w:trHeight w:val="786"/>
        </w:trPr>
        <w:tc>
          <w:tcPr>
            <w:tcW w:w="715" w:type="dxa"/>
            <w:vAlign w:val="center"/>
          </w:tcPr>
          <w:p w14:paraId="498CB795" w14:textId="71A31504" w:rsidR="00B0047D" w:rsidRPr="00F35942" w:rsidRDefault="00F263CE" w:rsidP="00A67470">
            <w:pPr>
              <w:spacing w:before="0" w:after="0"/>
              <w:contextualSpacing/>
              <w:rPr>
                <w:color w:val="auto"/>
                <w:sz w:val="28"/>
                <w:szCs w:val="28"/>
              </w:rPr>
            </w:pPr>
            <w:r w:rsidRPr="00F35942">
              <w:rPr>
                <w:sz w:val="28"/>
                <w:szCs w:val="28"/>
                <w:vertAlign w:val="superscript"/>
              </w:rPr>
              <w:t>2</w:t>
            </w:r>
          </w:p>
        </w:tc>
        <w:tc>
          <w:tcPr>
            <w:tcW w:w="1170" w:type="dxa"/>
            <w:vAlign w:val="center"/>
          </w:tcPr>
          <w:p w14:paraId="366BB867" w14:textId="77777777" w:rsidR="00B0047D" w:rsidRPr="00F35942" w:rsidRDefault="00B0047D" w:rsidP="00A67470">
            <w:pPr>
              <w:spacing w:before="0" w:after="0"/>
              <w:contextualSpacing/>
              <w:rPr>
                <w:color w:val="auto"/>
                <w:sz w:val="16"/>
                <w:szCs w:val="16"/>
              </w:rPr>
            </w:pPr>
            <w:r w:rsidRPr="00F35942">
              <w:rPr>
                <w:color w:val="auto"/>
                <w:sz w:val="16"/>
                <w:szCs w:val="16"/>
              </w:rPr>
              <w:t>Africa</w:t>
            </w:r>
          </w:p>
        </w:tc>
        <w:tc>
          <w:tcPr>
            <w:tcW w:w="2700" w:type="dxa"/>
            <w:vAlign w:val="center"/>
          </w:tcPr>
          <w:p w14:paraId="5D8E291F" w14:textId="77777777" w:rsidR="00B0047D" w:rsidRPr="00F35942" w:rsidRDefault="00B0047D" w:rsidP="00A67470">
            <w:pPr>
              <w:spacing w:before="0" w:after="0"/>
              <w:contextualSpacing/>
              <w:rPr>
                <w:color w:val="auto"/>
                <w:sz w:val="16"/>
                <w:szCs w:val="16"/>
              </w:rPr>
            </w:pPr>
            <w:r w:rsidRPr="00F35942">
              <w:rPr>
                <w:color w:val="auto"/>
                <w:sz w:val="16"/>
                <w:szCs w:val="16"/>
              </w:rPr>
              <w:t>Review of African power pools and the integration of electricity grids. Explores the drivers responsible for shaping the power pools over time.</w:t>
            </w:r>
          </w:p>
        </w:tc>
        <w:tc>
          <w:tcPr>
            <w:tcW w:w="4703" w:type="dxa"/>
            <w:vAlign w:val="center"/>
          </w:tcPr>
          <w:p w14:paraId="31CC8512" w14:textId="77777777" w:rsidR="00B0047D" w:rsidRPr="00F35942" w:rsidRDefault="00B0047D" w:rsidP="00A67470">
            <w:pPr>
              <w:spacing w:before="0" w:after="0"/>
              <w:contextualSpacing/>
              <w:rPr>
                <w:color w:val="auto"/>
                <w:sz w:val="16"/>
                <w:szCs w:val="16"/>
              </w:rPr>
            </w:pPr>
            <w:r w:rsidRPr="00F35942">
              <w:rPr>
                <w:color w:val="auto"/>
                <w:sz w:val="16"/>
                <w:szCs w:val="16"/>
              </w:rPr>
              <w:t>Reports that unevenly distributed natural energy resources across countries drove development of transnational interconnections.</w:t>
            </w:r>
          </w:p>
        </w:tc>
      </w:tr>
      <w:tr w:rsidR="00B0047D" w:rsidRPr="005C5AAA" w14:paraId="5F4A32BF" w14:textId="77777777" w:rsidTr="00F35942">
        <w:trPr>
          <w:trHeight w:val="1407"/>
        </w:trPr>
        <w:tc>
          <w:tcPr>
            <w:tcW w:w="715" w:type="dxa"/>
            <w:vAlign w:val="center"/>
          </w:tcPr>
          <w:p w14:paraId="0FA2572F" w14:textId="7146D5C6" w:rsidR="00B0047D" w:rsidRPr="00F35942" w:rsidRDefault="00F263CE" w:rsidP="00A67470">
            <w:pPr>
              <w:spacing w:before="0" w:after="0"/>
              <w:contextualSpacing/>
              <w:rPr>
                <w:color w:val="auto"/>
                <w:sz w:val="28"/>
                <w:szCs w:val="28"/>
              </w:rPr>
            </w:pPr>
            <w:r w:rsidRPr="00F35942">
              <w:rPr>
                <w:sz w:val="28"/>
                <w:szCs w:val="28"/>
                <w:vertAlign w:val="superscript"/>
              </w:rPr>
              <w:t>13</w:t>
            </w:r>
          </w:p>
        </w:tc>
        <w:tc>
          <w:tcPr>
            <w:tcW w:w="1170" w:type="dxa"/>
            <w:vAlign w:val="center"/>
          </w:tcPr>
          <w:p w14:paraId="61F75953" w14:textId="77777777" w:rsidR="00B0047D" w:rsidRPr="00F35942" w:rsidRDefault="00B0047D" w:rsidP="00A67470">
            <w:pPr>
              <w:spacing w:before="0" w:after="0"/>
              <w:contextualSpacing/>
              <w:rPr>
                <w:color w:val="auto"/>
                <w:sz w:val="16"/>
                <w:szCs w:val="16"/>
              </w:rPr>
            </w:pPr>
            <w:r w:rsidRPr="00F35942">
              <w:rPr>
                <w:color w:val="auto"/>
                <w:sz w:val="16"/>
                <w:szCs w:val="16"/>
              </w:rPr>
              <w:t>Africa (EAPP and SAPP)</w:t>
            </w:r>
          </w:p>
        </w:tc>
        <w:tc>
          <w:tcPr>
            <w:tcW w:w="2700" w:type="dxa"/>
            <w:vAlign w:val="center"/>
          </w:tcPr>
          <w:p w14:paraId="692AA848" w14:textId="77777777" w:rsidR="00B0047D" w:rsidRPr="00F35942" w:rsidRDefault="00B0047D" w:rsidP="00A67470">
            <w:pPr>
              <w:spacing w:before="0" w:after="0"/>
              <w:contextualSpacing/>
              <w:rPr>
                <w:color w:val="auto"/>
                <w:sz w:val="16"/>
                <w:szCs w:val="16"/>
              </w:rPr>
            </w:pPr>
            <w:r w:rsidRPr="00F35942">
              <w:rPr>
                <w:color w:val="auto"/>
                <w:sz w:val="16"/>
                <w:szCs w:val="16"/>
              </w:rPr>
              <w:t>Wind and solar siting analysis for two African power pools, in order to propose specific regional interconnection opportunities of low regret, to make renewables competitive with conventional dispatchable generation.</w:t>
            </w:r>
          </w:p>
        </w:tc>
        <w:tc>
          <w:tcPr>
            <w:tcW w:w="4703" w:type="dxa"/>
            <w:vAlign w:val="center"/>
          </w:tcPr>
          <w:p w14:paraId="2486B7E9" w14:textId="77777777" w:rsidR="00B0047D" w:rsidRPr="00F35942" w:rsidRDefault="00B0047D" w:rsidP="00A67470">
            <w:pPr>
              <w:spacing w:before="0" w:after="0"/>
              <w:contextualSpacing/>
              <w:rPr>
                <w:color w:val="auto"/>
                <w:sz w:val="16"/>
                <w:szCs w:val="16"/>
              </w:rPr>
            </w:pPr>
            <w:r w:rsidRPr="00F35942">
              <w:rPr>
                <w:color w:val="auto"/>
                <w:sz w:val="16"/>
                <w:szCs w:val="16"/>
              </w:rPr>
              <w:t xml:space="preserve">Wind and solar resources are spatially heterogeneous, enabling transnational interconnections to add value </w:t>
            </w:r>
            <w:proofErr w:type="gramStart"/>
            <w:r w:rsidRPr="00F35942">
              <w:rPr>
                <w:color w:val="auto"/>
                <w:sz w:val="16"/>
                <w:szCs w:val="16"/>
              </w:rPr>
              <w:t>transporting</w:t>
            </w:r>
            <w:proofErr w:type="gramEnd"/>
            <w:r w:rsidRPr="00F35942">
              <w:rPr>
                <w:color w:val="auto"/>
                <w:sz w:val="16"/>
                <w:szCs w:val="16"/>
              </w:rPr>
              <w:t xml:space="preserve"> these resources. International trade reduces total system costs and reliance on conventional generators. Scenarios vary the objective function and the level of coordination (in terms of interconnections).</w:t>
            </w:r>
          </w:p>
        </w:tc>
      </w:tr>
      <w:tr w:rsidR="00B0047D" w:rsidRPr="005C5AAA" w14:paraId="2A175CB5" w14:textId="77777777" w:rsidTr="00F35942">
        <w:trPr>
          <w:trHeight w:val="800"/>
        </w:trPr>
        <w:tc>
          <w:tcPr>
            <w:tcW w:w="715" w:type="dxa"/>
            <w:vAlign w:val="center"/>
          </w:tcPr>
          <w:p w14:paraId="3C899FB4" w14:textId="4ADAC37E" w:rsidR="00B0047D" w:rsidRPr="00F35942" w:rsidRDefault="00F263CE" w:rsidP="00A67470">
            <w:pPr>
              <w:spacing w:before="0" w:after="0"/>
              <w:contextualSpacing/>
              <w:rPr>
                <w:color w:val="auto"/>
                <w:sz w:val="28"/>
                <w:szCs w:val="28"/>
              </w:rPr>
            </w:pPr>
            <w:r w:rsidRPr="00F35942">
              <w:rPr>
                <w:sz w:val="28"/>
                <w:szCs w:val="28"/>
                <w:vertAlign w:val="superscript"/>
              </w:rPr>
              <w:t>28</w:t>
            </w:r>
          </w:p>
        </w:tc>
        <w:tc>
          <w:tcPr>
            <w:tcW w:w="1170" w:type="dxa"/>
            <w:vAlign w:val="center"/>
          </w:tcPr>
          <w:p w14:paraId="06C09FD3" w14:textId="77777777" w:rsidR="00B0047D" w:rsidRPr="00F35942" w:rsidRDefault="00B0047D" w:rsidP="00A67470">
            <w:pPr>
              <w:spacing w:before="0" w:after="0"/>
              <w:contextualSpacing/>
              <w:rPr>
                <w:color w:val="auto"/>
                <w:sz w:val="16"/>
                <w:szCs w:val="16"/>
              </w:rPr>
            </w:pPr>
            <w:r w:rsidRPr="00F35942">
              <w:rPr>
                <w:color w:val="auto"/>
                <w:sz w:val="16"/>
                <w:szCs w:val="16"/>
              </w:rPr>
              <w:t>Africa (West Africa)</w:t>
            </w:r>
          </w:p>
        </w:tc>
        <w:tc>
          <w:tcPr>
            <w:tcW w:w="2700" w:type="dxa"/>
            <w:vAlign w:val="center"/>
          </w:tcPr>
          <w:p w14:paraId="26C0168E" w14:textId="7B6FF39C" w:rsidR="00B0047D" w:rsidRPr="00F35942" w:rsidRDefault="00B0047D" w:rsidP="00A67470">
            <w:pPr>
              <w:spacing w:before="0" w:after="0"/>
              <w:contextualSpacing/>
              <w:rPr>
                <w:color w:val="auto"/>
                <w:sz w:val="16"/>
                <w:szCs w:val="16"/>
              </w:rPr>
            </w:pPr>
            <w:r w:rsidRPr="00F35942">
              <w:rPr>
                <w:color w:val="auto"/>
                <w:sz w:val="16"/>
                <w:szCs w:val="16"/>
              </w:rPr>
              <w:t xml:space="preserve">Analyzes </w:t>
            </w:r>
            <w:r w:rsidR="00F44A43" w:rsidRPr="00F35942">
              <w:rPr>
                <w:color w:val="auto"/>
                <w:sz w:val="16"/>
                <w:szCs w:val="16"/>
              </w:rPr>
              <w:t>the complementarity</w:t>
            </w:r>
            <w:r w:rsidRPr="00F35942">
              <w:rPr>
                <w:color w:val="auto"/>
                <w:sz w:val="16"/>
                <w:szCs w:val="16"/>
              </w:rPr>
              <w:t xml:space="preserve"> of wind, solar, and hydro in West Africa.</w:t>
            </w:r>
          </w:p>
        </w:tc>
        <w:tc>
          <w:tcPr>
            <w:tcW w:w="4703" w:type="dxa"/>
            <w:vAlign w:val="center"/>
          </w:tcPr>
          <w:p w14:paraId="322E0234" w14:textId="77777777" w:rsidR="00B0047D" w:rsidRPr="00F35942" w:rsidRDefault="00B0047D" w:rsidP="00A67470">
            <w:pPr>
              <w:spacing w:before="0" w:after="0"/>
              <w:contextualSpacing/>
              <w:rPr>
                <w:color w:val="auto"/>
                <w:sz w:val="16"/>
                <w:szCs w:val="16"/>
              </w:rPr>
            </w:pPr>
            <w:r w:rsidRPr="00F35942">
              <w:rPr>
                <w:color w:val="auto"/>
                <w:sz w:val="16"/>
                <w:szCs w:val="16"/>
              </w:rPr>
              <w:t>Enhanced management of hydropower generation can enable significant wind and solar integration, while reducing natural gas consumption and the overexploitation of hydro. Regional transmission planning should incorporate spatiotemporal synergies of renewables to maximize their utility.</w:t>
            </w:r>
          </w:p>
        </w:tc>
      </w:tr>
      <w:tr w:rsidR="00B0047D" w:rsidRPr="005C5AAA" w14:paraId="39E0EDA7" w14:textId="77777777" w:rsidTr="00F35942">
        <w:trPr>
          <w:trHeight w:val="849"/>
        </w:trPr>
        <w:tc>
          <w:tcPr>
            <w:tcW w:w="715" w:type="dxa"/>
            <w:vAlign w:val="center"/>
          </w:tcPr>
          <w:p w14:paraId="5D4C6119" w14:textId="337F6174" w:rsidR="00B0047D" w:rsidRPr="00F35942" w:rsidRDefault="00F263CE" w:rsidP="00A67470">
            <w:pPr>
              <w:spacing w:before="0" w:after="0"/>
              <w:contextualSpacing/>
              <w:rPr>
                <w:color w:val="auto"/>
                <w:sz w:val="28"/>
                <w:szCs w:val="28"/>
              </w:rPr>
            </w:pPr>
            <w:r w:rsidRPr="00F35942">
              <w:rPr>
                <w:sz w:val="28"/>
                <w:szCs w:val="28"/>
                <w:vertAlign w:val="superscript"/>
              </w:rPr>
              <w:t>29</w:t>
            </w:r>
          </w:p>
        </w:tc>
        <w:tc>
          <w:tcPr>
            <w:tcW w:w="1170" w:type="dxa"/>
            <w:vAlign w:val="center"/>
          </w:tcPr>
          <w:p w14:paraId="5635D1A6" w14:textId="77777777" w:rsidR="00B0047D" w:rsidRPr="00F35942" w:rsidRDefault="00B0047D" w:rsidP="00A67470">
            <w:pPr>
              <w:spacing w:before="0" w:after="0"/>
              <w:contextualSpacing/>
              <w:rPr>
                <w:color w:val="auto"/>
                <w:sz w:val="16"/>
                <w:szCs w:val="16"/>
              </w:rPr>
            </w:pPr>
            <w:r w:rsidRPr="00F35942">
              <w:rPr>
                <w:color w:val="auto"/>
                <w:sz w:val="16"/>
                <w:szCs w:val="16"/>
              </w:rPr>
              <w:t>Africa (SAPP)</w:t>
            </w:r>
          </w:p>
        </w:tc>
        <w:tc>
          <w:tcPr>
            <w:tcW w:w="2700" w:type="dxa"/>
            <w:vAlign w:val="center"/>
          </w:tcPr>
          <w:p w14:paraId="69B8B7C7" w14:textId="77777777" w:rsidR="00B0047D" w:rsidRPr="00F35942" w:rsidRDefault="00B0047D" w:rsidP="00A67470">
            <w:pPr>
              <w:spacing w:before="0" w:after="0"/>
              <w:contextualSpacing/>
              <w:rPr>
                <w:color w:val="auto"/>
                <w:sz w:val="16"/>
                <w:szCs w:val="16"/>
              </w:rPr>
            </w:pPr>
            <w:r w:rsidRPr="00F35942">
              <w:rPr>
                <w:color w:val="auto"/>
                <w:sz w:val="16"/>
                <w:szCs w:val="16"/>
              </w:rPr>
              <w:t>Analyzing decarbonization pathways for Southern African Power Pool (SAPP) through power system modeling and scenario analysis.</w:t>
            </w:r>
          </w:p>
        </w:tc>
        <w:tc>
          <w:tcPr>
            <w:tcW w:w="4703" w:type="dxa"/>
            <w:vAlign w:val="center"/>
          </w:tcPr>
          <w:p w14:paraId="6E6F2B67" w14:textId="77777777" w:rsidR="00B0047D" w:rsidRPr="00F35942" w:rsidRDefault="00B0047D" w:rsidP="00A67470">
            <w:pPr>
              <w:spacing w:before="0" w:after="0"/>
              <w:contextualSpacing/>
              <w:rPr>
                <w:color w:val="auto"/>
                <w:sz w:val="16"/>
                <w:szCs w:val="16"/>
              </w:rPr>
            </w:pPr>
            <w:r w:rsidRPr="00F35942">
              <w:rPr>
                <w:color w:val="auto"/>
                <w:sz w:val="16"/>
                <w:szCs w:val="16"/>
              </w:rPr>
              <w:t>Seven scenarios, including one which varies the level of coordination by limiting transmission expansion. Limited transmission expansion is the only scenario which must install new coal capacity to meet demand.</w:t>
            </w:r>
          </w:p>
        </w:tc>
      </w:tr>
      <w:tr w:rsidR="00B0047D" w:rsidRPr="005C5AAA" w14:paraId="1F631ABE" w14:textId="77777777" w:rsidTr="00F35942">
        <w:trPr>
          <w:trHeight w:hRule="exact" w:val="906"/>
        </w:trPr>
        <w:tc>
          <w:tcPr>
            <w:tcW w:w="715" w:type="dxa"/>
            <w:vAlign w:val="center"/>
          </w:tcPr>
          <w:p w14:paraId="0509F46A" w14:textId="2321EE8D" w:rsidR="00B0047D" w:rsidRPr="00F35942" w:rsidRDefault="00F263CE" w:rsidP="00A67470">
            <w:pPr>
              <w:spacing w:before="0" w:after="0"/>
              <w:contextualSpacing/>
              <w:rPr>
                <w:color w:val="auto"/>
                <w:sz w:val="28"/>
                <w:szCs w:val="28"/>
              </w:rPr>
            </w:pPr>
            <w:r w:rsidRPr="00F35942">
              <w:rPr>
                <w:sz w:val="28"/>
                <w:szCs w:val="28"/>
                <w:vertAlign w:val="superscript"/>
              </w:rPr>
              <w:t>15</w:t>
            </w:r>
          </w:p>
        </w:tc>
        <w:tc>
          <w:tcPr>
            <w:tcW w:w="1170" w:type="dxa"/>
            <w:vAlign w:val="center"/>
          </w:tcPr>
          <w:p w14:paraId="69F24AB1" w14:textId="77777777" w:rsidR="00B0047D" w:rsidRPr="00F35942" w:rsidRDefault="00B0047D" w:rsidP="00A67470">
            <w:pPr>
              <w:spacing w:before="0" w:after="0"/>
              <w:contextualSpacing/>
              <w:rPr>
                <w:color w:val="auto"/>
                <w:sz w:val="16"/>
                <w:szCs w:val="16"/>
              </w:rPr>
            </w:pPr>
            <w:r w:rsidRPr="00F35942">
              <w:rPr>
                <w:color w:val="auto"/>
                <w:sz w:val="16"/>
                <w:szCs w:val="16"/>
              </w:rPr>
              <w:t>Africa (SAPP)</w:t>
            </w:r>
          </w:p>
        </w:tc>
        <w:tc>
          <w:tcPr>
            <w:tcW w:w="2700" w:type="dxa"/>
            <w:vAlign w:val="center"/>
          </w:tcPr>
          <w:p w14:paraId="0F284D62" w14:textId="77777777" w:rsidR="00B0047D" w:rsidRPr="00F35942" w:rsidRDefault="00B0047D" w:rsidP="00A67470">
            <w:pPr>
              <w:spacing w:before="0" w:after="0"/>
              <w:contextualSpacing/>
              <w:rPr>
                <w:color w:val="auto"/>
                <w:sz w:val="16"/>
                <w:szCs w:val="16"/>
              </w:rPr>
            </w:pPr>
            <w:r w:rsidRPr="00F35942">
              <w:rPr>
                <w:color w:val="auto"/>
                <w:sz w:val="16"/>
                <w:szCs w:val="16"/>
              </w:rPr>
              <w:t>Unit commitment / economic dispatch model of Southern African Power Pool, to quantify the value of full centralized coordination in electricity dispatch.</w:t>
            </w:r>
          </w:p>
        </w:tc>
        <w:tc>
          <w:tcPr>
            <w:tcW w:w="4703" w:type="dxa"/>
            <w:vAlign w:val="center"/>
          </w:tcPr>
          <w:p w14:paraId="182D5D5B" w14:textId="02FF3381" w:rsidR="00B0047D" w:rsidRPr="00F35942" w:rsidRDefault="00B0047D" w:rsidP="00A67470">
            <w:pPr>
              <w:spacing w:before="0" w:after="0"/>
              <w:contextualSpacing/>
              <w:rPr>
                <w:color w:val="auto"/>
                <w:sz w:val="16"/>
                <w:szCs w:val="16"/>
              </w:rPr>
            </w:pPr>
            <w:r w:rsidRPr="00F35942">
              <w:rPr>
                <w:color w:val="auto"/>
                <w:sz w:val="16"/>
                <w:szCs w:val="16"/>
              </w:rPr>
              <w:t xml:space="preserve">Annual benefits of full coordination </w:t>
            </w:r>
            <w:r w:rsidR="00F44A43" w:rsidRPr="00F35942">
              <w:rPr>
                <w:color w:val="auto"/>
                <w:sz w:val="16"/>
                <w:szCs w:val="16"/>
              </w:rPr>
              <w:t>are calculated</w:t>
            </w:r>
            <w:r w:rsidRPr="00F35942">
              <w:rPr>
                <w:color w:val="auto"/>
                <w:sz w:val="16"/>
                <w:szCs w:val="16"/>
              </w:rPr>
              <w:t xml:space="preserve"> to be $100 million, due in part to increased hydropower generation in certain countries and reducing fuel costs in others.</w:t>
            </w:r>
          </w:p>
        </w:tc>
      </w:tr>
      <w:tr w:rsidR="00B0047D" w:rsidRPr="005C5AAA" w14:paraId="55D608E6" w14:textId="77777777" w:rsidTr="00F35942">
        <w:trPr>
          <w:trHeight w:hRule="exact" w:val="1086"/>
        </w:trPr>
        <w:tc>
          <w:tcPr>
            <w:tcW w:w="715" w:type="dxa"/>
            <w:vAlign w:val="center"/>
          </w:tcPr>
          <w:p w14:paraId="3805A4B8" w14:textId="335B85E7" w:rsidR="00B0047D" w:rsidRPr="00F35942" w:rsidRDefault="00F263CE" w:rsidP="00A67470">
            <w:pPr>
              <w:spacing w:before="0" w:after="0"/>
              <w:contextualSpacing/>
              <w:rPr>
                <w:color w:val="auto"/>
                <w:sz w:val="28"/>
                <w:szCs w:val="28"/>
              </w:rPr>
            </w:pPr>
            <w:r w:rsidRPr="00F35942">
              <w:rPr>
                <w:sz w:val="28"/>
                <w:szCs w:val="28"/>
                <w:vertAlign w:val="superscript"/>
              </w:rPr>
              <w:t>16</w:t>
            </w:r>
          </w:p>
        </w:tc>
        <w:tc>
          <w:tcPr>
            <w:tcW w:w="1170" w:type="dxa"/>
            <w:vAlign w:val="center"/>
          </w:tcPr>
          <w:p w14:paraId="4B8CFB70" w14:textId="77777777" w:rsidR="00B0047D" w:rsidRPr="00F35942" w:rsidRDefault="00B0047D" w:rsidP="00A67470">
            <w:pPr>
              <w:spacing w:before="0" w:after="0"/>
              <w:contextualSpacing/>
              <w:rPr>
                <w:color w:val="auto"/>
                <w:sz w:val="16"/>
                <w:szCs w:val="16"/>
              </w:rPr>
            </w:pPr>
            <w:r w:rsidRPr="00F35942">
              <w:rPr>
                <w:color w:val="auto"/>
                <w:sz w:val="16"/>
                <w:szCs w:val="16"/>
              </w:rPr>
              <w:t>Africa (EAPP)</w:t>
            </w:r>
          </w:p>
        </w:tc>
        <w:tc>
          <w:tcPr>
            <w:tcW w:w="2700" w:type="dxa"/>
            <w:vAlign w:val="center"/>
          </w:tcPr>
          <w:p w14:paraId="7A96D44C" w14:textId="77777777" w:rsidR="00B0047D" w:rsidRPr="00F35942" w:rsidRDefault="00B0047D" w:rsidP="00A67470">
            <w:pPr>
              <w:spacing w:before="0" w:after="0"/>
              <w:contextualSpacing/>
              <w:rPr>
                <w:color w:val="auto"/>
                <w:sz w:val="16"/>
                <w:szCs w:val="16"/>
              </w:rPr>
            </w:pPr>
            <w:r w:rsidRPr="00F35942">
              <w:rPr>
                <w:color w:val="auto"/>
                <w:sz w:val="16"/>
                <w:szCs w:val="16"/>
              </w:rPr>
              <w:t>Capacity expansion model analyzing economic and environmental benefits of integration and trade in the Eastern African Power Pool across policy scenarios.</w:t>
            </w:r>
          </w:p>
        </w:tc>
        <w:tc>
          <w:tcPr>
            <w:tcW w:w="4703" w:type="dxa"/>
            <w:vAlign w:val="center"/>
          </w:tcPr>
          <w:p w14:paraId="075B54EF" w14:textId="77777777" w:rsidR="00B0047D" w:rsidRPr="00F35942" w:rsidRDefault="00B0047D" w:rsidP="00A67470">
            <w:pPr>
              <w:spacing w:before="0" w:after="0"/>
              <w:contextualSpacing/>
              <w:rPr>
                <w:color w:val="auto"/>
                <w:sz w:val="16"/>
                <w:szCs w:val="16"/>
              </w:rPr>
            </w:pPr>
            <w:r w:rsidRPr="00F35942">
              <w:rPr>
                <w:color w:val="auto"/>
                <w:sz w:val="16"/>
                <w:szCs w:val="16"/>
              </w:rPr>
              <w:t xml:space="preserve">The highest level of integration yields the most benefits, and emissions reductions are achieved at much lower cost while drought impacts are reduced. Constraining imports to </w:t>
            </w:r>
            <w:proofErr w:type="gramStart"/>
            <w:r w:rsidRPr="00F35942">
              <w:rPr>
                <w:color w:val="auto"/>
                <w:sz w:val="16"/>
                <w:szCs w:val="16"/>
              </w:rPr>
              <w:t>a maximum allowed level</w:t>
            </w:r>
            <w:proofErr w:type="gramEnd"/>
            <w:r w:rsidRPr="00F35942">
              <w:rPr>
                <w:color w:val="auto"/>
                <w:sz w:val="16"/>
                <w:szCs w:val="16"/>
              </w:rPr>
              <w:t xml:space="preserve"> still </w:t>
            </w:r>
            <w:proofErr w:type="gramStart"/>
            <w:r w:rsidRPr="00F35942">
              <w:rPr>
                <w:color w:val="auto"/>
                <w:sz w:val="16"/>
                <w:szCs w:val="16"/>
              </w:rPr>
              <w:t>preserves</w:t>
            </w:r>
            <w:proofErr w:type="gramEnd"/>
            <w:r w:rsidRPr="00F35942">
              <w:rPr>
                <w:color w:val="auto"/>
                <w:sz w:val="16"/>
                <w:szCs w:val="16"/>
              </w:rPr>
              <w:t xml:space="preserve"> most of the benefits.</w:t>
            </w:r>
          </w:p>
        </w:tc>
      </w:tr>
      <w:tr w:rsidR="00B0047D" w:rsidRPr="005C5AAA" w14:paraId="7722478A" w14:textId="77777777" w:rsidTr="00F35942">
        <w:trPr>
          <w:trHeight w:val="1119"/>
        </w:trPr>
        <w:tc>
          <w:tcPr>
            <w:tcW w:w="715" w:type="dxa"/>
            <w:vAlign w:val="center"/>
          </w:tcPr>
          <w:p w14:paraId="0F20429D" w14:textId="4AE9D20A" w:rsidR="00B0047D" w:rsidRPr="00F35942" w:rsidRDefault="00F263CE" w:rsidP="00A67470">
            <w:pPr>
              <w:spacing w:before="0" w:after="0"/>
              <w:contextualSpacing/>
              <w:rPr>
                <w:color w:val="auto"/>
                <w:sz w:val="28"/>
                <w:szCs w:val="28"/>
              </w:rPr>
            </w:pPr>
            <w:r w:rsidRPr="00F35942">
              <w:rPr>
                <w:sz w:val="28"/>
                <w:szCs w:val="28"/>
                <w:vertAlign w:val="superscript"/>
              </w:rPr>
              <w:t>3</w:t>
            </w:r>
          </w:p>
        </w:tc>
        <w:tc>
          <w:tcPr>
            <w:tcW w:w="1170" w:type="dxa"/>
            <w:vAlign w:val="center"/>
          </w:tcPr>
          <w:p w14:paraId="63A83974" w14:textId="77777777" w:rsidR="00B0047D" w:rsidRPr="00F35942" w:rsidRDefault="00B0047D" w:rsidP="00A67470">
            <w:pPr>
              <w:spacing w:before="0" w:after="0"/>
              <w:contextualSpacing/>
              <w:rPr>
                <w:color w:val="auto"/>
                <w:sz w:val="16"/>
                <w:szCs w:val="16"/>
              </w:rPr>
            </w:pPr>
            <w:r w:rsidRPr="00F35942">
              <w:rPr>
                <w:color w:val="auto"/>
                <w:sz w:val="16"/>
                <w:szCs w:val="16"/>
              </w:rPr>
              <w:t>Southeast Asia (APG)</w:t>
            </w:r>
          </w:p>
        </w:tc>
        <w:tc>
          <w:tcPr>
            <w:tcW w:w="2700" w:type="dxa"/>
            <w:vAlign w:val="center"/>
          </w:tcPr>
          <w:p w14:paraId="47B10EBA" w14:textId="77777777" w:rsidR="00B0047D" w:rsidRPr="00F35942" w:rsidRDefault="00B0047D" w:rsidP="00A67470">
            <w:pPr>
              <w:spacing w:before="0" w:after="0"/>
              <w:contextualSpacing/>
              <w:rPr>
                <w:color w:val="auto"/>
                <w:sz w:val="16"/>
                <w:szCs w:val="16"/>
              </w:rPr>
            </w:pPr>
            <w:r w:rsidRPr="00F35942">
              <w:rPr>
                <w:color w:val="auto"/>
                <w:sz w:val="16"/>
                <w:szCs w:val="16"/>
              </w:rPr>
              <w:t>A review of the Southeast Asian Nations (ASEAN) power grid (APG) integration, technical challenges, transmission expansion plans, and modeling opportunities.</w:t>
            </w:r>
          </w:p>
        </w:tc>
        <w:tc>
          <w:tcPr>
            <w:tcW w:w="4703" w:type="dxa"/>
            <w:vAlign w:val="center"/>
          </w:tcPr>
          <w:p w14:paraId="6E8ECB83" w14:textId="77777777" w:rsidR="00B0047D" w:rsidRPr="00F35942" w:rsidRDefault="00B0047D" w:rsidP="00A67470">
            <w:pPr>
              <w:spacing w:before="0" w:after="0"/>
              <w:contextualSpacing/>
              <w:rPr>
                <w:color w:val="auto"/>
                <w:sz w:val="16"/>
                <w:szCs w:val="16"/>
              </w:rPr>
            </w:pPr>
            <w:r w:rsidRPr="00F35942">
              <w:rPr>
                <w:color w:val="auto"/>
                <w:sz w:val="16"/>
                <w:szCs w:val="16"/>
              </w:rPr>
              <w:t>Proposes the use of simulation models to identify attractive interconnection projects which will optimally utilize renewable resources under various climate policies.</w:t>
            </w:r>
          </w:p>
        </w:tc>
      </w:tr>
      <w:tr w:rsidR="00B0047D" w:rsidRPr="005C5AAA" w14:paraId="6C74FA4C" w14:textId="77777777" w:rsidTr="00F35942">
        <w:trPr>
          <w:trHeight w:val="710"/>
        </w:trPr>
        <w:tc>
          <w:tcPr>
            <w:tcW w:w="715" w:type="dxa"/>
            <w:vAlign w:val="center"/>
          </w:tcPr>
          <w:p w14:paraId="791F6926" w14:textId="4104E3AF" w:rsidR="00B0047D" w:rsidRPr="00F35942" w:rsidRDefault="00F263CE" w:rsidP="00A67470">
            <w:pPr>
              <w:spacing w:before="0" w:after="0"/>
              <w:contextualSpacing/>
              <w:rPr>
                <w:color w:val="auto"/>
                <w:sz w:val="28"/>
                <w:szCs w:val="28"/>
              </w:rPr>
            </w:pPr>
            <w:r w:rsidRPr="00F35942">
              <w:rPr>
                <w:sz w:val="28"/>
                <w:szCs w:val="28"/>
                <w:vertAlign w:val="superscript"/>
              </w:rPr>
              <w:t>30</w:t>
            </w:r>
          </w:p>
        </w:tc>
        <w:tc>
          <w:tcPr>
            <w:tcW w:w="1170" w:type="dxa"/>
            <w:vAlign w:val="center"/>
          </w:tcPr>
          <w:p w14:paraId="4511C5EC" w14:textId="77777777" w:rsidR="00B0047D" w:rsidRPr="00F35942" w:rsidRDefault="00B0047D" w:rsidP="00A67470">
            <w:pPr>
              <w:spacing w:before="0" w:after="0"/>
              <w:contextualSpacing/>
              <w:rPr>
                <w:color w:val="auto"/>
                <w:sz w:val="16"/>
                <w:szCs w:val="16"/>
              </w:rPr>
            </w:pPr>
            <w:r w:rsidRPr="00F35942">
              <w:rPr>
                <w:color w:val="auto"/>
                <w:sz w:val="16"/>
                <w:szCs w:val="16"/>
              </w:rPr>
              <w:t>Southeast Asia</w:t>
            </w:r>
          </w:p>
        </w:tc>
        <w:tc>
          <w:tcPr>
            <w:tcW w:w="2700" w:type="dxa"/>
            <w:vAlign w:val="center"/>
          </w:tcPr>
          <w:p w14:paraId="55E2D6F5" w14:textId="77777777" w:rsidR="00B0047D" w:rsidRPr="00F35942" w:rsidRDefault="00B0047D" w:rsidP="00A67470">
            <w:pPr>
              <w:spacing w:before="0" w:after="0"/>
              <w:contextualSpacing/>
              <w:rPr>
                <w:color w:val="auto"/>
                <w:sz w:val="16"/>
                <w:szCs w:val="16"/>
              </w:rPr>
            </w:pPr>
            <w:r w:rsidRPr="00F35942">
              <w:rPr>
                <w:color w:val="auto"/>
                <w:sz w:val="16"/>
                <w:szCs w:val="16"/>
              </w:rPr>
              <w:t>Examine the role of solar PV and regional coordination in limiting overexploitation of hydropower in Southeast Asia.</w:t>
            </w:r>
          </w:p>
        </w:tc>
        <w:tc>
          <w:tcPr>
            <w:tcW w:w="4703" w:type="dxa"/>
            <w:vAlign w:val="center"/>
          </w:tcPr>
          <w:p w14:paraId="7A5D683E" w14:textId="77777777" w:rsidR="00B0047D" w:rsidRPr="00F35942" w:rsidRDefault="00B0047D" w:rsidP="00A67470">
            <w:pPr>
              <w:spacing w:before="0" w:after="0"/>
              <w:contextualSpacing/>
              <w:rPr>
                <w:color w:val="auto"/>
                <w:sz w:val="16"/>
                <w:szCs w:val="16"/>
              </w:rPr>
            </w:pPr>
            <w:r w:rsidRPr="00F35942">
              <w:rPr>
                <w:color w:val="auto"/>
                <w:sz w:val="16"/>
                <w:szCs w:val="16"/>
              </w:rPr>
              <w:t>Countries may be able to meet future demand and emissions targets with less hydropower for a minimal cost premium, through solar PV and centralized coordination and trade.</w:t>
            </w:r>
          </w:p>
        </w:tc>
      </w:tr>
      <w:tr w:rsidR="00B0047D" w:rsidRPr="005C5AAA" w14:paraId="0B9ED747" w14:textId="77777777" w:rsidTr="00F35942">
        <w:trPr>
          <w:trHeight w:val="1416"/>
        </w:trPr>
        <w:tc>
          <w:tcPr>
            <w:tcW w:w="715" w:type="dxa"/>
            <w:vAlign w:val="center"/>
          </w:tcPr>
          <w:p w14:paraId="5EB3257A" w14:textId="449E3135" w:rsidR="00B0047D" w:rsidRPr="00F35942" w:rsidRDefault="00F263CE" w:rsidP="00A67470">
            <w:pPr>
              <w:spacing w:before="0" w:after="0"/>
              <w:contextualSpacing/>
              <w:rPr>
                <w:color w:val="auto"/>
                <w:sz w:val="28"/>
                <w:szCs w:val="28"/>
              </w:rPr>
            </w:pPr>
            <w:r w:rsidRPr="00F35942">
              <w:rPr>
                <w:sz w:val="28"/>
                <w:szCs w:val="28"/>
                <w:vertAlign w:val="superscript"/>
              </w:rPr>
              <w:lastRenderedPageBreak/>
              <w:t>14</w:t>
            </w:r>
          </w:p>
        </w:tc>
        <w:tc>
          <w:tcPr>
            <w:tcW w:w="1170" w:type="dxa"/>
            <w:vAlign w:val="center"/>
          </w:tcPr>
          <w:p w14:paraId="19B19A81" w14:textId="77777777" w:rsidR="00B0047D" w:rsidRPr="00F35942" w:rsidRDefault="00B0047D" w:rsidP="00A67470">
            <w:pPr>
              <w:spacing w:before="0" w:after="0"/>
              <w:contextualSpacing/>
              <w:rPr>
                <w:color w:val="auto"/>
                <w:sz w:val="16"/>
                <w:szCs w:val="16"/>
              </w:rPr>
            </w:pPr>
            <w:r w:rsidRPr="00F35942">
              <w:rPr>
                <w:color w:val="auto"/>
                <w:sz w:val="16"/>
                <w:szCs w:val="16"/>
              </w:rPr>
              <w:t>Europe</w:t>
            </w:r>
          </w:p>
        </w:tc>
        <w:tc>
          <w:tcPr>
            <w:tcW w:w="2700" w:type="dxa"/>
            <w:vAlign w:val="center"/>
          </w:tcPr>
          <w:p w14:paraId="4D8110E4" w14:textId="77777777" w:rsidR="00B0047D" w:rsidRPr="00F35942" w:rsidRDefault="00B0047D" w:rsidP="00A67470">
            <w:pPr>
              <w:spacing w:before="0" w:after="0"/>
              <w:contextualSpacing/>
              <w:rPr>
                <w:color w:val="auto"/>
                <w:sz w:val="16"/>
                <w:szCs w:val="16"/>
              </w:rPr>
            </w:pPr>
            <w:proofErr w:type="gramStart"/>
            <w:r w:rsidRPr="00F35942">
              <w:rPr>
                <w:color w:val="auto"/>
                <w:sz w:val="16"/>
                <w:szCs w:val="16"/>
              </w:rPr>
              <w:t>Examines</w:t>
            </w:r>
            <w:proofErr w:type="gramEnd"/>
            <w:r w:rsidRPr="00F35942">
              <w:rPr>
                <w:color w:val="auto"/>
                <w:sz w:val="16"/>
                <w:szCs w:val="16"/>
              </w:rPr>
              <w:t xml:space="preserve"> the relationship between larger-scale grid integration and electricity costs and infrastructure requirements in Europe.</w:t>
            </w:r>
            <w:r w:rsidRPr="00F35942">
              <w:rPr>
                <w:color w:val="900A0A"/>
                <w:sz w:val="16"/>
                <w:szCs w:val="16"/>
              </w:rPr>
              <w:t xml:space="preserve"> </w:t>
            </w:r>
          </w:p>
        </w:tc>
        <w:tc>
          <w:tcPr>
            <w:tcW w:w="4703" w:type="dxa"/>
            <w:vAlign w:val="center"/>
          </w:tcPr>
          <w:p w14:paraId="6B71E659" w14:textId="77777777" w:rsidR="00B0047D" w:rsidRPr="00F35942" w:rsidRDefault="00B0047D" w:rsidP="00A67470">
            <w:pPr>
              <w:spacing w:before="0" w:after="0"/>
              <w:contextualSpacing/>
              <w:rPr>
                <w:color w:val="900A0A"/>
                <w:sz w:val="16"/>
                <w:szCs w:val="16"/>
              </w:rPr>
            </w:pPr>
            <w:r w:rsidRPr="00F35942">
              <w:rPr>
                <w:color w:val="auto"/>
                <w:sz w:val="16"/>
                <w:szCs w:val="16"/>
              </w:rPr>
              <w:t>Larger interconnected European grids have lower costs, owing to increased flexibility in balancing the supply of renewables, but regional supply may only have a minimal cost premium by implementing continent-scale balancing. Expanding transmission is essential for lowering costs; the tradeoff is between requiring more generation infrastructure (regional supply) or more transmission expansion (continental supply). Uses costs of technologies as sensitivities</w:t>
            </w:r>
            <w:r w:rsidRPr="00F35942">
              <w:rPr>
                <w:color w:val="900A0A"/>
                <w:sz w:val="16"/>
                <w:szCs w:val="16"/>
              </w:rPr>
              <w:t>.</w:t>
            </w:r>
          </w:p>
        </w:tc>
      </w:tr>
      <w:tr w:rsidR="00B0047D" w:rsidRPr="005C5AAA" w14:paraId="6BF59022" w14:textId="77777777" w:rsidTr="00F35942">
        <w:trPr>
          <w:trHeight w:val="966"/>
        </w:trPr>
        <w:tc>
          <w:tcPr>
            <w:tcW w:w="715" w:type="dxa"/>
            <w:vAlign w:val="center"/>
          </w:tcPr>
          <w:p w14:paraId="67B5647B" w14:textId="3C6E9AAF" w:rsidR="00B0047D" w:rsidRPr="00F35942" w:rsidRDefault="00F263CE" w:rsidP="00A67470">
            <w:pPr>
              <w:spacing w:before="0" w:after="0"/>
              <w:contextualSpacing/>
              <w:rPr>
                <w:color w:val="auto"/>
                <w:sz w:val="28"/>
                <w:szCs w:val="28"/>
              </w:rPr>
            </w:pPr>
            <w:r w:rsidRPr="00F35942">
              <w:rPr>
                <w:sz w:val="28"/>
                <w:szCs w:val="28"/>
                <w:vertAlign w:val="superscript"/>
              </w:rPr>
              <w:t>20</w:t>
            </w:r>
          </w:p>
        </w:tc>
        <w:tc>
          <w:tcPr>
            <w:tcW w:w="1170" w:type="dxa"/>
            <w:vAlign w:val="center"/>
          </w:tcPr>
          <w:p w14:paraId="34DCAA89" w14:textId="77777777" w:rsidR="00B0047D" w:rsidRPr="00F35942" w:rsidRDefault="00B0047D" w:rsidP="00A67470">
            <w:pPr>
              <w:spacing w:before="0" w:after="0"/>
              <w:contextualSpacing/>
              <w:rPr>
                <w:color w:val="auto"/>
                <w:sz w:val="16"/>
                <w:szCs w:val="16"/>
              </w:rPr>
            </w:pPr>
            <w:r w:rsidRPr="00F35942">
              <w:rPr>
                <w:color w:val="auto"/>
                <w:sz w:val="16"/>
                <w:szCs w:val="16"/>
              </w:rPr>
              <w:t>Europe</w:t>
            </w:r>
          </w:p>
        </w:tc>
        <w:tc>
          <w:tcPr>
            <w:tcW w:w="2700" w:type="dxa"/>
            <w:vAlign w:val="center"/>
          </w:tcPr>
          <w:p w14:paraId="10871A2C" w14:textId="77777777" w:rsidR="00B0047D" w:rsidRPr="00F35942" w:rsidRDefault="00B0047D" w:rsidP="00A67470">
            <w:pPr>
              <w:spacing w:before="0" w:after="0"/>
              <w:contextualSpacing/>
              <w:rPr>
                <w:color w:val="auto"/>
                <w:sz w:val="16"/>
                <w:szCs w:val="16"/>
              </w:rPr>
            </w:pPr>
            <w:r w:rsidRPr="00F35942">
              <w:rPr>
                <w:color w:val="auto"/>
                <w:sz w:val="16"/>
                <w:szCs w:val="16"/>
              </w:rPr>
              <w:t>Spatially resolved modeling in Europe to examine how regional inequalities may evolve under electricity decarbonization in a multinational electricity system.</w:t>
            </w:r>
          </w:p>
        </w:tc>
        <w:tc>
          <w:tcPr>
            <w:tcW w:w="4703" w:type="dxa"/>
            <w:vAlign w:val="center"/>
          </w:tcPr>
          <w:p w14:paraId="2A03B9A4" w14:textId="77777777" w:rsidR="00B0047D" w:rsidRPr="00F35942" w:rsidRDefault="00B0047D" w:rsidP="00A67470">
            <w:pPr>
              <w:spacing w:before="0" w:after="0"/>
              <w:contextualSpacing/>
              <w:rPr>
                <w:color w:val="auto"/>
                <w:sz w:val="16"/>
                <w:szCs w:val="16"/>
              </w:rPr>
            </w:pPr>
            <w:r w:rsidRPr="00F35942">
              <w:rPr>
                <w:color w:val="auto"/>
                <w:sz w:val="16"/>
                <w:szCs w:val="16"/>
              </w:rPr>
              <w:t>Benefits are accrued throughout Europe in terms of investments, jobs, and reduced emissions, but they may be concentrated in certain regions while leaving others vulnerable. The study uses 250 MGA scenarios.</w:t>
            </w:r>
          </w:p>
        </w:tc>
      </w:tr>
      <w:tr w:rsidR="00B0047D" w:rsidRPr="005C5AAA" w14:paraId="47E4C14C" w14:textId="77777777" w:rsidTr="00F35942">
        <w:trPr>
          <w:trHeight w:val="1596"/>
        </w:trPr>
        <w:tc>
          <w:tcPr>
            <w:tcW w:w="715" w:type="dxa"/>
            <w:vAlign w:val="center"/>
          </w:tcPr>
          <w:p w14:paraId="46A75419" w14:textId="3BAD9D7A" w:rsidR="00B0047D" w:rsidRPr="00F35942" w:rsidRDefault="00F263CE" w:rsidP="00A67470">
            <w:pPr>
              <w:spacing w:before="0" w:after="0"/>
              <w:contextualSpacing/>
              <w:rPr>
                <w:color w:val="auto"/>
                <w:sz w:val="28"/>
                <w:szCs w:val="28"/>
              </w:rPr>
            </w:pPr>
            <w:bookmarkStart w:id="10" w:name="_Hlk167445483"/>
            <w:r w:rsidRPr="00F35942">
              <w:rPr>
                <w:sz w:val="28"/>
                <w:szCs w:val="28"/>
                <w:vertAlign w:val="superscript"/>
              </w:rPr>
              <w:t>11</w:t>
            </w:r>
            <w:bookmarkEnd w:id="10"/>
          </w:p>
        </w:tc>
        <w:tc>
          <w:tcPr>
            <w:tcW w:w="1170" w:type="dxa"/>
            <w:vAlign w:val="center"/>
          </w:tcPr>
          <w:p w14:paraId="1C5224B7" w14:textId="77777777" w:rsidR="00B0047D" w:rsidRPr="00F35942" w:rsidRDefault="00B0047D" w:rsidP="00A67470">
            <w:pPr>
              <w:spacing w:before="0" w:after="0"/>
              <w:contextualSpacing/>
              <w:rPr>
                <w:color w:val="auto"/>
                <w:sz w:val="16"/>
                <w:szCs w:val="16"/>
              </w:rPr>
            </w:pPr>
            <w:r w:rsidRPr="00F35942">
              <w:rPr>
                <w:color w:val="auto"/>
                <w:sz w:val="16"/>
                <w:szCs w:val="16"/>
              </w:rPr>
              <w:t>Europe (and MENA)</w:t>
            </w:r>
          </w:p>
        </w:tc>
        <w:tc>
          <w:tcPr>
            <w:tcW w:w="2700" w:type="dxa"/>
            <w:vAlign w:val="center"/>
          </w:tcPr>
          <w:p w14:paraId="16574DF6" w14:textId="27C8B451" w:rsidR="00B0047D" w:rsidRPr="00F35942" w:rsidRDefault="00B0047D" w:rsidP="00A67470">
            <w:pPr>
              <w:spacing w:before="0" w:after="0"/>
              <w:contextualSpacing/>
              <w:rPr>
                <w:color w:val="auto"/>
                <w:sz w:val="16"/>
                <w:szCs w:val="16"/>
              </w:rPr>
            </w:pPr>
            <w:r w:rsidRPr="00F35942">
              <w:rPr>
                <w:color w:val="auto"/>
                <w:sz w:val="16"/>
                <w:szCs w:val="16"/>
              </w:rPr>
              <w:t xml:space="preserve">Capacity expansion modeling for </w:t>
            </w:r>
            <w:r w:rsidR="00F44A43" w:rsidRPr="00F35942">
              <w:rPr>
                <w:color w:val="auto"/>
                <w:sz w:val="16"/>
                <w:szCs w:val="16"/>
              </w:rPr>
              <w:t>Europe (</w:t>
            </w:r>
            <w:r w:rsidRPr="00F35942">
              <w:rPr>
                <w:color w:val="auto"/>
                <w:sz w:val="16"/>
                <w:szCs w:val="16"/>
              </w:rPr>
              <w:t xml:space="preserve">EU) and Middle East / North Africa (MENA) decarbonization scenarios, with spatiotemporally resolved renewable generation. Uses four scenarios based on </w:t>
            </w:r>
            <w:proofErr w:type="gramStart"/>
            <w:r w:rsidRPr="00F35942">
              <w:rPr>
                <w:color w:val="auto"/>
                <w:sz w:val="16"/>
                <w:szCs w:val="16"/>
              </w:rPr>
              <w:t>a 90% emissions</w:t>
            </w:r>
            <w:proofErr w:type="gramEnd"/>
            <w:r w:rsidRPr="00F35942">
              <w:rPr>
                <w:color w:val="auto"/>
                <w:sz w:val="16"/>
                <w:szCs w:val="16"/>
              </w:rPr>
              <w:t xml:space="preserve"> cut and level of transmission expansion.</w:t>
            </w:r>
          </w:p>
        </w:tc>
        <w:tc>
          <w:tcPr>
            <w:tcW w:w="4703" w:type="dxa"/>
            <w:vAlign w:val="center"/>
          </w:tcPr>
          <w:p w14:paraId="2E5682CD" w14:textId="77777777" w:rsidR="00B0047D" w:rsidRPr="00F35942" w:rsidRDefault="00B0047D" w:rsidP="00A67470">
            <w:pPr>
              <w:spacing w:before="0" w:after="0"/>
              <w:contextualSpacing/>
              <w:rPr>
                <w:color w:val="auto"/>
                <w:sz w:val="16"/>
                <w:szCs w:val="16"/>
              </w:rPr>
            </w:pPr>
            <w:r w:rsidRPr="00F35942">
              <w:rPr>
                <w:color w:val="auto"/>
                <w:sz w:val="16"/>
                <w:szCs w:val="16"/>
              </w:rPr>
              <w:t>Finds that emissions reductions are cost-effective if transmission and storage are expanded, and that higher emissions reductions become feasible with this expansion. Limiting transmission expansion yields higher storage requirements, curtailment, and electricity price variability.</w:t>
            </w:r>
          </w:p>
        </w:tc>
      </w:tr>
      <w:tr w:rsidR="00B0047D" w:rsidRPr="005C5AAA" w14:paraId="0DDF6FD3" w14:textId="77777777" w:rsidTr="00F35942">
        <w:trPr>
          <w:trHeight w:val="440"/>
        </w:trPr>
        <w:tc>
          <w:tcPr>
            <w:tcW w:w="715" w:type="dxa"/>
            <w:vAlign w:val="center"/>
          </w:tcPr>
          <w:p w14:paraId="2DD85DBF" w14:textId="6E0BEEE3" w:rsidR="00B0047D" w:rsidRPr="00F35942" w:rsidRDefault="00F263CE" w:rsidP="00A67470">
            <w:pPr>
              <w:spacing w:before="0" w:after="0"/>
              <w:contextualSpacing/>
              <w:rPr>
                <w:color w:val="auto"/>
                <w:sz w:val="28"/>
                <w:szCs w:val="28"/>
              </w:rPr>
            </w:pPr>
            <w:r w:rsidRPr="00F35942">
              <w:rPr>
                <w:sz w:val="28"/>
                <w:szCs w:val="28"/>
                <w:vertAlign w:val="superscript"/>
              </w:rPr>
              <w:t>17</w:t>
            </w:r>
          </w:p>
        </w:tc>
        <w:tc>
          <w:tcPr>
            <w:tcW w:w="1170" w:type="dxa"/>
            <w:vAlign w:val="center"/>
          </w:tcPr>
          <w:p w14:paraId="609139C2" w14:textId="77777777" w:rsidR="00B0047D" w:rsidRPr="00F35942" w:rsidRDefault="00B0047D" w:rsidP="00A67470">
            <w:pPr>
              <w:spacing w:before="0" w:after="0"/>
              <w:contextualSpacing/>
              <w:rPr>
                <w:color w:val="auto"/>
                <w:sz w:val="16"/>
                <w:szCs w:val="16"/>
              </w:rPr>
            </w:pPr>
            <w:r w:rsidRPr="00F35942">
              <w:rPr>
                <w:color w:val="auto"/>
                <w:sz w:val="16"/>
                <w:szCs w:val="16"/>
              </w:rPr>
              <w:t>Europe</w:t>
            </w:r>
          </w:p>
        </w:tc>
        <w:tc>
          <w:tcPr>
            <w:tcW w:w="2700" w:type="dxa"/>
            <w:vAlign w:val="center"/>
          </w:tcPr>
          <w:p w14:paraId="3E61AB5B" w14:textId="77777777" w:rsidR="00B0047D" w:rsidRPr="00F35942" w:rsidRDefault="00B0047D" w:rsidP="00A67470">
            <w:pPr>
              <w:spacing w:before="0" w:after="0"/>
              <w:contextualSpacing/>
              <w:rPr>
                <w:color w:val="900A0A"/>
                <w:sz w:val="16"/>
                <w:szCs w:val="16"/>
              </w:rPr>
            </w:pPr>
            <w:r w:rsidRPr="00F35942">
              <w:rPr>
                <w:color w:val="auto"/>
                <w:sz w:val="16"/>
                <w:szCs w:val="16"/>
              </w:rPr>
              <w:t>Examines grid expansion in 2050 for Europe.</w:t>
            </w:r>
          </w:p>
        </w:tc>
        <w:tc>
          <w:tcPr>
            <w:tcW w:w="4703" w:type="dxa"/>
            <w:vAlign w:val="center"/>
          </w:tcPr>
          <w:p w14:paraId="43F7A0C5" w14:textId="77777777" w:rsidR="00B0047D" w:rsidRPr="00F35942" w:rsidRDefault="00B0047D" w:rsidP="00A67470">
            <w:pPr>
              <w:spacing w:before="0" w:after="0"/>
              <w:contextualSpacing/>
              <w:rPr>
                <w:sz w:val="16"/>
                <w:szCs w:val="16"/>
              </w:rPr>
            </w:pPr>
            <w:r w:rsidRPr="00F35942">
              <w:rPr>
                <w:color w:val="auto"/>
                <w:sz w:val="16"/>
                <w:szCs w:val="16"/>
              </w:rPr>
              <w:t>Finds tradeoff between storage capacity and grid expansion. i.e., slower grid extensions lead to higher storage capacities.</w:t>
            </w:r>
          </w:p>
        </w:tc>
      </w:tr>
      <w:tr w:rsidR="00B0047D" w:rsidRPr="005C5AAA" w14:paraId="046EEBD3" w14:textId="77777777" w:rsidTr="00F35942">
        <w:trPr>
          <w:trHeight w:val="948"/>
        </w:trPr>
        <w:tc>
          <w:tcPr>
            <w:tcW w:w="715" w:type="dxa"/>
            <w:vAlign w:val="center"/>
          </w:tcPr>
          <w:p w14:paraId="4FD1A55A" w14:textId="5FD4B391" w:rsidR="00B0047D" w:rsidRPr="00F35942" w:rsidRDefault="00F263CE" w:rsidP="00A67470">
            <w:pPr>
              <w:spacing w:before="0" w:after="0"/>
              <w:contextualSpacing/>
              <w:rPr>
                <w:color w:val="auto"/>
                <w:sz w:val="28"/>
                <w:szCs w:val="28"/>
              </w:rPr>
            </w:pPr>
            <w:r w:rsidRPr="00F35942">
              <w:rPr>
                <w:sz w:val="28"/>
                <w:szCs w:val="28"/>
                <w:vertAlign w:val="superscript"/>
              </w:rPr>
              <w:t>31</w:t>
            </w:r>
          </w:p>
        </w:tc>
        <w:tc>
          <w:tcPr>
            <w:tcW w:w="1170" w:type="dxa"/>
            <w:vAlign w:val="center"/>
          </w:tcPr>
          <w:p w14:paraId="38C15446" w14:textId="77777777" w:rsidR="00B0047D" w:rsidRPr="00F35942" w:rsidRDefault="00B0047D" w:rsidP="00A67470">
            <w:pPr>
              <w:spacing w:before="0" w:after="0"/>
              <w:contextualSpacing/>
              <w:rPr>
                <w:color w:val="auto"/>
                <w:sz w:val="16"/>
                <w:szCs w:val="16"/>
              </w:rPr>
            </w:pPr>
            <w:r w:rsidRPr="00F35942">
              <w:rPr>
                <w:color w:val="auto"/>
                <w:sz w:val="16"/>
                <w:szCs w:val="16"/>
              </w:rPr>
              <w:t>Europe</w:t>
            </w:r>
          </w:p>
        </w:tc>
        <w:tc>
          <w:tcPr>
            <w:tcW w:w="2700" w:type="dxa"/>
            <w:vAlign w:val="center"/>
          </w:tcPr>
          <w:p w14:paraId="6BCACE74" w14:textId="77777777" w:rsidR="00B0047D" w:rsidRPr="00F35942" w:rsidRDefault="00B0047D" w:rsidP="00A67470">
            <w:pPr>
              <w:spacing w:before="0" w:after="0"/>
              <w:contextualSpacing/>
              <w:rPr>
                <w:color w:val="auto"/>
                <w:sz w:val="16"/>
                <w:szCs w:val="16"/>
              </w:rPr>
            </w:pPr>
            <w:r w:rsidRPr="00F35942">
              <w:rPr>
                <w:color w:val="auto"/>
                <w:sz w:val="16"/>
                <w:szCs w:val="16"/>
              </w:rPr>
              <w:t>Examines grid infrastructure expansion for Europe in 2050, using cost-minimizing mixed-integer optimization, with focus on transmission network architecture.</w:t>
            </w:r>
          </w:p>
        </w:tc>
        <w:tc>
          <w:tcPr>
            <w:tcW w:w="4703" w:type="dxa"/>
            <w:vAlign w:val="center"/>
          </w:tcPr>
          <w:p w14:paraId="5E5F2DDA" w14:textId="77777777" w:rsidR="00B0047D" w:rsidRPr="00F35942" w:rsidRDefault="00B0047D" w:rsidP="00A67470">
            <w:pPr>
              <w:spacing w:before="0" w:after="0"/>
              <w:contextualSpacing/>
              <w:rPr>
                <w:color w:val="auto"/>
                <w:sz w:val="16"/>
                <w:szCs w:val="16"/>
              </w:rPr>
            </w:pPr>
            <w:r w:rsidRPr="00F35942">
              <w:rPr>
                <w:color w:val="auto"/>
                <w:sz w:val="16"/>
                <w:szCs w:val="16"/>
              </w:rPr>
              <w:t>Scenarios vary the level of decarbonization and share of renewables.</w:t>
            </w:r>
          </w:p>
        </w:tc>
      </w:tr>
      <w:tr w:rsidR="00B0047D" w:rsidRPr="005C5AAA" w14:paraId="1FAC3620" w14:textId="77777777" w:rsidTr="00F35942">
        <w:trPr>
          <w:trHeight w:val="606"/>
        </w:trPr>
        <w:tc>
          <w:tcPr>
            <w:tcW w:w="715" w:type="dxa"/>
            <w:vAlign w:val="center"/>
          </w:tcPr>
          <w:p w14:paraId="2E59B926" w14:textId="1C611329" w:rsidR="00B0047D" w:rsidRPr="00F35942" w:rsidRDefault="00F263CE" w:rsidP="00A67470">
            <w:pPr>
              <w:spacing w:before="0" w:after="0"/>
              <w:contextualSpacing/>
              <w:rPr>
                <w:color w:val="auto"/>
                <w:sz w:val="28"/>
                <w:szCs w:val="28"/>
              </w:rPr>
            </w:pPr>
            <w:r w:rsidRPr="00F35942">
              <w:rPr>
                <w:sz w:val="28"/>
                <w:szCs w:val="28"/>
                <w:vertAlign w:val="superscript"/>
              </w:rPr>
              <w:t>32</w:t>
            </w:r>
          </w:p>
        </w:tc>
        <w:tc>
          <w:tcPr>
            <w:tcW w:w="1170" w:type="dxa"/>
            <w:vAlign w:val="center"/>
          </w:tcPr>
          <w:p w14:paraId="4320A2D3" w14:textId="77777777" w:rsidR="00B0047D" w:rsidRPr="00F35942" w:rsidRDefault="00B0047D" w:rsidP="00A67470">
            <w:pPr>
              <w:spacing w:before="0" w:after="0"/>
              <w:contextualSpacing/>
              <w:rPr>
                <w:color w:val="auto"/>
                <w:sz w:val="16"/>
                <w:szCs w:val="16"/>
              </w:rPr>
            </w:pPr>
            <w:r w:rsidRPr="00F35942">
              <w:rPr>
                <w:color w:val="auto"/>
                <w:sz w:val="16"/>
                <w:szCs w:val="16"/>
              </w:rPr>
              <w:t>Europe</w:t>
            </w:r>
          </w:p>
        </w:tc>
        <w:tc>
          <w:tcPr>
            <w:tcW w:w="2700" w:type="dxa"/>
            <w:vAlign w:val="center"/>
          </w:tcPr>
          <w:p w14:paraId="56133F15" w14:textId="77777777" w:rsidR="00B0047D" w:rsidRPr="00F35942" w:rsidRDefault="00B0047D" w:rsidP="00A67470">
            <w:pPr>
              <w:spacing w:before="0" w:after="0"/>
              <w:contextualSpacing/>
              <w:rPr>
                <w:color w:val="auto"/>
                <w:sz w:val="16"/>
                <w:szCs w:val="16"/>
              </w:rPr>
            </w:pPr>
            <w:r w:rsidRPr="00F35942">
              <w:rPr>
                <w:color w:val="auto"/>
                <w:sz w:val="16"/>
                <w:szCs w:val="16"/>
              </w:rPr>
              <w:t>Discusses European electricity system cross-border transmission tariff structures.</w:t>
            </w:r>
          </w:p>
        </w:tc>
        <w:tc>
          <w:tcPr>
            <w:tcW w:w="4703" w:type="dxa"/>
            <w:vAlign w:val="center"/>
          </w:tcPr>
          <w:p w14:paraId="3B67FEF1" w14:textId="77777777" w:rsidR="00B0047D" w:rsidRPr="00F35942" w:rsidRDefault="00B0047D" w:rsidP="00A67470">
            <w:pPr>
              <w:spacing w:before="0" w:after="0"/>
              <w:contextualSpacing/>
              <w:rPr>
                <w:sz w:val="16"/>
                <w:szCs w:val="16"/>
              </w:rPr>
            </w:pPr>
            <w:r w:rsidRPr="00F35942">
              <w:rPr>
                <w:sz w:val="16"/>
                <w:szCs w:val="16"/>
              </w:rPr>
              <w:t>Highlights practical difficulties of coordination.</w:t>
            </w:r>
          </w:p>
        </w:tc>
      </w:tr>
      <w:tr w:rsidR="00B0047D" w:rsidRPr="005C5AAA" w14:paraId="5C1EE0A8" w14:textId="77777777" w:rsidTr="00F35942">
        <w:trPr>
          <w:trHeight w:val="705"/>
        </w:trPr>
        <w:tc>
          <w:tcPr>
            <w:tcW w:w="715" w:type="dxa"/>
            <w:vAlign w:val="center"/>
          </w:tcPr>
          <w:p w14:paraId="2CA5238C" w14:textId="71B01873" w:rsidR="00B0047D" w:rsidRPr="00F35942" w:rsidRDefault="00F263CE" w:rsidP="00A67470">
            <w:pPr>
              <w:spacing w:before="0" w:after="0"/>
              <w:contextualSpacing/>
              <w:rPr>
                <w:color w:val="auto"/>
                <w:sz w:val="28"/>
                <w:szCs w:val="28"/>
              </w:rPr>
            </w:pPr>
            <w:r w:rsidRPr="00F35942">
              <w:rPr>
                <w:sz w:val="28"/>
                <w:szCs w:val="28"/>
                <w:vertAlign w:val="superscript"/>
              </w:rPr>
              <w:t>33</w:t>
            </w:r>
          </w:p>
        </w:tc>
        <w:tc>
          <w:tcPr>
            <w:tcW w:w="1170" w:type="dxa"/>
            <w:vAlign w:val="center"/>
          </w:tcPr>
          <w:p w14:paraId="565174FE" w14:textId="77777777" w:rsidR="00B0047D" w:rsidRPr="00F35942" w:rsidRDefault="00B0047D" w:rsidP="00A67470">
            <w:pPr>
              <w:spacing w:before="0" w:after="0"/>
              <w:contextualSpacing/>
              <w:rPr>
                <w:color w:val="auto"/>
                <w:sz w:val="16"/>
                <w:szCs w:val="16"/>
              </w:rPr>
            </w:pPr>
            <w:r w:rsidRPr="00F35942">
              <w:rPr>
                <w:color w:val="auto"/>
                <w:sz w:val="16"/>
                <w:szCs w:val="16"/>
              </w:rPr>
              <w:t>Europe</w:t>
            </w:r>
          </w:p>
        </w:tc>
        <w:tc>
          <w:tcPr>
            <w:tcW w:w="2700" w:type="dxa"/>
            <w:vAlign w:val="center"/>
          </w:tcPr>
          <w:p w14:paraId="0E022AE3" w14:textId="77777777" w:rsidR="00B0047D" w:rsidRPr="00F35942" w:rsidRDefault="00B0047D" w:rsidP="00A67470">
            <w:pPr>
              <w:spacing w:before="0" w:after="0"/>
              <w:contextualSpacing/>
              <w:rPr>
                <w:color w:val="auto"/>
                <w:sz w:val="16"/>
                <w:szCs w:val="16"/>
              </w:rPr>
            </w:pPr>
            <w:r w:rsidRPr="00F35942">
              <w:rPr>
                <w:color w:val="auto"/>
                <w:sz w:val="16"/>
                <w:szCs w:val="16"/>
              </w:rPr>
              <w:t>Discusses the improvement of European electricity system cross-border transmission tariff structures.</w:t>
            </w:r>
          </w:p>
        </w:tc>
        <w:tc>
          <w:tcPr>
            <w:tcW w:w="4703" w:type="dxa"/>
            <w:vAlign w:val="center"/>
          </w:tcPr>
          <w:p w14:paraId="04340E8D" w14:textId="77777777" w:rsidR="00B0047D" w:rsidRPr="00F35942" w:rsidRDefault="00B0047D" w:rsidP="00A67470">
            <w:pPr>
              <w:spacing w:before="0" w:after="0"/>
              <w:contextualSpacing/>
              <w:rPr>
                <w:sz w:val="16"/>
                <w:szCs w:val="16"/>
              </w:rPr>
            </w:pPr>
            <w:r w:rsidRPr="00F35942">
              <w:rPr>
                <w:sz w:val="16"/>
                <w:szCs w:val="16"/>
              </w:rPr>
              <w:t>Highlights practical difficulties of coordination.</w:t>
            </w:r>
          </w:p>
        </w:tc>
      </w:tr>
      <w:tr w:rsidR="00B0047D" w:rsidRPr="005C5AAA" w14:paraId="6D79AB41" w14:textId="77777777" w:rsidTr="00F35942">
        <w:trPr>
          <w:trHeight w:val="1047"/>
        </w:trPr>
        <w:tc>
          <w:tcPr>
            <w:tcW w:w="715" w:type="dxa"/>
            <w:vAlign w:val="center"/>
          </w:tcPr>
          <w:p w14:paraId="279D7808" w14:textId="04DD2D2A" w:rsidR="00B0047D" w:rsidRPr="00F35942" w:rsidRDefault="00F263CE" w:rsidP="00A67470">
            <w:pPr>
              <w:spacing w:before="0" w:after="0"/>
              <w:contextualSpacing/>
              <w:rPr>
                <w:color w:val="auto"/>
                <w:sz w:val="28"/>
                <w:szCs w:val="28"/>
              </w:rPr>
            </w:pPr>
            <w:r w:rsidRPr="00F35942">
              <w:rPr>
                <w:sz w:val="28"/>
                <w:szCs w:val="28"/>
                <w:vertAlign w:val="superscript"/>
              </w:rPr>
              <w:t>6</w:t>
            </w:r>
          </w:p>
        </w:tc>
        <w:tc>
          <w:tcPr>
            <w:tcW w:w="1170" w:type="dxa"/>
            <w:vAlign w:val="center"/>
          </w:tcPr>
          <w:p w14:paraId="5F128D11" w14:textId="77777777" w:rsidR="00B0047D" w:rsidRPr="00F35942" w:rsidRDefault="00B0047D" w:rsidP="00A67470">
            <w:pPr>
              <w:spacing w:before="0" w:after="0"/>
              <w:contextualSpacing/>
              <w:rPr>
                <w:color w:val="auto"/>
                <w:sz w:val="16"/>
                <w:szCs w:val="16"/>
              </w:rPr>
            </w:pPr>
            <w:r w:rsidRPr="00F35942">
              <w:rPr>
                <w:color w:val="auto"/>
                <w:sz w:val="16"/>
                <w:szCs w:val="16"/>
              </w:rPr>
              <w:t>North America (United States)</w:t>
            </w:r>
          </w:p>
        </w:tc>
        <w:tc>
          <w:tcPr>
            <w:tcW w:w="2700" w:type="dxa"/>
            <w:vAlign w:val="center"/>
          </w:tcPr>
          <w:p w14:paraId="65BAADEC" w14:textId="77777777" w:rsidR="00B0047D" w:rsidRPr="00F35942" w:rsidRDefault="00B0047D" w:rsidP="00A67470">
            <w:pPr>
              <w:spacing w:before="0" w:after="0"/>
              <w:contextualSpacing/>
              <w:rPr>
                <w:color w:val="auto"/>
                <w:sz w:val="16"/>
                <w:szCs w:val="16"/>
              </w:rPr>
            </w:pPr>
            <w:r w:rsidRPr="00F35942">
              <w:rPr>
                <w:color w:val="auto"/>
                <w:sz w:val="16"/>
                <w:szCs w:val="16"/>
              </w:rPr>
              <w:t>Analyzes economic benefits related to transmission expansion connecting Eastern and Western Interconnections in the US and fully coordinated dispatch, using a multi-model analysis.</w:t>
            </w:r>
          </w:p>
        </w:tc>
        <w:tc>
          <w:tcPr>
            <w:tcW w:w="4703" w:type="dxa"/>
            <w:vAlign w:val="center"/>
          </w:tcPr>
          <w:p w14:paraId="45AF3464" w14:textId="726A4B18" w:rsidR="00B0047D" w:rsidRPr="00F35942" w:rsidRDefault="00B0047D" w:rsidP="00A67470">
            <w:pPr>
              <w:spacing w:before="0" w:after="0"/>
              <w:contextualSpacing/>
              <w:rPr>
                <w:sz w:val="16"/>
                <w:szCs w:val="16"/>
              </w:rPr>
            </w:pPr>
            <w:r w:rsidRPr="00F35942">
              <w:rPr>
                <w:color w:val="auto"/>
                <w:sz w:val="16"/>
                <w:szCs w:val="16"/>
              </w:rPr>
              <w:t xml:space="preserve">Eight scenarios </w:t>
            </w:r>
            <w:r w:rsidR="00F44A43" w:rsidRPr="00F35942">
              <w:rPr>
                <w:color w:val="auto"/>
                <w:sz w:val="16"/>
                <w:szCs w:val="16"/>
              </w:rPr>
              <w:t>are constructed</w:t>
            </w:r>
            <w:r w:rsidRPr="00F35942">
              <w:rPr>
                <w:color w:val="auto"/>
                <w:sz w:val="16"/>
                <w:szCs w:val="16"/>
              </w:rPr>
              <w:t xml:space="preserve"> under different transmission designs, gas prices, and technology costs. Results suggest substantial value in expanding transmission capacity, due to added flexibility and sharing of renewable resources. Scenarios vary gas price, transmission cost, VRE cost, and transmission network type.</w:t>
            </w:r>
          </w:p>
        </w:tc>
      </w:tr>
      <w:tr w:rsidR="00B0047D" w:rsidRPr="005C5AAA" w14:paraId="3A139AAD" w14:textId="77777777" w:rsidTr="00F35942">
        <w:trPr>
          <w:trHeight w:val="1056"/>
        </w:trPr>
        <w:tc>
          <w:tcPr>
            <w:tcW w:w="715" w:type="dxa"/>
            <w:vAlign w:val="center"/>
          </w:tcPr>
          <w:p w14:paraId="6FABCF07" w14:textId="5B15EAF0" w:rsidR="00B0047D" w:rsidRPr="00F35942" w:rsidRDefault="00F263CE" w:rsidP="00A67470">
            <w:pPr>
              <w:spacing w:before="0" w:after="0"/>
              <w:contextualSpacing/>
              <w:rPr>
                <w:color w:val="auto"/>
                <w:sz w:val="28"/>
                <w:szCs w:val="28"/>
              </w:rPr>
            </w:pPr>
            <w:r w:rsidRPr="00F35942">
              <w:rPr>
                <w:sz w:val="28"/>
                <w:szCs w:val="28"/>
                <w:vertAlign w:val="superscript"/>
              </w:rPr>
              <w:t>5</w:t>
            </w:r>
          </w:p>
        </w:tc>
        <w:tc>
          <w:tcPr>
            <w:tcW w:w="1170" w:type="dxa"/>
            <w:vAlign w:val="center"/>
          </w:tcPr>
          <w:p w14:paraId="2D322778" w14:textId="77777777" w:rsidR="00B0047D" w:rsidRPr="00F35942" w:rsidRDefault="00B0047D" w:rsidP="00A67470">
            <w:pPr>
              <w:spacing w:before="0" w:after="0"/>
              <w:contextualSpacing/>
              <w:rPr>
                <w:color w:val="auto"/>
                <w:sz w:val="16"/>
                <w:szCs w:val="16"/>
              </w:rPr>
            </w:pPr>
            <w:r w:rsidRPr="00F35942">
              <w:rPr>
                <w:color w:val="auto"/>
                <w:sz w:val="16"/>
                <w:szCs w:val="16"/>
              </w:rPr>
              <w:t>North America (United States)</w:t>
            </w:r>
          </w:p>
        </w:tc>
        <w:tc>
          <w:tcPr>
            <w:tcW w:w="2700" w:type="dxa"/>
            <w:vAlign w:val="center"/>
          </w:tcPr>
          <w:p w14:paraId="7820FE08" w14:textId="77777777" w:rsidR="00B0047D" w:rsidRPr="00F35942" w:rsidRDefault="00B0047D" w:rsidP="00A67470">
            <w:pPr>
              <w:spacing w:before="0" w:after="0"/>
              <w:contextualSpacing/>
              <w:rPr>
                <w:color w:val="auto"/>
                <w:sz w:val="16"/>
                <w:szCs w:val="16"/>
              </w:rPr>
            </w:pPr>
            <w:r w:rsidRPr="00F35942">
              <w:rPr>
                <w:color w:val="auto"/>
                <w:sz w:val="16"/>
                <w:szCs w:val="16"/>
              </w:rPr>
              <w:t>Uses capacity expansion and hourly dispatch model to quantify benefits related to regional coordination and transmission expansion in the US under decarbonization.</w:t>
            </w:r>
          </w:p>
        </w:tc>
        <w:tc>
          <w:tcPr>
            <w:tcW w:w="4703" w:type="dxa"/>
            <w:vAlign w:val="center"/>
          </w:tcPr>
          <w:p w14:paraId="24BE7823" w14:textId="77777777" w:rsidR="00B0047D" w:rsidRPr="00F35942" w:rsidRDefault="00B0047D" w:rsidP="00A67470">
            <w:pPr>
              <w:spacing w:before="0" w:after="0"/>
              <w:contextualSpacing/>
              <w:rPr>
                <w:color w:val="auto"/>
                <w:sz w:val="16"/>
                <w:szCs w:val="16"/>
              </w:rPr>
            </w:pPr>
            <w:r w:rsidRPr="00F35942">
              <w:rPr>
                <w:color w:val="auto"/>
                <w:sz w:val="16"/>
                <w:szCs w:val="16"/>
              </w:rPr>
              <w:t>Finds substantial reductions in total system costs overall. For transmission expansion scenarios, reduced costs of VRE technologies and short-duration battery storage yield the greatest reductions in total system costs, while for isolated systems, this is achieved through reductions in costs of nuclear power and long-duration storage.</w:t>
            </w:r>
          </w:p>
        </w:tc>
      </w:tr>
      <w:tr w:rsidR="00B0047D" w:rsidRPr="005C5AAA" w14:paraId="111E5FCA" w14:textId="77777777" w:rsidTr="00F35942">
        <w:trPr>
          <w:trHeight w:val="1236"/>
        </w:trPr>
        <w:tc>
          <w:tcPr>
            <w:tcW w:w="715" w:type="dxa"/>
            <w:vAlign w:val="center"/>
          </w:tcPr>
          <w:p w14:paraId="1D21AF06" w14:textId="38D7A40F" w:rsidR="00B0047D" w:rsidRPr="00F35942" w:rsidRDefault="00F263CE" w:rsidP="00A67470">
            <w:pPr>
              <w:spacing w:before="0" w:after="0"/>
              <w:contextualSpacing/>
              <w:rPr>
                <w:color w:val="auto"/>
                <w:sz w:val="28"/>
                <w:szCs w:val="28"/>
              </w:rPr>
            </w:pPr>
            <w:r w:rsidRPr="00F35942">
              <w:rPr>
                <w:sz w:val="28"/>
                <w:szCs w:val="28"/>
                <w:vertAlign w:val="superscript"/>
              </w:rPr>
              <w:t>34</w:t>
            </w:r>
          </w:p>
        </w:tc>
        <w:tc>
          <w:tcPr>
            <w:tcW w:w="1170" w:type="dxa"/>
            <w:vAlign w:val="center"/>
          </w:tcPr>
          <w:p w14:paraId="30443A4B" w14:textId="77777777" w:rsidR="00B0047D" w:rsidRPr="00F35942" w:rsidRDefault="00B0047D" w:rsidP="00A67470">
            <w:pPr>
              <w:spacing w:before="0" w:after="0"/>
              <w:contextualSpacing/>
              <w:rPr>
                <w:color w:val="auto"/>
                <w:sz w:val="16"/>
                <w:szCs w:val="16"/>
              </w:rPr>
            </w:pPr>
            <w:r w:rsidRPr="00F35942">
              <w:rPr>
                <w:color w:val="auto"/>
                <w:sz w:val="16"/>
                <w:szCs w:val="16"/>
              </w:rPr>
              <w:t>North America (United States)</w:t>
            </w:r>
          </w:p>
        </w:tc>
        <w:tc>
          <w:tcPr>
            <w:tcW w:w="2700" w:type="dxa"/>
            <w:vAlign w:val="center"/>
          </w:tcPr>
          <w:p w14:paraId="447D232A" w14:textId="3E7BDFED" w:rsidR="00B0047D" w:rsidRPr="00F35942" w:rsidRDefault="00B0047D" w:rsidP="00A67470">
            <w:pPr>
              <w:spacing w:before="0" w:after="0"/>
              <w:contextualSpacing/>
              <w:rPr>
                <w:color w:val="auto"/>
                <w:sz w:val="16"/>
                <w:szCs w:val="16"/>
              </w:rPr>
            </w:pPr>
            <w:proofErr w:type="gramStart"/>
            <w:r w:rsidRPr="00F35942">
              <w:rPr>
                <w:color w:val="auto"/>
                <w:sz w:val="16"/>
                <w:szCs w:val="16"/>
              </w:rPr>
              <w:t>Examines</w:t>
            </w:r>
            <w:proofErr w:type="gramEnd"/>
            <w:r w:rsidRPr="00F35942">
              <w:rPr>
                <w:color w:val="auto"/>
                <w:sz w:val="16"/>
                <w:szCs w:val="16"/>
              </w:rPr>
              <w:t xml:space="preserve"> transmission pathways for the US electricity system through 2050. Scenarios vary transmission expansion level, cost trajectories, and </w:t>
            </w:r>
            <w:r w:rsidR="00F44A43" w:rsidRPr="00F35942">
              <w:rPr>
                <w:color w:val="auto"/>
                <w:sz w:val="16"/>
                <w:szCs w:val="16"/>
              </w:rPr>
              <w:t>carbon</w:t>
            </w:r>
            <w:r w:rsidRPr="00F35942">
              <w:rPr>
                <w:color w:val="auto"/>
                <w:sz w:val="16"/>
                <w:szCs w:val="16"/>
              </w:rPr>
              <w:t xml:space="preserve"> tax.</w:t>
            </w:r>
          </w:p>
        </w:tc>
        <w:tc>
          <w:tcPr>
            <w:tcW w:w="4703" w:type="dxa"/>
            <w:vAlign w:val="center"/>
          </w:tcPr>
          <w:p w14:paraId="0FBAECE2" w14:textId="501D1778" w:rsidR="00B0047D" w:rsidRPr="00F35942" w:rsidRDefault="00B0047D" w:rsidP="00A67470">
            <w:pPr>
              <w:spacing w:before="0" w:after="0"/>
              <w:contextualSpacing/>
              <w:rPr>
                <w:color w:val="auto"/>
                <w:sz w:val="16"/>
                <w:szCs w:val="16"/>
              </w:rPr>
            </w:pPr>
            <w:r w:rsidRPr="00F35942">
              <w:rPr>
                <w:color w:val="auto"/>
                <w:sz w:val="16"/>
                <w:szCs w:val="16"/>
              </w:rPr>
              <w:t xml:space="preserve">Low-carbon electricity </w:t>
            </w:r>
            <w:r w:rsidR="00F44A43" w:rsidRPr="00F35942">
              <w:rPr>
                <w:color w:val="auto"/>
                <w:sz w:val="16"/>
                <w:szCs w:val="16"/>
              </w:rPr>
              <w:t>is achievable</w:t>
            </w:r>
            <w:r w:rsidRPr="00F35942">
              <w:rPr>
                <w:color w:val="auto"/>
                <w:sz w:val="16"/>
                <w:szCs w:val="16"/>
              </w:rPr>
              <w:t xml:space="preserve"> with modest cost </w:t>
            </w:r>
            <w:proofErr w:type="gramStart"/>
            <w:r w:rsidRPr="00F35942">
              <w:rPr>
                <w:color w:val="auto"/>
                <w:sz w:val="16"/>
                <w:szCs w:val="16"/>
              </w:rPr>
              <w:t>premiums</w:t>
            </w:r>
            <w:proofErr w:type="gramEnd"/>
            <w:r w:rsidRPr="00F35942">
              <w:rPr>
                <w:color w:val="auto"/>
                <w:sz w:val="16"/>
                <w:szCs w:val="16"/>
              </w:rPr>
              <w:t xml:space="preserve"> but net-zero is significantly more costly. In this study, investment in storage capacity is more critical than transmission expansion. Gas capacity continues to be used for reliability and reserve margins. Additionally, cost trends appear to shift towards capital investments under climate policy, away from operational costs.</w:t>
            </w:r>
          </w:p>
        </w:tc>
      </w:tr>
      <w:tr w:rsidR="00B0047D" w:rsidRPr="005C5AAA" w14:paraId="7F0BF948" w14:textId="77777777" w:rsidTr="00F35942">
        <w:trPr>
          <w:trHeight w:val="876"/>
        </w:trPr>
        <w:tc>
          <w:tcPr>
            <w:tcW w:w="715" w:type="dxa"/>
            <w:vAlign w:val="center"/>
          </w:tcPr>
          <w:p w14:paraId="554D7903" w14:textId="51711C02" w:rsidR="00B0047D" w:rsidRPr="00F35942" w:rsidRDefault="00F263CE" w:rsidP="00A67470">
            <w:pPr>
              <w:spacing w:before="0" w:after="0"/>
              <w:contextualSpacing/>
              <w:rPr>
                <w:color w:val="auto"/>
                <w:sz w:val="28"/>
                <w:szCs w:val="28"/>
              </w:rPr>
            </w:pPr>
            <w:r w:rsidRPr="00F35942">
              <w:rPr>
                <w:sz w:val="28"/>
                <w:szCs w:val="28"/>
                <w:vertAlign w:val="superscript"/>
              </w:rPr>
              <w:t>7</w:t>
            </w:r>
          </w:p>
        </w:tc>
        <w:tc>
          <w:tcPr>
            <w:tcW w:w="1170" w:type="dxa"/>
            <w:vAlign w:val="center"/>
          </w:tcPr>
          <w:p w14:paraId="18283D83" w14:textId="77777777" w:rsidR="00B0047D" w:rsidRPr="00F35942" w:rsidRDefault="00B0047D" w:rsidP="00A67470">
            <w:pPr>
              <w:spacing w:before="0" w:after="0"/>
              <w:contextualSpacing/>
              <w:rPr>
                <w:color w:val="auto"/>
                <w:sz w:val="16"/>
                <w:szCs w:val="16"/>
              </w:rPr>
            </w:pPr>
            <w:r w:rsidRPr="00F35942">
              <w:rPr>
                <w:color w:val="auto"/>
                <w:sz w:val="16"/>
                <w:szCs w:val="16"/>
              </w:rPr>
              <w:t xml:space="preserve">North America </w:t>
            </w:r>
          </w:p>
        </w:tc>
        <w:tc>
          <w:tcPr>
            <w:tcW w:w="2700" w:type="dxa"/>
            <w:vAlign w:val="center"/>
          </w:tcPr>
          <w:p w14:paraId="5ACC80C3" w14:textId="77777777" w:rsidR="00B0047D" w:rsidRPr="00F35942" w:rsidRDefault="00B0047D" w:rsidP="00A67470">
            <w:pPr>
              <w:spacing w:before="0" w:after="0"/>
              <w:contextualSpacing/>
              <w:rPr>
                <w:color w:val="auto"/>
                <w:sz w:val="16"/>
                <w:szCs w:val="16"/>
              </w:rPr>
            </w:pPr>
            <w:r w:rsidRPr="00F35942">
              <w:rPr>
                <w:color w:val="auto"/>
                <w:sz w:val="16"/>
                <w:szCs w:val="16"/>
              </w:rPr>
              <w:t xml:space="preserve">Comprehensive review </w:t>
            </w:r>
            <w:proofErr w:type="gramStart"/>
            <w:r w:rsidRPr="00F35942">
              <w:rPr>
                <w:color w:val="auto"/>
                <w:sz w:val="16"/>
                <w:szCs w:val="16"/>
              </w:rPr>
              <w:t>on</w:t>
            </w:r>
            <w:proofErr w:type="gramEnd"/>
            <w:r w:rsidRPr="00F35942">
              <w:rPr>
                <w:color w:val="auto"/>
                <w:sz w:val="16"/>
                <w:szCs w:val="16"/>
              </w:rPr>
              <w:t xml:space="preserve"> natural renewable resources in North America, and discussion of challenges and opportunities for developing them. </w:t>
            </w:r>
          </w:p>
        </w:tc>
        <w:tc>
          <w:tcPr>
            <w:tcW w:w="4703" w:type="dxa"/>
            <w:vAlign w:val="center"/>
          </w:tcPr>
          <w:p w14:paraId="72749F30" w14:textId="77777777" w:rsidR="00B0047D" w:rsidRPr="00F35942" w:rsidRDefault="00B0047D" w:rsidP="00A67470">
            <w:pPr>
              <w:spacing w:before="0" w:after="0"/>
              <w:contextualSpacing/>
              <w:rPr>
                <w:color w:val="auto"/>
                <w:sz w:val="16"/>
                <w:szCs w:val="16"/>
              </w:rPr>
            </w:pPr>
            <w:r w:rsidRPr="00F35942">
              <w:rPr>
                <w:color w:val="auto"/>
                <w:sz w:val="16"/>
                <w:szCs w:val="16"/>
              </w:rPr>
              <w:t>Highlights energy storage as a crucial component of a future renewables-heavy US electricity system.</w:t>
            </w:r>
          </w:p>
        </w:tc>
      </w:tr>
      <w:tr w:rsidR="00B0047D" w:rsidRPr="005C5AAA" w14:paraId="413F3C9B" w14:textId="77777777" w:rsidTr="00F35942">
        <w:trPr>
          <w:trHeight w:val="917"/>
        </w:trPr>
        <w:tc>
          <w:tcPr>
            <w:tcW w:w="715" w:type="dxa"/>
            <w:vAlign w:val="center"/>
          </w:tcPr>
          <w:p w14:paraId="0967414F" w14:textId="637512B3" w:rsidR="00B0047D" w:rsidRPr="00F35942" w:rsidRDefault="00F263CE" w:rsidP="00A67470">
            <w:pPr>
              <w:spacing w:before="0" w:after="0"/>
              <w:contextualSpacing/>
              <w:rPr>
                <w:color w:val="auto"/>
                <w:sz w:val="28"/>
                <w:szCs w:val="28"/>
              </w:rPr>
            </w:pPr>
            <w:r w:rsidRPr="00F35942">
              <w:rPr>
                <w:sz w:val="28"/>
                <w:szCs w:val="28"/>
                <w:vertAlign w:val="superscript"/>
              </w:rPr>
              <w:t>8</w:t>
            </w:r>
          </w:p>
        </w:tc>
        <w:tc>
          <w:tcPr>
            <w:tcW w:w="1170" w:type="dxa"/>
            <w:vAlign w:val="center"/>
          </w:tcPr>
          <w:p w14:paraId="59413ACE" w14:textId="77777777" w:rsidR="00B0047D" w:rsidRPr="00F35942" w:rsidRDefault="00B0047D" w:rsidP="00A67470">
            <w:pPr>
              <w:spacing w:before="0" w:after="0"/>
              <w:contextualSpacing/>
              <w:rPr>
                <w:color w:val="auto"/>
                <w:sz w:val="16"/>
                <w:szCs w:val="16"/>
              </w:rPr>
            </w:pPr>
            <w:r w:rsidRPr="00F35942">
              <w:rPr>
                <w:color w:val="auto"/>
                <w:sz w:val="16"/>
                <w:szCs w:val="16"/>
              </w:rPr>
              <w:t>North America (Northeastern)</w:t>
            </w:r>
          </w:p>
        </w:tc>
        <w:tc>
          <w:tcPr>
            <w:tcW w:w="2700" w:type="dxa"/>
            <w:vAlign w:val="center"/>
          </w:tcPr>
          <w:p w14:paraId="3679D923" w14:textId="77777777" w:rsidR="00B0047D" w:rsidRPr="00F35942" w:rsidRDefault="00B0047D" w:rsidP="00A67470">
            <w:pPr>
              <w:spacing w:before="0" w:after="0"/>
              <w:contextualSpacing/>
              <w:rPr>
                <w:color w:val="900A0A"/>
                <w:sz w:val="16"/>
                <w:szCs w:val="16"/>
              </w:rPr>
            </w:pPr>
            <w:r w:rsidRPr="00F35942">
              <w:rPr>
                <w:color w:val="auto"/>
                <w:sz w:val="16"/>
                <w:szCs w:val="16"/>
              </w:rPr>
              <w:t>Explores opportunities for decarbonization of Northeastern North American electricity system, using a capacity expansion / economic dispatch model.</w:t>
            </w:r>
          </w:p>
        </w:tc>
        <w:tc>
          <w:tcPr>
            <w:tcW w:w="4703" w:type="dxa"/>
            <w:vAlign w:val="center"/>
          </w:tcPr>
          <w:p w14:paraId="7B8BE78E" w14:textId="77777777" w:rsidR="00B0047D" w:rsidRPr="00F35942" w:rsidRDefault="00B0047D" w:rsidP="00A67470">
            <w:pPr>
              <w:spacing w:before="0" w:after="0"/>
              <w:contextualSpacing/>
              <w:rPr>
                <w:color w:val="auto"/>
                <w:sz w:val="16"/>
                <w:szCs w:val="16"/>
              </w:rPr>
            </w:pPr>
            <w:r w:rsidRPr="00F35942">
              <w:rPr>
                <w:color w:val="auto"/>
                <w:sz w:val="16"/>
                <w:szCs w:val="16"/>
              </w:rPr>
              <w:t>Transmission expansion can lower system costs and new capacity requirements, while the combination of transmission expansion and hydropower can complement higher shares of wind generation. As the level of decarbonization increases, so does the value of market integration. However, costs and benefits are unevenly distributed throughout the region.</w:t>
            </w:r>
          </w:p>
        </w:tc>
      </w:tr>
      <w:tr w:rsidR="00B0047D" w:rsidRPr="005C5AAA" w14:paraId="170F1D5E" w14:textId="77777777" w:rsidTr="00F35942">
        <w:trPr>
          <w:trHeight w:val="1056"/>
        </w:trPr>
        <w:tc>
          <w:tcPr>
            <w:tcW w:w="715" w:type="dxa"/>
            <w:vAlign w:val="center"/>
          </w:tcPr>
          <w:p w14:paraId="3204D044" w14:textId="360E4E26" w:rsidR="00B0047D" w:rsidRPr="00F35942" w:rsidRDefault="00F263CE" w:rsidP="00A67470">
            <w:pPr>
              <w:spacing w:before="0" w:after="0"/>
              <w:contextualSpacing/>
              <w:rPr>
                <w:color w:val="auto"/>
                <w:sz w:val="28"/>
                <w:szCs w:val="28"/>
              </w:rPr>
            </w:pPr>
            <w:r w:rsidRPr="00F35942">
              <w:rPr>
                <w:sz w:val="28"/>
                <w:szCs w:val="28"/>
                <w:vertAlign w:val="superscript"/>
              </w:rPr>
              <w:lastRenderedPageBreak/>
              <w:t>9</w:t>
            </w:r>
          </w:p>
        </w:tc>
        <w:tc>
          <w:tcPr>
            <w:tcW w:w="1170" w:type="dxa"/>
            <w:vAlign w:val="center"/>
          </w:tcPr>
          <w:p w14:paraId="7DB67EE4" w14:textId="77777777" w:rsidR="00B0047D" w:rsidRPr="00F35942" w:rsidRDefault="00B0047D" w:rsidP="00A67470">
            <w:pPr>
              <w:spacing w:before="0" w:after="0"/>
              <w:contextualSpacing/>
              <w:rPr>
                <w:color w:val="auto"/>
                <w:sz w:val="16"/>
                <w:szCs w:val="16"/>
              </w:rPr>
            </w:pPr>
            <w:r w:rsidRPr="00F35942">
              <w:rPr>
                <w:color w:val="auto"/>
                <w:sz w:val="16"/>
                <w:szCs w:val="16"/>
              </w:rPr>
              <w:t>Intercontinental</w:t>
            </w:r>
          </w:p>
        </w:tc>
        <w:tc>
          <w:tcPr>
            <w:tcW w:w="2700" w:type="dxa"/>
            <w:vAlign w:val="center"/>
          </w:tcPr>
          <w:p w14:paraId="5D2EE7E3" w14:textId="77777777" w:rsidR="00B0047D" w:rsidRPr="00F35942" w:rsidRDefault="00B0047D" w:rsidP="00A67470">
            <w:pPr>
              <w:spacing w:before="0" w:after="0"/>
              <w:contextualSpacing/>
              <w:rPr>
                <w:color w:val="900A0A"/>
                <w:sz w:val="16"/>
                <w:szCs w:val="16"/>
              </w:rPr>
            </w:pPr>
            <w:r w:rsidRPr="00F35942">
              <w:rPr>
                <w:color w:val="auto"/>
                <w:sz w:val="16"/>
                <w:szCs w:val="16"/>
              </w:rPr>
              <w:t>Global study exploring the possibility for intercontinental coordination of electricity systems and impacts on emissions, using an integrated assessment model.</w:t>
            </w:r>
          </w:p>
        </w:tc>
        <w:tc>
          <w:tcPr>
            <w:tcW w:w="4703" w:type="dxa"/>
            <w:vAlign w:val="center"/>
          </w:tcPr>
          <w:p w14:paraId="6B82E16E" w14:textId="77777777" w:rsidR="00B0047D" w:rsidRPr="00F35942" w:rsidRDefault="00B0047D" w:rsidP="00A67470">
            <w:pPr>
              <w:spacing w:before="0" w:after="0"/>
              <w:contextualSpacing/>
              <w:rPr>
                <w:color w:val="auto"/>
                <w:sz w:val="16"/>
                <w:szCs w:val="16"/>
              </w:rPr>
            </w:pPr>
            <w:r w:rsidRPr="00F35942">
              <w:rPr>
                <w:color w:val="auto"/>
                <w:sz w:val="16"/>
                <w:szCs w:val="16"/>
              </w:rPr>
              <w:t>More remote renewable resources could be accessed, enabling resource-limited countries to more efficiently decarbonize. Larger geographic scale leads to supply and demand smoothing, shared reserve margins, reduced reliance on storage technologies, and lower curtailments.</w:t>
            </w:r>
          </w:p>
        </w:tc>
      </w:tr>
      <w:tr w:rsidR="00B0047D" w:rsidRPr="005C5AAA" w14:paraId="7CC7C298" w14:textId="77777777" w:rsidTr="00F35942">
        <w:trPr>
          <w:trHeight w:val="1560"/>
        </w:trPr>
        <w:tc>
          <w:tcPr>
            <w:tcW w:w="715" w:type="dxa"/>
            <w:vAlign w:val="center"/>
          </w:tcPr>
          <w:p w14:paraId="39E661E9" w14:textId="1A866EA7" w:rsidR="00B0047D" w:rsidRPr="00F35942" w:rsidRDefault="00F263CE" w:rsidP="00A67470">
            <w:pPr>
              <w:spacing w:before="0" w:after="0"/>
              <w:contextualSpacing/>
              <w:rPr>
                <w:color w:val="auto"/>
                <w:sz w:val="28"/>
                <w:szCs w:val="28"/>
              </w:rPr>
            </w:pPr>
            <w:r w:rsidRPr="00F35942">
              <w:rPr>
                <w:sz w:val="28"/>
                <w:szCs w:val="28"/>
                <w:vertAlign w:val="superscript"/>
              </w:rPr>
              <w:t>10</w:t>
            </w:r>
          </w:p>
        </w:tc>
        <w:tc>
          <w:tcPr>
            <w:tcW w:w="1170" w:type="dxa"/>
            <w:vAlign w:val="center"/>
          </w:tcPr>
          <w:p w14:paraId="5646FB6A" w14:textId="77777777" w:rsidR="00B0047D" w:rsidRPr="00F35942" w:rsidRDefault="00B0047D" w:rsidP="00A67470">
            <w:pPr>
              <w:spacing w:before="0" w:after="0"/>
              <w:contextualSpacing/>
              <w:rPr>
                <w:color w:val="auto"/>
                <w:sz w:val="16"/>
                <w:szCs w:val="16"/>
              </w:rPr>
            </w:pPr>
            <w:r w:rsidRPr="00F35942">
              <w:rPr>
                <w:color w:val="auto"/>
                <w:sz w:val="16"/>
                <w:szCs w:val="16"/>
              </w:rPr>
              <w:t>Intercontinental</w:t>
            </w:r>
          </w:p>
        </w:tc>
        <w:tc>
          <w:tcPr>
            <w:tcW w:w="2700" w:type="dxa"/>
            <w:vAlign w:val="center"/>
          </w:tcPr>
          <w:p w14:paraId="7C27EE31" w14:textId="77777777" w:rsidR="00B0047D" w:rsidRPr="00F35942" w:rsidRDefault="00B0047D" w:rsidP="00A67470">
            <w:pPr>
              <w:spacing w:before="0" w:after="0"/>
              <w:contextualSpacing/>
              <w:rPr>
                <w:color w:val="auto"/>
                <w:sz w:val="16"/>
                <w:szCs w:val="16"/>
              </w:rPr>
            </w:pPr>
            <w:r w:rsidRPr="00F35942">
              <w:rPr>
                <w:color w:val="auto"/>
                <w:sz w:val="16"/>
                <w:szCs w:val="16"/>
              </w:rPr>
              <w:t>Global study analyzing the feasibility of intercontinental coordinated electricity systems to reduce system costs while satiating growing demand. Scenarios vary between country-level and intercontinental power pools as well as land constraints on renewables development.</w:t>
            </w:r>
          </w:p>
        </w:tc>
        <w:tc>
          <w:tcPr>
            <w:tcW w:w="4703" w:type="dxa"/>
            <w:vAlign w:val="center"/>
          </w:tcPr>
          <w:p w14:paraId="22E9C217" w14:textId="77777777" w:rsidR="00B0047D" w:rsidRPr="00F35942" w:rsidRDefault="00B0047D" w:rsidP="00A67470">
            <w:pPr>
              <w:spacing w:before="0" w:after="0"/>
              <w:contextualSpacing/>
              <w:rPr>
                <w:color w:val="auto"/>
                <w:sz w:val="16"/>
                <w:szCs w:val="16"/>
              </w:rPr>
            </w:pPr>
            <w:r w:rsidRPr="00F35942">
              <w:rPr>
                <w:color w:val="auto"/>
                <w:sz w:val="16"/>
                <w:szCs w:val="16"/>
              </w:rPr>
              <w:t>South America experiences among the lowest system costs even if suitable land sites are constrained, and among the highest reductions in cost when integrating into a larger power pool (due to lower requirements for solar PV and battery storage). International trade enables better balancing of intermittent renewables and load, and less need for backup fossil generation.</w:t>
            </w:r>
          </w:p>
        </w:tc>
      </w:tr>
    </w:tbl>
    <w:p w14:paraId="074EB30B" w14:textId="77777777" w:rsidR="002650A4" w:rsidRDefault="002650A4" w:rsidP="005760A4">
      <w:pPr>
        <w:pStyle w:val="Appendix"/>
      </w:pPr>
      <w:bookmarkStart w:id="11" w:name="_Ref179971691"/>
      <w:bookmarkStart w:id="12" w:name="_Toc180052166"/>
      <w:bookmarkStart w:id="13" w:name="_Toc194577041"/>
      <w:bookmarkStart w:id="14" w:name="_Ref179972008"/>
      <w:bookmarkStart w:id="15" w:name="_Toc180052165"/>
      <w:bookmarkStart w:id="16" w:name="_Toc176883499"/>
      <w:r>
        <w:lastRenderedPageBreak/>
        <w:t>Uncertainty and Resolution in Electricity System Models</w:t>
      </w:r>
      <w:bookmarkEnd w:id="11"/>
      <w:bookmarkEnd w:id="12"/>
      <w:bookmarkEnd w:id="13"/>
    </w:p>
    <w:p w14:paraId="71375B4D" w14:textId="4D7C797A" w:rsidR="002650A4" w:rsidRPr="00E656CB" w:rsidRDefault="002650A4" w:rsidP="002650A4">
      <w:r w:rsidRPr="00E656CB">
        <w:t>Effective long-term planning of bulk electric power systems undergoing a low-carbon transition represents complex, long-term infrastructure decision-making under deep uncertainty</w:t>
      </w:r>
      <w:r w:rsidR="00F263CE" w:rsidRPr="00F263CE">
        <w:rPr>
          <w:vertAlign w:val="superscript"/>
        </w:rPr>
        <w:t>35,36</w:t>
      </w:r>
      <w:r w:rsidRPr="00E656CB">
        <w:t>. Model-based decision support can aid policymakers in crafting more robust planning decisions in the face of this uncertainty</w:t>
      </w:r>
      <w:r w:rsidR="00F263CE" w:rsidRPr="00F263CE">
        <w:rPr>
          <w:vertAlign w:val="superscript"/>
        </w:rPr>
        <w:t>37</w:t>
      </w:r>
      <w:r w:rsidRPr="00E656CB">
        <w:t>. Electricity system models can vary widely in structure, resolution, assumptions, and the treatment of uncertainty, largely driven by the research question being addressed and the computational budget</w:t>
      </w:r>
      <w:r w:rsidR="00F263CE" w:rsidRPr="00F263CE">
        <w:rPr>
          <w:vertAlign w:val="superscript"/>
        </w:rPr>
        <w:t>38</w:t>
      </w:r>
      <w:r w:rsidRPr="00E656CB">
        <w:t>. Several existing reviews have documented and classified the evolution of these models</w:t>
      </w:r>
      <w:r w:rsidR="00F263CE" w:rsidRPr="00F263CE">
        <w:rPr>
          <w:vertAlign w:val="superscript"/>
        </w:rPr>
        <w:t>39–48</w:t>
      </w:r>
      <w:r w:rsidRPr="00E656CB">
        <w:t xml:space="preserve"> (for a summary, see</w:t>
      </w:r>
      <w:r w:rsidR="00BB5885">
        <w:t xml:space="preserve"> Table S</w:t>
      </w:r>
      <w:r w:rsidR="00BB5885">
        <w:rPr>
          <w:noProof/>
        </w:rPr>
        <w:t>2</w:t>
      </w:r>
      <w:r w:rsidRPr="00E656CB">
        <w:t>).</w:t>
      </w:r>
    </w:p>
    <w:p w14:paraId="73B67C8D" w14:textId="70BBDBB9" w:rsidR="002650A4" w:rsidRDefault="002650A4" w:rsidP="002650A4">
      <w:r w:rsidRPr="00DD636B">
        <w:t>Different types of uncertainty may be mitigated in modeling in a variety of ways</w:t>
      </w:r>
      <w:r w:rsidR="00F263CE" w:rsidRPr="00F263CE">
        <w:rPr>
          <w:vertAlign w:val="superscript"/>
        </w:rPr>
        <w:t>49</w:t>
      </w:r>
      <w:r w:rsidRPr="00DD636B">
        <w:t>. Electricity System Models can be augmented by increasing spatiotemporal resolution, as well as sectoral and operational detail, at the expense of increased computational burden</w:t>
      </w:r>
      <w:r w:rsidR="00F263CE" w:rsidRPr="00F263CE">
        <w:rPr>
          <w:vertAlign w:val="superscript"/>
        </w:rPr>
        <w:t>50–59</w:t>
      </w:r>
      <w:r w:rsidRPr="00DD636B">
        <w:t xml:space="preserve"> (for a summary, see</w:t>
      </w:r>
      <w:r w:rsidR="00BB5885">
        <w:t xml:space="preserve"> Table S</w:t>
      </w:r>
      <w:r w:rsidR="00BB5885">
        <w:rPr>
          <w:noProof/>
        </w:rPr>
        <w:t>3</w:t>
      </w:r>
      <w:r w:rsidRPr="00DD636B">
        <w:t xml:space="preserve">). Parametric </w:t>
      </w:r>
      <w:r w:rsidRPr="00F6566A">
        <w:t>and</w:t>
      </w:r>
      <w:r w:rsidRPr="00DD636B">
        <w:t xml:space="preserve"> sampling uncertainties have been incorporated and characterized through methods such as Sensitivity Analysis, Monte Carlo, Modeling to Generate Alternatives, Robust Optimization, and Scenario Discovery</w:t>
      </w:r>
      <w:r w:rsidR="00F263CE" w:rsidRPr="00F263CE">
        <w:rPr>
          <w:vertAlign w:val="superscript"/>
        </w:rPr>
        <w:t>60–64</w:t>
      </w:r>
      <w:r w:rsidRPr="00DD636B">
        <w:t>, to analyze the effects of, e.g., techno-economic parameters</w:t>
      </w:r>
      <w:r w:rsidR="00F263CE" w:rsidRPr="00F263CE">
        <w:rPr>
          <w:vertAlign w:val="superscript"/>
        </w:rPr>
        <w:t>60,65–67</w:t>
      </w:r>
      <w:r w:rsidRPr="00427E24">
        <w:rPr>
          <w:lang w:val="fr-FR"/>
        </w:rPr>
        <w:t xml:space="preserve">, </w:t>
      </w:r>
      <w:r w:rsidRPr="00B021E1">
        <w:t>resource potential</w:t>
      </w:r>
      <w:r w:rsidR="00F263CE" w:rsidRPr="00F263CE">
        <w:rPr>
          <w:vertAlign w:val="superscript"/>
        </w:rPr>
        <w:t>68–70</w:t>
      </w:r>
      <w:r w:rsidRPr="00DD636B">
        <w:t>, hydrometeorological variability</w:t>
      </w:r>
      <w:r w:rsidR="00F263CE" w:rsidRPr="00F263CE">
        <w:rPr>
          <w:vertAlign w:val="superscript"/>
        </w:rPr>
        <w:t>71,72</w:t>
      </w:r>
      <w:r w:rsidRPr="00DD636B">
        <w:t>, and policy scenario</w:t>
      </w:r>
      <w:r w:rsidR="00F263CE" w:rsidRPr="00F263CE">
        <w:rPr>
          <w:vertAlign w:val="superscript"/>
        </w:rPr>
        <w:t>20,73–75</w:t>
      </w:r>
      <w:r w:rsidRPr="00DD636B">
        <w:t xml:space="preserve">. </w:t>
      </w:r>
      <w:r>
        <w:t>However, the presence of deep uncertainty often precludes the use of probabilistic analyses in favor of exploratory modeling</w:t>
      </w:r>
      <w:r w:rsidR="00F263CE" w:rsidRPr="00F263CE">
        <w:rPr>
          <w:vertAlign w:val="superscript"/>
        </w:rPr>
        <w:t>76</w:t>
      </w:r>
      <w:r>
        <w:t xml:space="preserve">. </w:t>
      </w:r>
      <w:r w:rsidRPr="00DD636B">
        <w:t xml:space="preserve">For </w:t>
      </w:r>
      <w:r>
        <w:t>a summary</w:t>
      </w:r>
      <w:r w:rsidRPr="00DD636B">
        <w:t>, see</w:t>
      </w:r>
      <w:r w:rsidR="00BB5885">
        <w:t xml:space="preserve"> Table S</w:t>
      </w:r>
      <w:r w:rsidR="00BB5885">
        <w:rPr>
          <w:noProof/>
        </w:rPr>
        <w:t>4</w:t>
      </w:r>
      <w:r w:rsidRPr="00DD636B">
        <w:t>.</w:t>
      </w:r>
    </w:p>
    <w:p w14:paraId="48EB513C" w14:textId="32C2FE91" w:rsidR="002E2569" w:rsidRPr="009A6FA3" w:rsidRDefault="002650A4" w:rsidP="002E2569">
      <w:r>
        <w:t>Techno-economic characteristics in modeling are generally informed by scenarios of future projections, and can have a substantial impact on model outcomes; favorable cost projections of one technology relative to another can affect, e.g., the choice of intermittent renewable technology to deploy, the pace of fossil fuel phaseout, or the required deployment of battery storage</w:t>
      </w:r>
      <w:r w:rsidR="00F263CE" w:rsidRPr="00F263CE">
        <w:rPr>
          <w:vertAlign w:val="superscript"/>
        </w:rPr>
        <w:t>65</w:t>
      </w:r>
      <w:r>
        <w:t>. However, these cost forecasts are deeply uncertain predictions of average representative technology types, often without regard to location, and are constantly updated with newly available data. Optimizing capacity expansion under varying technology costs can result in relatively modest differences in total system-wide costs, but the resulting generation mix may be highly variable, especially in individual subregions</w:t>
      </w:r>
      <w:r w:rsidR="00F263CE" w:rsidRPr="00F263CE">
        <w:rPr>
          <w:vertAlign w:val="superscript"/>
        </w:rPr>
        <w:t>77–79</w:t>
      </w:r>
      <w:r>
        <w:t>. Because of this spatial variation in technology deployment, trade dynamics throughout the system can also change, as the model works to minimize the cost premium. In regions with minimal cross-border transmission capacity and non-cooperative infrastructure decisions, deep techno-economic uncertainty can imbue substantial risk in electricity decarbonization investments for individual countries.</w:t>
      </w:r>
      <w:r w:rsidR="002E2569">
        <w:br w:type="page"/>
      </w:r>
    </w:p>
    <w:p w14:paraId="71710A81" w14:textId="77777777" w:rsidR="006258A9" w:rsidRPr="006258A9" w:rsidRDefault="00BB5885" w:rsidP="00BB5885">
      <w:pPr>
        <w:pStyle w:val="TableCaption"/>
        <w:rPr>
          <w:noProof/>
          <w:vanish/>
          <w:specVanish/>
        </w:rPr>
      </w:pPr>
      <w:bookmarkStart w:id="17" w:name="_Ref193960722"/>
      <w:bookmarkStart w:id="18" w:name="_Toc194577048"/>
      <w:bookmarkStart w:id="19" w:name="_Toc194575608"/>
      <w:r>
        <w:lastRenderedPageBreak/>
        <w:t>Table S</w:t>
      </w:r>
      <w:r w:rsidR="00237128">
        <w:rPr>
          <w:noProof/>
        </w:rPr>
        <w:t>2</w:t>
      </w:r>
      <w:bookmarkEnd w:id="17"/>
      <w:bookmarkEnd w:id="18"/>
    </w:p>
    <w:p w14:paraId="1EE9FDC9" w14:textId="30F038F0" w:rsidR="002650A4" w:rsidRPr="00B0047D" w:rsidRDefault="002650A4" w:rsidP="006258A9">
      <w:pPr>
        <w:pStyle w:val="Style3"/>
      </w:pPr>
      <w:r>
        <w:t>: List of (chronological) review articles covering long-term energy systems planning models for decision support that focus on the electricity sector in the 21</w:t>
      </w:r>
      <w:r w:rsidRPr="00E57DBB">
        <w:t>st</w:t>
      </w:r>
      <w:r>
        <w:t xml:space="preserve"> century, highlighting the various challenges, opportunities, tradeoffs, and best practices for the research space as it evolves over time.</w:t>
      </w:r>
      <w:bookmarkEnd w:id="19"/>
    </w:p>
    <w:tbl>
      <w:tblPr>
        <w:tblStyle w:val="TableGrid"/>
        <w:tblW w:w="4921" w:type="pct"/>
        <w:tblInd w:w="85" w:type="dxa"/>
        <w:tblCellMar>
          <w:left w:w="58" w:type="dxa"/>
          <w:right w:w="58" w:type="dxa"/>
        </w:tblCellMar>
        <w:tblLook w:val="04A0" w:firstRow="1" w:lastRow="0" w:firstColumn="1" w:lastColumn="0" w:noHBand="0" w:noVBand="1"/>
      </w:tblPr>
      <w:tblGrid>
        <w:gridCol w:w="1620"/>
        <w:gridCol w:w="2340"/>
        <w:gridCol w:w="5242"/>
      </w:tblGrid>
      <w:tr w:rsidR="002650A4" w:rsidRPr="005C5AAA" w14:paraId="3EC69B88" w14:textId="77777777" w:rsidTr="008876F2">
        <w:tc>
          <w:tcPr>
            <w:tcW w:w="1620" w:type="dxa"/>
            <w:vAlign w:val="center"/>
          </w:tcPr>
          <w:p w14:paraId="11B9D294" w14:textId="77777777" w:rsidR="002650A4" w:rsidRPr="00212BB3" w:rsidRDefault="002650A4" w:rsidP="001A1ECD">
            <w:pPr>
              <w:spacing w:before="0" w:after="0"/>
              <w:contextualSpacing/>
              <w:jc w:val="center"/>
              <w:rPr>
                <w:b/>
                <w:bCs/>
                <w:sz w:val="20"/>
                <w:szCs w:val="20"/>
              </w:rPr>
            </w:pPr>
            <w:r w:rsidRPr="00212BB3">
              <w:rPr>
                <w:b/>
                <w:bCs/>
                <w:sz w:val="20"/>
                <w:szCs w:val="20"/>
              </w:rPr>
              <w:t>Ref.</w:t>
            </w:r>
          </w:p>
        </w:tc>
        <w:tc>
          <w:tcPr>
            <w:tcW w:w="2340" w:type="dxa"/>
            <w:vAlign w:val="center"/>
          </w:tcPr>
          <w:p w14:paraId="20D020FA" w14:textId="77777777" w:rsidR="002650A4" w:rsidRPr="00212BB3" w:rsidRDefault="002650A4" w:rsidP="001A1ECD">
            <w:pPr>
              <w:spacing w:before="0" w:after="0"/>
              <w:contextualSpacing/>
              <w:jc w:val="center"/>
              <w:rPr>
                <w:b/>
                <w:bCs/>
                <w:sz w:val="20"/>
                <w:szCs w:val="20"/>
              </w:rPr>
            </w:pPr>
            <w:r w:rsidRPr="00212BB3">
              <w:rPr>
                <w:b/>
                <w:bCs/>
                <w:sz w:val="20"/>
                <w:szCs w:val="20"/>
              </w:rPr>
              <w:t>Subject of Review</w:t>
            </w:r>
          </w:p>
        </w:tc>
        <w:tc>
          <w:tcPr>
            <w:tcW w:w="5242" w:type="dxa"/>
            <w:vAlign w:val="center"/>
          </w:tcPr>
          <w:p w14:paraId="6B8DECE9" w14:textId="77777777" w:rsidR="002650A4" w:rsidRPr="00212BB3" w:rsidRDefault="002650A4" w:rsidP="001A1ECD">
            <w:pPr>
              <w:spacing w:before="0" w:after="0"/>
              <w:contextualSpacing/>
              <w:jc w:val="center"/>
              <w:rPr>
                <w:b/>
                <w:bCs/>
                <w:sz w:val="20"/>
                <w:szCs w:val="20"/>
              </w:rPr>
            </w:pPr>
            <w:r w:rsidRPr="00212BB3">
              <w:rPr>
                <w:b/>
                <w:bCs/>
                <w:sz w:val="20"/>
                <w:szCs w:val="20"/>
              </w:rPr>
              <w:t>Description</w:t>
            </w:r>
          </w:p>
        </w:tc>
      </w:tr>
      <w:tr w:rsidR="002650A4" w:rsidRPr="005C5AAA" w14:paraId="0464CC38" w14:textId="77777777" w:rsidTr="008876F2">
        <w:trPr>
          <w:trHeight w:val="1025"/>
        </w:trPr>
        <w:tc>
          <w:tcPr>
            <w:tcW w:w="1620" w:type="dxa"/>
            <w:vAlign w:val="center"/>
          </w:tcPr>
          <w:p w14:paraId="64499808" w14:textId="65264608" w:rsidR="002650A4" w:rsidRPr="00F35942" w:rsidRDefault="00F263CE" w:rsidP="001A1ECD">
            <w:pPr>
              <w:spacing w:before="0" w:after="0"/>
              <w:contextualSpacing/>
              <w:rPr>
                <w:sz w:val="28"/>
                <w:szCs w:val="36"/>
              </w:rPr>
            </w:pPr>
            <w:r w:rsidRPr="00F35942">
              <w:rPr>
                <w:sz w:val="28"/>
                <w:szCs w:val="36"/>
                <w:vertAlign w:val="superscript"/>
              </w:rPr>
              <w:t>48</w:t>
            </w:r>
          </w:p>
        </w:tc>
        <w:tc>
          <w:tcPr>
            <w:tcW w:w="2340" w:type="dxa"/>
            <w:vAlign w:val="center"/>
          </w:tcPr>
          <w:p w14:paraId="765A4CC2" w14:textId="77777777" w:rsidR="002650A4" w:rsidRPr="00212BB3" w:rsidRDefault="002650A4" w:rsidP="001A1ECD">
            <w:pPr>
              <w:spacing w:before="0" w:after="0"/>
              <w:contextualSpacing/>
              <w:rPr>
                <w:sz w:val="20"/>
                <w:szCs w:val="20"/>
              </w:rPr>
            </w:pPr>
            <w:r w:rsidRPr="00212BB3">
              <w:rPr>
                <w:sz w:val="20"/>
                <w:szCs w:val="20"/>
              </w:rPr>
              <w:t>Optimization modeling techniques</w:t>
            </w:r>
          </w:p>
        </w:tc>
        <w:tc>
          <w:tcPr>
            <w:tcW w:w="5242" w:type="dxa"/>
            <w:vAlign w:val="center"/>
          </w:tcPr>
          <w:p w14:paraId="013FB73A" w14:textId="77777777" w:rsidR="002650A4" w:rsidRPr="00212BB3" w:rsidRDefault="002650A4" w:rsidP="001A1ECD">
            <w:pPr>
              <w:spacing w:before="0" w:after="0"/>
              <w:contextualSpacing/>
              <w:rPr>
                <w:sz w:val="20"/>
                <w:szCs w:val="20"/>
              </w:rPr>
            </w:pPr>
            <w:r>
              <w:rPr>
                <w:sz w:val="20"/>
                <w:szCs w:val="20"/>
              </w:rPr>
              <w:t>O</w:t>
            </w:r>
            <w:r w:rsidRPr="00212BB3">
              <w:rPr>
                <w:sz w:val="20"/>
                <w:szCs w:val="20"/>
              </w:rPr>
              <w:t>ptimization approaches for energy systems planning under climate mitigation, from deterministic to fuzzy and stochastic, including a discussion of model-based decision support</w:t>
            </w:r>
          </w:p>
        </w:tc>
      </w:tr>
      <w:tr w:rsidR="002650A4" w:rsidRPr="005C5AAA" w14:paraId="0E5AA46C" w14:textId="77777777" w:rsidTr="008876F2">
        <w:trPr>
          <w:trHeight w:val="800"/>
        </w:trPr>
        <w:tc>
          <w:tcPr>
            <w:tcW w:w="1620" w:type="dxa"/>
            <w:vAlign w:val="center"/>
          </w:tcPr>
          <w:p w14:paraId="29FB30E6" w14:textId="0343E67C" w:rsidR="002650A4" w:rsidRPr="00F35942" w:rsidRDefault="00F263CE" w:rsidP="001A1ECD">
            <w:pPr>
              <w:spacing w:before="0" w:after="0"/>
              <w:contextualSpacing/>
              <w:rPr>
                <w:sz w:val="28"/>
                <w:szCs w:val="36"/>
              </w:rPr>
            </w:pPr>
            <w:r w:rsidRPr="00F35942">
              <w:rPr>
                <w:sz w:val="28"/>
                <w:szCs w:val="36"/>
                <w:vertAlign w:val="superscript"/>
              </w:rPr>
              <w:t>47</w:t>
            </w:r>
          </w:p>
        </w:tc>
        <w:tc>
          <w:tcPr>
            <w:tcW w:w="2340" w:type="dxa"/>
            <w:vAlign w:val="center"/>
          </w:tcPr>
          <w:p w14:paraId="248FC181" w14:textId="77777777" w:rsidR="002650A4" w:rsidRPr="00212BB3" w:rsidRDefault="002650A4" w:rsidP="001A1ECD">
            <w:pPr>
              <w:spacing w:before="0" w:after="0"/>
              <w:contextualSpacing/>
              <w:rPr>
                <w:sz w:val="20"/>
                <w:szCs w:val="20"/>
              </w:rPr>
            </w:pPr>
            <w:r w:rsidRPr="00212BB3">
              <w:rPr>
                <w:sz w:val="20"/>
                <w:szCs w:val="20"/>
              </w:rPr>
              <w:t>Uncertainty modeling techniques</w:t>
            </w:r>
          </w:p>
        </w:tc>
        <w:tc>
          <w:tcPr>
            <w:tcW w:w="5242" w:type="dxa"/>
            <w:vAlign w:val="center"/>
          </w:tcPr>
          <w:p w14:paraId="39FF332A" w14:textId="77777777" w:rsidR="002650A4" w:rsidRPr="00212BB3" w:rsidRDefault="002650A4" w:rsidP="001A1ECD">
            <w:pPr>
              <w:spacing w:before="0" w:after="0"/>
              <w:contextualSpacing/>
              <w:rPr>
                <w:sz w:val="20"/>
                <w:szCs w:val="20"/>
              </w:rPr>
            </w:pPr>
            <w:r>
              <w:rPr>
                <w:sz w:val="20"/>
                <w:szCs w:val="20"/>
              </w:rPr>
              <w:t>A</w:t>
            </w:r>
            <w:r w:rsidRPr="00212BB3">
              <w:rPr>
                <w:sz w:val="20"/>
                <w:szCs w:val="20"/>
              </w:rPr>
              <w:t>pproaches to modeling under uncertainty and their applications</w:t>
            </w:r>
            <w:r>
              <w:rPr>
                <w:sz w:val="20"/>
                <w:szCs w:val="20"/>
              </w:rPr>
              <w:t xml:space="preserve">; </w:t>
            </w:r>
            <w:r w:rsidRPr="00212BB3">
              <w:rPr>
                <w:sz w:val="20"/>
                <w:szCs w:val="20"/>
              </w:rPr>
              <w:t>proposed classification of uncertainties in power system modeling</w:t>
            </w:r>
          </w:p>
        </w:tc>
      </w:tr>
      <w:tr w:rsidR="002650A4" w:rsidRPr="005C5AAA" w14:paraId="5578CAE3" w14:textId="77777777" w:rsidTr="008876F2">
        <w:trPr>
          <w:trHeight w:val="890"/>
        </w:trPr>
        <w:tc>
          <w:tcPr>
            <w:tcW w:w="1620" w:type="dxa"/>
            <w:vAlign w:val="center"/>
          </w:tcPr>
          <w:p w14:paraId="46626A0C" w14:textId="3E32B5D8" w:rsidR="002650A4" w:rsidRPr="00F35942" w:rsidRDefault="00F263CE" w:rsidP="001A1ECD">
            <w:pPr>
              <w:spacing w:before="0" w:after="0"/>
              <w:contextualSpacing/>
              <w:rPr>
                <w:sz w:val="28"/>
                <w:szCs w:val="36"/>
              </w:rPr>
            </w:pPr>
            <w:r w:rsidRPr="00F35942">
              <w:rPr>
                <w:sz w:val="28"/>
                <w:szCs w:val="36"/>
                <w:vertAlign w:val="superscript"/>
              </w:rPr>
              <w:t>41</w:t>
            </w:r>
          </w:p>
        </w:tc>
        <w:tc>
          <w:tcPr>
            <w:tcW w:w="2340" w:type="dxa"/>
            <w:vAlign w:val="center"/>
          </w:tcPr>
          <w:p w14:paraId="488B2BA5" w14:textId="77777777" w:rsidR="002650A4" w:rsidRPr="00212BB3" w:rsidRDefault="002650A4" w:rsidP="001A1ECD">
            <w:pPr>
              <w:spacing w:before="0" w:after="0"/>
              <w:contextualSpacing/>
              <w:rPr>
                <w:sz w:val="20"/>
                <w:szCs w:val="20"/>
              </w:rPr>
            </w:pPr>
            <w:r w:rsidRPr="00212BB3">
              <w:rPr>
                <w:sz w:val="20"/>
                <w:szCs w:val="20"/>
              </w:rPr>
              <w:t>Comparison of model types</w:t>
            </w:r>
          </w:p>
        </w:tc>
        <w:tc>
          <w:tcPr>
            <w:tcW w:w="5242" w:type="dxa"/>
            <w:vAlign w:val="center"/>
          </w:tcPr>
          <w:p w14:paraId="1E163841" w14:textId="77777777" w:rsidR="002650A4" w:rsidRPr="00212BB3" w:rsidRDefault="002650A4" w:rsidP="001A1ECD">
            <w:pPr>
              <w:spacing w:before="0" w:after="0"/>
              <w:contextualSpacing/>
              <w:rPr>
                <w:sz w:val="20"/>
                <w:szCs w:val="20"/>
              </w:rPr>
            </w:pPr>
            <w:r>
              <w:rPr>
                <w:sz w:val="20"/>
                <w:szCs w:val="20"/>
              </w:rPr>
              <w:t>L</w:t>
            </w:r>
            <w:r w:rsidRPr="00212BB3">
              <w:rPr>
                <w:sz w:val="20"/>
                <w:szCs w:val="20"/>
              </w:rPr>
              <w:t>ong-term energy model types and their relative advantages or disadvantages, in order to select the most appropriate model in a given application</w:t>
            </w:r>
          </w:p>
        </w:tc>
      </w:tr>
      <w:tr w:rsidR="002650A4" w:rsidRPr="005C5AAA" w14:paraId="764CEC54" w14:textId="77777777" w:rsidTr="008876F2">
        <w:trPr>
          <w:trHeight w:val="800"/>
        </w:trPr>
        <w:tc>
          <w:tcPr>
            <w:tcW w:w="1620" w:type="dxa"/>
            <w:vAlign w:val="center"/>
          </w:tcPr>
          <w:p w14:paraId="160C45ED" w14:textId="3491728F" w:rsidR="002650A4" w:rsidRPr="00F35942" w:rsidRDefault="00F263CE" w:rsidP="001A1ECD">
            <w:pPr>
              <w:spacing w:before="0" w:after="0"/>
              <w:contextualSpacing/>
              <w:rPr>
                <w:sz w:val="28"/>
                <w:szCs w:val="36"/>
              </w:rPr>
            </w:pPr>
            <w:r w:rsidRPr="00F35942">
              <w:rPr>
                <w:sz w:val="28"/>
                <w:szCs w:val="36"/>
                <w:vertAlign w:val="superscript"/>
              </w:rPr>
              <w:t>39</w:t>
            </w:r>
          </w:p>
        </w:tc>
        <w:tc>
          <w:tcPr>
            <w:tcW w:w="2340" w:type="dxa"/>
            <w:vAlign w:val="center"/>
          </w:tcPr>
          <w:p w14:paraId="6FE3584E" w14:textId="77777777" w:rsidR="002650A4" w:rsidRPr="00212BB3" w:rsidRDefault="002650A4" w:rsidP="001A1ECD">
            <w:pPr>
              <w:spacing w:before="0" w:after="0"/>
              <w:contextualSpacing/>
              <w:rPr>
                <w:sz w:val="20"/>
                <w:szCs w:val="20"/>
              </w:rPr>
            </w:pPr>
            <w:r w:rsidRPr="00212BB3">
              <w:rPr>
                <w:sz w:val="20"/>
                <w:szCs w:val="20"/>
              </w:rPr>
              <w:t>Capacity expansion modeling with high renewables shares</w:t>
            </w:r>
          </w:p>
        </w:tc>
        <w:tc>
          <w:tcPr>
            <w:tcW w:w="5242" w:type="dxa"/>
            <w:vAlign w:val="center"/>
          </w:tcPr>
          <w:p w14:paraId="7FBFA5EA" w14:textId="77777777" w:rsidR="002650A4" w:rsidRPr="00212BB3" w:rsidRDefault="002650A4" w:rsidP="001A1ECD">
            <w:pPr>
              <w:spacing w:before="0" w:after="0"/>
              <w:contextualSpacing/>
              <w:rPr>
                <w:sz w:val="20"/>
                <w:szCs w:val="20"/>
              </w:rPr>
            </w:pPr>
            <w:r w:rsidRPr="00212BB3">
              <w:rPr>
                <w:sz w:val="20"/>
                <w:szCs w:val="20"/>
              </w:rPr>
              <w:t>NREL report summarizing specific experiences modeling capacity expansion with high levels of renewables, primarily with the use of ReEDS</w:t>
            </w:r>
          </w:p>
        </w:tc>
      </w:tr>
      <w:tr w:rsidR="002650A4" w:rsidRPr="005C5AAA" w14:paraId="04F3F6EC" w14:textId="77777777" w:rsidTr="008876F2">
        <w:trPr>
          <w:trHeight w:val="890"/>
        </w:trPr>
        <w:tc>
          <w:tcPr>
            <w:tcW w:w="1620" w:type="dxa"/>
            <w:vAlign w:val="center"/>
          </w:tcPr>
          <w:p w14:paraId="00134922" w14:textId="5E5ACB7C" w:rsidR="002650A4" w:rsidRPr="00F35942" w:rsidRDefault="00F263CE" w:rsidP="001A1ECD">
            <w:pPr>
              <w:spacing w:before="0" w:after="0"/>
              <w:contextualSpacing/>
              <w:rPr>
                <w:sz w:val="28"/>
                <w:szCs w:val="36"/>
              </w:rPr>
            </w:pPr>
            <w:r w:rsidRPr="00F35942">
              <w:rPr>
                <w:sz w:val="28"/>
                <w:szCs w:val="36"/>
                <w:vertAlign w:val="superscript"/>
              </w:rPr>
              <w:t>38</w:t>
            </w:r>
          </w:p>
        </w:tc>
        <w:tc>
          <w:tcPr>
            <w:tcW w:w="2340" w:type="dxa"/>
            <w:vAlign w:val="center"/>
          </w:tcPr>
          <w:p w14:paraId="7EE93F24" w14:textId="77777777" w:rsidR="002650A4" w:rsidRPr="00212BB3" w:rsidRDefault="002650A4" w:rsidP="001A1ECD">
            <w:pPr>
              <w:spacing w:before="0" w:after="0"/>
              <w:contextualSpacing/>
              <w:rPr>
                <w:sz w:val="20"/>
                <w:szCs w:val="20"/>
              </w:rPr>
            </w:pPr>
            <w:r w:rsidRPr="00212BB3">
              <w:rPr>
                <w:sz w:val="20"/>
                <w:szCs w:val="20"/>
              </w:rPr>
              <w:t>Best practices for modelers</w:t>
            </w:r>
          </w:p>
        </w:tc>
        <w:tc>
          <w:tcPr>
            <w:tcW w:w="5242" w:type="dxa"/>
            <w:vAlign w:val="center"/>
          </w:tcPr>
          <w:p w14:paraId="55284535" w14:textId="77777777" w:rsidR="002650A4" w:rsidRPr="00212BB3" w:rsidRDefault="002650A4" w:rsidP="001A1ECD">
            <w:pPr>
              <w:spacing w:before="0" w:after="0"/>
              <w:contextualSpacing/>
              <w:rPr>
                <w:sz w:val="20"/>
                <w:szCs w:val="20"/>
              </w:rPr>
            </w:pPr>
            <w:r w:rsidRPr="00212BB3">
              <w:rPr>
                <w:sz w:val="20"/>
                <w:szCs w:val="20"/>
              </w:rPr>
              <w:t>Literature review to support creation of guidelines for energy system modeling, includes discussion of model features and treatment of uncertainty</w:t>
            </w:r>
          </w:p>
        </w:tc>
      </w:tr>
      <w:tr w:rsidR="002650A4" w:rsidRPr="005C5AAA" w14:paraId="5CE5D464" w14:textId="77777777" w:rsidTr="008876F2">
        <w:trPr>
          <w:trHeight w:val="800"/>
        </w:trPr>
        <w:tc>
          <w:tcPr>
            <w:tcW w:w="1620" w:type="dxa"/>
            <w:vAlign w:val="center"/>
          </w:tcPr>
          <w:p w14:paraId="1E546818" w14:textId="3B3B2D65" w:rsidR="002650A4" w:rsidRPr="00F35942" w:rsidRDefault="00F263CE" w:rsidP="001A1ECD">
            <w:pPr>
              <w:spacing w:before="0" w:after="0"/>
              <w:contextualSpacing/>
              <w:rPr>
                <w:sz w:val="28"/>
                <w:szCs w:val="36"/>
              </w:rPr>
            </w:pPr>
            <w:r w:rsidRPr="00F35942">
              <w:rPr>
                <w:sz w:val="28"/>
                <w:szCs w:val="36"/>
                <w:vertAlign w:val="superscript"/>
              </w:rPr>
              <w:t>43</w:t>
            </w:r>
          </w:p>
        </w:tc>
        <w:tc>
          <w:tcPr>
            <w:tcW w:w="2340" w:type="dxa"/>
            <w:vAlign w:val="center"/>
          </w:tcPr>
          <w:p w14:paraId="272A2894" w14:textId="77777777" w:rsidR="002650A4" w:rsidRPr="00212BB3" w:rsidRDefault="002650A4" w:rsidP="001A1ECD">
            <w:pPr>
              <w:spacing w:before="0" w:after="0"/>
              <w:contextualSpacing/>
              <w:rPr>
                <w:sz w:val="20"/>
                <w:szCs w:val="20"/>
              </w:rPr>
            </w:pPr>
            <w:r w:rsidRPr="00212BB3">
              <w:rPr>
                <w:sz w:val="20"/>
                <w:szCs w:val="20"/>
              </w:rPr>
              <w:t>Uncertainty modeling techniques</w:t>
            </w:r>
          </w:p>
        </w:tc>
        <w:tc>
          <w:tcPr>
            <w:tcW w:w="5242" w:type="dxa"/>
            <w:vAlign w:val="center"/>
          </w:tcPr>
          <w:p w14:paraId="176370A9" w14:textId="77777777" w:rsidR="002650A4" w:rsidRPr="00212BB3" w:rsidRDefault="002650A4" w:rsidP="001A1ECD">
            <w:pPr>
              <w:spacing w:before="0" w:after="0"/>
              <w:contextualSpacing/>
              <w:rPr>
                <w:sz w:val="20"/>
                <w:szCs w:val="20"/>
              </w:rPr>
            </w:pPr>
            <w:r>
              <w:rPr>
                <w:sz w:val="20"/>
                <w:szCs w:val="20"/>
              </w:rPr>
              <w:t>C</w:t>
            </w:r>
            <w:r w:rsidRPr="00212BB3">
              <w:rPr>
                <w:sz w:val="20"/>
                <w:szCs w:val="20"/>
              </w:rPr>
              <w:t>omparison of methods to analyze risk and uncertainty in energy systems with high renewables shares</w:t>
            </w:r>
          </w:p>
        </w:tc>
      </w:tr>
      <w:tr w:rsidR="002650A4" w:rsidRPr="005C5AAA" w14:paraId="4B60AB03" w14:textId="77777777" w:rsidTr="008876F2">
        <w:trPr>
          <w:trHeight w:val="890"/>
        </w:trPr>
        <w:tc>
          <w:tcPr>
            <w:tcW w:w="1620" w:type="dxa"/>
            <w:vAlign w:val="center"/>
          </w:tcPr>
          <w:p w14:paraId="7811E7BA" w14:textId="798E3AFC" w:rsidR="002650A4" w:rsidRPr="00F35942" w:rsidRDefault="00F263CE" w:rsidP="001A1ECD">
            <w:pPr>
              <w:spacing w:before="0" w:after="0"/>
              <w:contextualSpacing/>
              <w:rPr>
                <w:sz w:val="28"/>
                <w:szCs w:val="36"/>
              </w:rPr>
            </w:pPr>
            <w:r w:rsidRPr="00F35942">
              <w:rPr>
                <w:sz w:val="28"/>
                <w:szCs w:val="36"/>
                <w:vertAlign w:val="superscript"/>
              </w:rPr>
              <w:t>46</w:t>
            </w:r>
          </w:p>
        </w:tc>
        <w:tc>
          <w:tcPr>
            <w:tcW w:w="2340" w:type="dxa"/>
            <w:vAlign w:val="center"/>
          </w:tcPr>
          <w:p w14:paraId="61F3BDE2" w14:textId="77777777" w:rsidR="002650A4" w:rsidRPr="00212BB3" w:rsidRDefault="002650A4" w:rsidP="001A1ECD">
            <w:pPr>
              <w:spacing w:before="0" w:after="0"/>
              <w:contextualSpacing/>
              <w:rPr>
                <w:sz w:val="20"/>
                <w:szCs w:val="20"/>
              </w:rPr>
            </w:pPr>
            <w:r w:rsidRPr="00212BB3">
              <w:rPr>
                <w:sz w:val="20"/>
                <w:szCs w:val="20"/>
              </w:rPr>
              <w:t>Capacity expansion modeling with high renewables shares</w:t>
            </w:r>
          </w:p>
        </w:tc>
        <w:tc>
          <w:tcPr>
            <w:tcW w:w="5242" w:type="dxa"/>
            <w:vAlign w:val="center"/>
          </w:tcPr>
          <w:p w14:paraId="5EC875EB" w14:textId="77777777" w:rsidR="002650A4" w:rsidRPr="00212BB3" w:rsidRDefault="002650A4" w:rsidP="001A1ECD">
            <w:pPr>
              <w:spacing w:before="0" w:after="0"/>
              <w:contextualSpacing/>
              <w:rPr>
                <w:sz w:val="20"/>
                <w:szCs w:val="20"/>
              </w:rPr>
            </w:pPr>
            <w:r w:rsidRPr="00212BB3">
              <w:rPr>
                <w:sz w:val="20"/>
                <w:szCs w:val="20"/>
              </w:rPr>
              <w:t>Literature review on designing/operating grids with large amounts of wind and solar</w:t>
            </w:r>
            <w:r>
              <w:rPr>
                <w:sz w:val="20"/>
                <w:szCs w:val="20"/>
              </w:rPr>
              <w:t>;</w:t>
            </w:r>
            <w:r w:rsidRPr="00212BB3">
              <w:rPr>
                <w:sz w:val="20"/>
                <w:szCs w:val="20"/>
              </w:rPr>
              <w:t xml:space="preserve"> case study for the UK</w:t>
            </w:r>
          </w:p>
        </w:tc>
      </w:tr>
      <w:tr w:rsidR="002650A4" w:rsidRPr="005C5AAA" w14:paraId="08B5DDED" w14:textId="77777777" w:rsidTr="008876F2">
        <w:trPr>
          <w:trHeight w:val="890"/>
        </w:trPr>
        <w:tc>
          <w:tcPr>
            <w:tcW w:w="1620" w:type="dxa"/>
            <w:vAlign w:val="center"/>
          </w:tcPr>
          <w:p w14:paraId="568D687B" w14:textId="36E2B6F0" w:rsidR="002650A4" w:rsidRPr="00F35942" w:rsidRDefault="00F263CE" w:rsidP="001A1ECD">
            <w:pPr>
              <w:spacing w:before="0" w:after="0"/>
              <w:contextualSpacing/>
              <w:rPr>
                <w:sz w:val="28"/>
                <w:szCs w:val="36"/>
              </w:rPr>
            </w:pPr>
            <w:r w:rsidRPr="00F35942">
              <w:rPr>
                <w:sz w:val="28"/>
                <w:szCs w:val="36"/>
                <w:vertAlign w:val="superscript"/>
              </w:rPr>
              <w:t>45</w:t>
            </w:r>
          </w:p>
        </w:tc>
        <w:tc>
          <w:tcPr>
            <w:tcW w:w="2340" w:type="dxa"/>
            <w:vAlign w:val="center"/>
          </w:tcPr>
          <w:p w14:paraId="09EE2116" w14:textId="77777777" w:rsidR="002650A4" w:rsidRPr="00212BB3" w:rsidRDefault="002650A4" w:rsidP="001A1ECD">
            <w:pPr>
              <w:spacing w:before="0" w:after="0"/>
              <w:contextualSpacing/>
              <w:rPr>
                <w:sz w:val="20"/>
                <w:szCs w:val="20"/>
              </w:rPr>
            </w:pPr>
            <w:r w:rsidRPr="00212BB3">
              <w:rPr>
                <w:sz w:val="20"/>
                <w:szCs w:val="20"/>
              </w:rPr>
              <w:t>Comparison of model types</w:t>
            </w:r>
          </w:p>
        </w:tc>
        <w:tc>
          <w:tcPr>
            <w:tcW w:w="5242" w:type="dxa"/>
            <w:vAlign w:val="center"/>
          </w:tcPr>
          <w:p w14:paraId="0F77F9C6" w14:textId="77777777" w:rsidR="002650A4" w:rsidRPr="00212BB3" w:rsidRDefault="002650A4" w:rsidP="001A1ECD">
            <w:pPr>
              <w:spacing w:before="0" w:after="0"/>
              <w:contextualSpacing/>
              <w:rPr>
                <w:sz w:val="20"/>
                <w:szCs w:val="20"/>
              </w:rPr>
            </w:pPr>
            <w:r>
              <w:rPr>
                <w:sz w:val="20"/>
                <w:szCs w:val="20"/>
              </w:rPr>
              <w:t>M</w:t>
            </w:r>
            <w:r w:rsidRPr="00212BB3">
              <w:rPr>
                <w:sz w:val="20"/>
                <w:szCs w:val="20"/>
              </w:rPr>
              <w:t>ethods to classify bottom-up energy system models, and a proposed classification approach anchored around model resolution</w:t>
            </w:r>
          </w:p>
        </w:tc>
      </w:tr>
      <w:tr w:rsidR="002650A4" w:rsidRPr="005C5AAA" w14:paraId="30076778" w14:textId="77777777" w:rsidTr="008876F2">
        <w:trPr>
          <w:trHeight w:val="800"/>
        </w:trPr>
        <w:tc>
          <w:tcPr>
            <w:tcW w:w="1620" w:type="dxa"/>
            <w:vAlign w:val="center"/>
          </w:tcPr>
          <w:p w14:paraId="440F7B07" w14:textId="7F99DB08" w:rsidR="002650A4" w:rsidRPr="00F35942" w:rsidRDefault="00F263CE" w:rsidP="001A1ECD">
            <w:pPr>
              <w:spacing w:before="0" w:after="0"/>
              <w:contextualSpacing/>
              <w:rPr>
                <w:sz w:val="28"/>
                <w:szCs w:val="36"/>
              </w:rPr>
            </w:pPr>
            <w:r w:rsidRPr="00F35942">
              <w:rPr>
                <w:sz w:val="28"/>
                <w:szCs w:val="36"/>
                <w:vertAlign w:val="superscript"/>
              </w:rPr>
              <w:t>40</w:t>
            </w:r>
          </w:p>
        </w:tc>
        <w:tc>
          <w:tcPr>
            <w:tcW w:w="2340" w:type="dxa"/>
            <w:vAlign w:val="center"/>
          </w:tcPr>
          <w:p w14:paraId="20EFA2A6" w14:textId="77777777" w:rsidR="002650A4" w:rsidRPr="00212BB3" w:rsidRDefault="002650A4" w:rsidP="001A1ECD">
            <w:pPr>
              <w:spacing w:before="0" w:after="0"/>
              <w:contextualSpacing/>
              <w:rPr>
                <w:sz w:val="20"/>
                <w:szCs w:val="20"/>
              </w:rPr>
            </w:pPr>
            <w:r w:rsidRPr="00212BB3">
              <w:rPr>
                <w:sz w:val="20"/>
                <w:szCs w:val="20"/>
              </w:rPr>
              <w:t>Challenges and future research directions</w:t>
            </w:r>
          </w:p>
        </w:tc>
        <w:tc>
          <w:tcPr>
            <w:tcW w:w="5242" w:type="dxa"/>
            <w:vAlign w:val="center"/>
          </w:tcPr>
          <w:p w14:paraId="243F6B62" w14:textId="77777777" w:rsidR="002650A4" w:rsidRPr="00212BB3" w:rsidRDefault="002650A4" w:rsidP="001A1ECD">
            <w:pPr>
              <w:spacing w:before="0" w:after="0"/>
              <w:contextualSpacing/>
              <w:rPr>
                <w:sz w:val="20"/>
                <w:szCs w:val="20"/>
              </w:rPr>
            </w:pPr>
            <w:r w:rsidRPr="00212BB3">
              <w:rPr>
                <w:sz w:val="20"/>
                <w:szCs w:val="20"/>
              </w:rPr>
              <w:t xml:space="preserve">Provides an additional list of reviews in the literature, and identifies uncertainty and resolution as two of four primary challenges in modeling </w:t>
            </w:r>
          </w:p>
        </w:tc>
      </w:tr>
      <w:tr w:rsidR="002650A4" w:rsidRPr="005C5AAA" w14:paraId="59DB1A27" w14:textId="77777777" w:rsidTr="008876F2">
        <w:trPr>
          <w:trHeight w:val="1070"/>
        </w:trPr>
        <w:tc>
          <w:tcPr>
            <w:tcW w:w="1620" w:type="dxa"/>
            <w:vAlign w:val="center"/>
          </w:tcPr>
          <w:p w14:paraId="27192A68" w14:textId="425CAD72" w:rsidR="002650A4" w:rsidRPr="00F35942" w:rsidRDefault="00F263CE" w:rsidP="001A1ECD">
            <w:pPr>
              <w:spacing w:before="0" w:after="0"/>
              <w:contextualSpacing/>
              <w:rPr>
                <w:sz w:val="28"/>
                <w:szCs w:val="36"/>
              </w:rPr>
            </w:pPr>
            <w:r w:rsidRPr="00F35942">
              <w:rPr>
                <w:sz w:val="28"/>
                <w:szCs w:val="36"/>
                <w:vertAlign w:val="superscript"/>
              </w:rPr>
              <w:t>44</w:t>
            </w:r>
          </w:p>
        </w:tc>
        <w:tc>
          <w:tcPr>
            <w:tcW w:w="2340" w:type="dxa"/>
            <w:vAlign w:val="center"/>
          </w:tcPr>
          <w:p w14:paraId="0B7C9A05" w14:textId="77777777" w:rsidR="002650A4" w:rsidRPr="00212BB3" w:rsidRDefault="002650A4" w:rsidP="001A1ECD">
            <w:pPr>
              <w:spacing w:before="0" w:after="0"/>
              <w:contextualSpacing/>
              <w:rPr>
                <w:sz w:val="20"/>
                <w:szCs w:val="20"/>
              </w:rPr>
            </w:pPr>
            <w:r w:rsidRPr="00212BB3">
              <w:rPr>
                <w:sz w:val="20"/>
                <w:szCs w:val="20"/>
              </w:rPr>
              <w:t>Best practices for modelers, Challenges and future research directions</w:t>
            </w:r>
          </w:p>
        </w:tc>
        <w:tc>
          <w:tcPr>
            <w:tcW w:w="5242" w:type="dxa"/>
            <w:vAlign w:val="center"/>
          </w:tcPr>
          <w:p w14:paraId="462D7B2C" w14:textId="77777777" w:rsidR="002650A4" w:rsidRPr="00212BB3" w:rsidRDefault="002650A4" w:rsidP="001A1ECD">
            <w:pPr>
              <w:spacing w:before="0" w:after="0"/>
              <w:contextualSpacing/>
              <w:rPr>
                <w:sz w:val="20"/>
                <w:szCs w:val="20"/>
              </w:rPr>
            </w:pPr>
            <w:r w:rsidRPr="00212BB3">
              <w:rPr>
                <w:sz w:val="20"/>
                <w:szCs w:val="20"/>
              </w:rPr>
              <w:t>Review of critiques, priorities, and best practices of Macro-Energy Systems (MES) research, identifying research which discusses and addresses each point.</w:t>
            </w:r>
          </w:p>
        </w:tc>
      </w:tr>
      <w:tr w:rsidR="002650A4" w:rsidRPr="005C5AAA" w14:paraId="24642032" w14:textId="77777777" w:rsidTr="008876F2">
        <w:trPr>
          <w:trHeight w:val="890"/>
        </w:trPr>
        <w:tc>
          <w:tcPr>
            <w:tcW w:w="1620" w:type="dxa"/>
            <w:vAlign w:val="center"/>
          </w:tcPr>
          <w:p w14:paraId="45873BD6" w14:textId="7507AC44" w:rsidR="002650A4" w:rsidRPr="00F35942" w:rsidRDefault="00F263CE" w:rsidP="001A1ECD">
            <w:pPr>
              <w:spacing w:before="0" w:after="0"/>
              <w:contextualSpacing/>
              <w:rPr>
                <w:sz w:val="28"/>
                <w:szCs w:val="36"/>
              </w:rPr>
            </w:pPr>
            <w:r w:rsidRPr="00F35942">
              <w:rPr>
                <w:sz w:val="28"/>
                <w:szCs w:val="36"/>
                <w:vertAlign w:val="superscript"/>
              </w:rPr>
              <w:t>42</w:t>
            </w:r>
          </w:p>
        </w:tc>
        <w:tc>
          <w:tcPr>
            <w:tcW w:w="2340" w:type="dxa"/>
            <w:vAlign w:val="center"/>
          </w:tcPr>
          <w:p w14:paraId="700F4945" w14:textId="77777777" w:rsidR="002650A4" w:rsidRPr="00212BB3" w:rsidRDefault="002650A4" w:rsidP="001A1ECD">
            <w:pPr>
              <w:spacing w:before="0" w:after="0"/>
              <w:contextualSpacing/>
              <w:rPr>
                <w:sz w:val="20"/>
                <w:szCs w:val="20"/>
              </w:rPr>
            </w:pPr>
            <w:r w:rsidRPr="00212BB3">
              <w:rPr>
                <w:sz w:val="20"/>
                <w:szCs w:val="20"/>
              </w:rPr>
              <w:t>Capacity expansion modeling with high renewables shares</w:t>
            </w:r>
          </w:p>
        </w:tc>
        <w:tc>
          <w:tcPr>
            <w:tcW w:w="5242" w:type="dxa"/>
            <w:vAlign w:val="center"/>
          </w:tcPr>
          <w:p w14:paraId="157AD5AE" w14:textId="77777777" w:rsidR="002650A4" w:rsidRPr="00212BB3" w:rsidRDefault="002650A4" w:rsidP="001A1ECD">
            <w:pPr>
              <w:spacing w:before="0" w:after="0"/>
              <w:contextualSpacing/>
              <w:rPr>
                <w:sz w:val="20"/>
                <w:szCs w:val="20"/>
              </w:rPr>
            </w:pPr>
            <w:r w:rsidRPr="00212BB3">
              <w:rPr>
                <w:sz w:val="20"/>
                <w:szCs w:val="20"/>
              </w:rPr>
              <w:t>Review of research around identifying future sustainable energy mixes in developing regions, in line with (Sustainable Development Goal) SDG7.</w:t>
            </w:r>
          </w:p>
        </w:tc>
      </w:tr>
    </w:tbl>
    <w:p w14:paraId="3033E98B" w14:textId="77777777" w:rsidR="002650A4" w:rsidRDefault="002650A4" w:rsidP="002650A4">
      <w:pPr>
        <w:spacing w:before="0" w:after="160" w:line="259" w:lineRule="auto"/>
      </w:pPr>
      <w:r>
        <w:br w:type="page"/>
      </w:r>
    </w:p>
    <w:p w14:paraId="078E7A23" w14:textId="77777777" w:rsidR="006258A9" w:rsidRPr="006258A9" w:rsidRDefault="00BB5885" w:rsidP="00BB5885">
      <w:pPr>
        <w:pStyle w:val="TableCaption"/>
        <w:rPr>
          <w:noProof/>
          <w:vanish/>
          <w:specVanish/>
        </w:rPr>
      </w:pPr>
      <w:bookmarkStart w:id="20" w:name="_Ref193960730"/>
      <w:bookmarkStart w:id="21" w:name="_Toc194577049"/>
      <w:bookmarkStart w:id="22" w:name="_Toc194575609"/>
      <w:r>
        <w:lastRenderedPageBreak/>
        <w:t>Table S</w:t>
      </w:r>
      <w:r w:rsidR="00237128">
        <w:rPr>
          <w:noProof/>
        </w:rPr>
        <w:t>3</w:t>
      </w:r>
      <w:bookmarkEnd w:id="20"/>
      <w:bookmarkEnd w:id="21"/>
    </w:p>
    <w:p w14:paraId="77642DC2" w14:textId="6E9D89D9" w:rsidR="002650A4" w:rsidRPr="00B0047D" w:rsidRDefault="002650A4" w:rsidP="006258A9">
      <w:pPr>
        <w:pStyle w:val="Style3"/>
      </w:pPr>
      <w:r>
        <w:t>: List of selected (chronological) works which include discussion related to the value and influence of spatial and temporal model resolution for electricity and power system models.</w:t>
      </w:r>
      <w:bookmarkEnd w:id="22"/>
    </w:p>
    <w:tbl>
      <w:tblPr>
        <w:tblStyle w:val="TableGrid"/>
        <w:tblW w:w="4967" w:type="pct"/>
        <w:tblCellMar>
          <w:top w:w="14" w:type="dxa"/>
          <w:left w:w="58" w:type="dxa"/>
          <w:right w:w="58" w:type="dxa"/>
        </w:tblCellMar>
        <w:tblLook w:val="04A0" w:firstRow="1" w:lastRow="0" w:firstColumn="1" w:lastColumn="0" w:noHBand="0" w:noVBand="1"/>
      </w:tblPr>
      <w:tblGrid>
        <w:gridCol w:w="798"/>
        <w:gridCol w:w="1096"/>
        <w:gridCol w:w="3908"/>
        <w:gridCol w:w="3486"/>
      </w:tblGrid>
      <w:tr w:rsidR="002650A4" w:rsidRPr="0071548F" w14:paraId="6DBC8645" w14:textId="77777777" w:rsidTr="00F35942">
        <w:trPr>
          <w:trHeight w:val="296"/>
        </w:trPr>
        <w:tc>
          <w:tcPr>
            <w:tcW w:w="805" w:type="dxa"/>
            <w:vAlign w:val="center"/>
          </w:tcPr>
          <w:p w14:paraId="593C647C" w14:textId="77777777" w:rsidR="002650A4" w:rsidRPr="0071548F" w:rsidRDefault="002650A4" w:rsidP="00F35942">
            <w:pPr>
              <w:spacing w:before="0" w:after="0"/>
              <w:contextualSpacing/>
              <w:jc w:val="center"/>
              <w:rPr>
                <w:b/>
                <w:bCs/>
                <w:sz w:val="18"/>
                <w:szCs w:val="18"/>
              </w:rPr>
            </w:pPr>
            <w:r w:rsidRPr="0071548F">
              <w:rPr>
                <w:b/>
                <w:bCs/>
                <w:sz w:val="18"/>
                <w:szCs w:val="18"/>
              </w:rPr>
              <w:t>Ref.</w:t>
            </w:r>
          </w:p>
        </w:tc>
        <w:tc>
          <w:tcPr>
            <w:tcW w:w="990" w:type="dxa"/>
            <w:vAlign w:val="center"/>
          </w:tcPr>
          <w:p w14:paraId="7CE7D05F" w14:textId="77777777" w:rsidR="002650A4" w:rsidRPr="0071548F" w:rsidRDefault="002650A4" w:rsidP="00F35942">
            <w:pPr>
              <w:spacing w:before="0" w:after="0"/>
              <w:contextualSpacing/>
              <w:jc w:val="center"/>
              <w:rPr>
                <w:b/>
                <w:bCs/>
                <w:sz w:val="18"/>
                <w:szCs w:val="18"/>
              </w:rPr>
            </w:pPr>
            <w:r>
              <w:rPr>
                <w:b/>
                <w:bCs/>
                <w:sz w:val="18"/>
                <w:szCs w:val="18"/>
              </w:rPr>
              <w:t>Model</w:t>
            </w:r>
          </w:p>
        </w:tc>
        <w:tc>
          <w:tcPr>
            <w:tcW w:w="3962" w:type="dxa"/>
            <w:vAlign w:val="center"/>
          </w:tcPr>
          <w:p w14:paraId="6431B8DB" w14:textId="77777777" w:rsidR="002650A4" w:rsidRPr="0071548F" w:rsidRDefault="002650A4" w:rsidP="00F35942">
            <w:pPr>
              <w:spacing w:before="0" w:after="0"/>
              <w:contextualSpacing/>
              <w:jc w:val="center"/>
              <w:rPr>
                <w:b/>
                <w:bCs/>
                <w:sz w:val="18"/>
                <w:szCs w:val="18"/>
              </w:rPr>
            </w:pPr>
            <w:r w:rsidRPr="0071548F">
              <w:rPr>
                <w:b/>
                <w:bCs/>
                <w:sz w:val="18"/>
                <w:szCs w:val="18"/>
              </w:rPr>
              <w:t>Focus</w:t>
            </w:r>
          </w:p>
        </w:tc>
        <w:tc>
          <w:tcPr>
            <w:tcW w:w="3531" w:type="dxa"/>
            <w:vAlign w:val="center"/>
          </w:tcPr>
          <w:p w14:paraId="628D9C92" w14:textId="77777777" w:rsidR="002650A4" w:rsidRPr="0071548F" w:rsidRDefault="002650A4" w:rsidP="00F35942">
            <w:pPr>
              <w:spacing w:before="0" w:after="0"/>
              <w:contextualSpacing/>
              <w:jc w:val="center"/>
              <w:rPr>
                <w:b/>
                <w:bCs/>
                <w:sz w:val="18"/>
                <w:szCs w:val="18"/>
              </w:rPr>
            </w:pPr>
            <w:r>
              <w:rPr>
                <w:b/>
                <w:bCs/>
                <w:sz w:val="18"/>
                <w:szCs w:val="18"/>
              </w:rPr>
              <w:t>Insight</w:t>
            </w:r>
          </w:p>
        </w:tc>
      </w:tr>
      <w:tr w:rsidR="002650A4" w:rsidRPr="0071548F" w14:paraId="4F34AB32" w14:textId="77777777" w:rsidTr="00F35942">
        <w:trPr>
          <w:trHeight w:val="980"/>
        </w:trPr>
        <w:tc>
          <w:tcPr>
            <w:tcW w:w="805" w:type="dxa"/>
            <w:vAlign w:val="center"/>
          </w:tcPr>
          <w:p w14:paraId="74780138" w14:textId="30186E2A" w:rsidR="002650A4" w:rsidRPr="00F35942" w:rsidRDefault="00F263CE" w:rsidP="001A1ECD">
            <w:pPr>
              <w:spacing w:before="0" w:after="0"/>
              <w:contextualSpacing/>
              <w:rPr>
                <w:b/>
                <w:bCs/>
                <w:sz w:val="28"/>
                <w:szCs w:val="40"/>
              </w:rPr>
            </w:pPr>
            <w:r w:rsidRPr="00F35942">
              <w:rPr>
                <w:sz w:val="28"/>
                <w:szCs w:val="40"/>
                <w:vertAlign w:val="superscript"/>
              </w:rPr>
              <w:t>54</w:t>
            </w:r>
          </w:p>
        </w:tc>
        <w:tc>
          <w:tcPr>
            <w:tcW w:w="990" w:type="dxa"/>
            <w:vAlign w:val="center"/>
          </w:tcPr>
          <w:p w14:paraId="3AD3C0CC" w14:textId="77777777" w:rsidR="002650A4" w:rsidRPr="00BB5885" w:rsidRDefault="002650A4" w:rsidP="001A1ECD">
            <w:pPr>
              <w:spacing w:before="0" w:after="0"/>
              <w:contextualSpacing/>
              <w:rPr>
                <w:b/>
                <w:bCs/>
                <w:sz w:val="18"/>
                <w:szCs w:val="18"/>
              </w:rPr>
            </w:pPr>
            <w:r w:rsidRPr="00BB5885">
              <w:rPr>
                <w:i/>
                <w:iCs/>
                <w:sz w:val="18"/>
                <w:szCs w:val="18"/>
              </w:rPr>
              <w:t>ReEDS</w:t>
            </w:r>
          </w:p>
        </w:tc>
        <w:tc>
          <w:tcPr>
            <w:tcW w:w="3962" w:type="dxa"/>
            <w:vAlign w:val="center"/>
          </w:tcPr>
          <w:p w14:paraId="68982AE6" w14:textId="77777777" w:rsidR="002650A4" w:rsidRPr="00BB5885" w:rsidRDefault="002650A4" w:rsidP="001A1ECD">
            <w:pPr>
              <w:spacing w:before="0" w:after="0"/>
              <w:contextualSpacing/>
              <w:rPr>
                <w:sz w:val="18"/>
                <w:szCs w:val="18"/>
              </w:rPr>
            </w:pPr>
            <w:r w:rsidRPr="00BB5885">
              <w:rPr>
                <w:sz w:val="18"/>
                <w:szCs w:val="18"/>
              </w:rPr>
              <w:t>Varies the level of spatial resolution in the ReEDS model (USA) between balancing authority, state, and NERC region levels to analyze renewables and transmission buildout.</w:t>
            </w:r>
          </w:p>
        </w:tc>
        <w:tc>
          <w:tcPr>
            <w:tcW w:w="3531" w:type="dxa"/>
            <w:vAlign w:val="center"/>
          </w:tcPr>
          <w:p w14:paraId="30B29CC3" w14:textId="77777777" w:rsidR="002650A4" w:rsidRPr="00BB5885" w:rsidRDefault="002650A4" w:rsidP="001A1ECD">
            <w:pPr>
              <w:spacing w:before="0" w:after="0"/>
              <w:contextualSpacing/>
              <w:rPr>
                <w:sz w:val="18"/>
                <w:szCs w:val="18"/>
              </w:rPr>
            </w:pPr>
            <w:r w:rsidRPr="00BB5885">
              <w:rPr>
                <w:sz w:val="18"/>
                <w:szCs w:val="18"/>
              </w:rPr>
              <w:t xml:space="preserve">Spatial aggregation in renewable resource quality can </w:t>
            </w:r>
            <w:proofErr w:type="gramStart"/>
            <w:r w:rsidRPr="00BB5885">
              <w:rPr>
                <w:sz w:val="18"/>
                <w:szCs w:val="18"/>
              </w:rPr>
              <w:t>impact</w:t>
            </w:r>
            <w:proofErr w:type="gramEnd"/>
            <w:r w:rsidRPr="00BB5885">
              <w:rPr>
                <w:sz w:val="18"/>
                <w:szCs w:val="18"/>
              </w:rPr>
              <w:t xml:space="preserve"> technology competitiveness, particularly for solar.</w:t>
            </w:r>
          </w:p>
        </w:tc>
      </w:tr>
      <w:tr w:rsidR="002650A4" w:rsidRPr="0071548F" w14:paraId="2DA0506B" w14:textId="77777777" w:rsidTr="00F35942">
        <w:trPr>
          <w:trHeight w:val="980"/>
        </w:trPr>
        <w:tc>
          <w:tcPr>
            <w:tcW w:w="805" w:type="dxa"/>
            <w:vAlign w:val="center"/>
          </w:tcPr>
          <w:p w14:paraId="32988C82" w14:textId="0C9C9E57" w:rsidR="002650A4" w:rsidRPr="00F35942" w:rsidRDefault="00F263CE" w:rsidP="001A1ECD">
            <w:pPr>
              <w:spacing w:before="0" w:after="0"/>
              <w:contextualSpacing/>
              <w:rPr>
                <w:sz w:val="28"/>
                <w:szCs w:val="40"/>
              </w:rPr>
            </w:pPr>
            <w:r w:rsidRPr="00F35942">
              <w:rPr>
                <w:sz w:val="28"/>
                <w:szCs w:val="40"/>
                <w:vertAlign w:val="superscript"/>
              </w:rPr>
              <w:t>56</w:t>
            </w:r>
          </w:p>
        </w:tc>
        <w:tc>
          <w:tcPr>
            <w:tcW w:w="990" w:type="dxa"/>
            <w:vAlign w:val="center"/>
          </w:tcPr>
          <w:p w14:paraId="21532DEC" w14:textId="77777777" w:rsidR="002650A4" w:rsidRPr="00BB5885" w:rsidRDefault="002650A4" w:rsidP="001A1ECD">
            <w:pPr>
              <w:spacing w:before="0" w:after="0"/>
              <w:contextualSpacing/>
              <w:rPr>
                <w:i/>
                <w:iCs/>
                <w:sz w:val="18"/>
                <w:szCs w:val="18"/>
              </w:rPr>
            </w:pPr>
            <w:r w:rsidRPr="00BB5885">
              <w:rPr>
                <w:i/>
                <w:iCs/>
                <w:sz w:val="18"/>
                <w:szCs w:val="18"/>
              </w:rPr>
              <w:t>TIMES, LUSYM</w:t>
            </w:r>
          </w:p>
        </w:tc>
        <w:tc>
          <w:tcPr>
            <w:tcW w:w="3962" w:type="dxa"/>
            <w:vAlign w:val="center"/>
          </w:tcPr>
          <w:p w14:paraId="0F157048" w14:textId="77777777" w:rsidR="002650A4" w:rsidRPr="00BB5885" w:rsidRDefault="002650A4" w:rsidP="001A1ECD">
            <w:pPr>
              <w:spacing w:before="0" w:after="0"/>
              <w:contextualSpacing/>
              <w:rPr>
                <w:sz w:val="18"/>
                <w:szCs w:val="18"/>
              </w:rPr>
            </w:pPr>
            <w:r w:rsidRPr="00BB5885">
              <w:rPr>
                <w:sz w:val="18"/>
                <w:szCs w:val="18"/>
              </w:rPr>
              <w:t>Explores temporal representation across models (time slice structures, hourly resolution) as well as the level of technical operational detail, for a case study in Belgium.</w:t>
            </w:r>
          </w:p>
        </w:tc>
        <w:tc>
          <w:tcPr>
            <w:tcW w:w="3531" w:type="dxa"/>
            <w:vAlign w:val="center"/>
          </w:tcPr>
          <w:p w14:paraId="448140D0" w14:textId="77777777" w:rsidR="002650A4" w:rsidRPr="00BB5885" w:rsidRDefault="002650A4" w:rsidP="001A1ECD">
            <w:pPr>
              <w:spacing w:before="0" w:after="0"/>
              <w:contextualSpacing/>
              <w:rPr>
                <w:sz w:val="18"/>
                <w:szCs w:val="18"/>
              </w:rPr>
            </w:pPr>
            <w:r w:rsidRPr="00BB5885">
              <w:rPr>
                <w:sz w:val="18"/>
                <w:szCs w:val="18"/>
              </w:rPr>
              <w:t>Temporal detail can substantially impact grid dispatch, especially with high levels of renewables present.</w:t>
            </w:r>
          </w:p>
        </w:tc>
      </w:tr>
      <w:tr w:rsidR="002650A4" w:rsidRPr="0071548F" w14:paraId="336E449C" w14:textId="77777777" w:rsidTr="00F35942">
        <w:trPr>
          <w:trHeight w:val="800"/>
        </w:trPr>
        <w:tc>
          <w:tcPr>
            <w:tcW w:w="805" w:type="dxa"/>
            <w:vAlign w:val="center"/>
          </w:tcPr>
          <w:p w14:paraId="7A39DF13" w14:textId="2BEB6AEE" w:rsidR="002650A4" w:rsidRPr="00F35942" w:rsidRDefault="00F263CE" w:rsidP="001A1ECD">
            <w:pPr>
              <w:spacing w:before="0" w:after="0"/>
              <w:contextualSpacing/>
              <w:rPr>
                <w:sz w:val="28"/>
                <w:szCs w:val="40"/>
              </w:rPr>
            </w:pPr>
            <w:r w:rsidRPr="00F35942">
              <w:rPr>
                <w:sz w:val="28"/>
                <w:szCs w:val="40"/>
                <w:vertAlign w:val="superscript"/>
              </w:rPr>
              <w:t>52</w:t>
            </w:r>
          </w:p>
        </w:tc>
        <w:tc>
          <w:tcPr>
            <w:tcW w:w="990" w:type="dxa"/>
            <w:vAlign w:val="center"/>
          </w:tcPr>
          <w:p w14:paraId="192FE3AD" w14:textId="77777777" w:rsidR="002650A4" w:rsidRPr="00BB5885" w:rsidRDefault="002650A4" w:rsidP="001A1ECD">
            <w:pPr>
              <w:spacing w:before="0" w:after="0"/>
              <w:contextualSpacing/>
              <w:rPr>
                <w:sz w:val="18"/>
                <w:szCs w:val="18"/>
              </w:rPr>
            </w:pPr>
            <w:r w:rsidRPr="00BB5885">
              <w:rPr>
                <w:i/>
                <w:iCs/>
                <w:sz w:val="18"/>
                <w:szCs w:val="18"/>
              </w:rPr>
              <w:t>REMix</w:t>
            </w:r>
          </w:p>
        </w:tc>
        <w:tc>
          <w:tcPr>
            <w:tcW w:w="3962" w:type="dxa"/>
            <w:vAlign w:val="center"/>
          </w:tcPr>
          <w:p w14:paraId="5D3E1C6B" w14:textId="77777777" w:rsidR="002650A4" w:rsidRPr="00BB5885" w:rsidRDefault="002650A4" w:rsidP="001A1ECD">
            <w:pPr>
              <w:spacing w:before="0" w:after="0"/>
              <w:contextualSpacing/>
              <w:rPr>
                <w:sz w:val="18"/>
                <w:szCs w:val="18"/>
              </w:rPr>
            </w:pPr>
            <w:r w:rsidRPr="00BB5885">
              <w:rPr>
                <w:sz w:val="18"/>
                <w:szCs w:val="18"/>
              </w:rPr>
              <w:t>Models 5 different storage technologies which vary from short- to long-term for a European system with high spatial and temporal resolution.</w:t>
            </w:r>
          </w:p>
        </w:tc>
        <w:tc>
          <w:tcPr>
            <w:tcW w:w="3531" w:type="dxa"/>
            <w:vAlign w:val="center"/>
          </w:tcPr>
          <w:p w14:paraId="32D51408" w14:textId="77777777" w:rsidR="002650A4" w:rsidRPr="00BB5885" w:rsidRDefault="002650A4" w:rsidP="001A1ECD">
            <w:pPr>
              <w:spacing w:before="0" w:after="0"/>
              <w:contextualSpacing/>
              <w:rPr>
                <w:sz w:val="18"/>
                <w:szCs w:val="18"/>
              </w:rPr>
            </w:pPr>
            <w:r w:rsidRPr="00BB5885">
              <w:rPr>
                <w:sz w:val="18"/>
                <w:szCs w:val="18"/>
              </w:rPr>
              <w:t>Temporal patterns of intermittent renewables, and thus the relative generation shares of each technology, impact the expansion of storage.</w:t>
            </w:r>
          </w:p>
        </w:tc>
      </w:tr>
      <w:tr w:rsidR="002650A4" w:rsidRPr="0071548F" w14:paraId="0DE4A310" w14:textId="77777777" w:rsidTr="00F35942">
        <w:trPr>
          <w:trHeight w:val="980"/>
        </w:trPr>
        <w:tc>
          <w:tcPr>
            <w:tcW w:w="805" w:type="dxa"/>
            <w:vAlign w:val="center"/>
          </w:tcPr>
          <w:p w14:paraId="284AD603" w14:textId="0A36FE63" w:rsidR="002650A4" w:rsidRPr="00F35942" w:rsidRDefault="00F263CE" w:rsidP="001A1ECD">
            <w:pPr>
              <w:spacing w:before="0" w:after="0"/>
              <w:contextualSpacing/>
              <w:rPr>
                <w:sz w:val="28"/>
                <w:szCs w:val="40"/>
                <w:lang w:val="fr-FR"/>
              </w:rPr>
            </w:pPr>
            <w:r w:rsidRPr="00F35942">
              <w:rPr>
                <w:sz w:val="28"/>
                <w:szCs w:val="40"/>
                <w:vertAlign w:val="superscript"/>
              </w:rPr>
              <w:t>55</w:t>
            </w:r>
          </w:p>
        </w:tc>
        <w:tc>
          <w:tcPr>
            <w:tcW w:w="990" w:type="dxa"/>
            <w:vAlign w:val="center"/>
          </w:tcPr>
          <w:p w14:paraId="5A00F38D" w14:textId="77777777" w:rsidR="002650A4" w:rsidRPr="00BB5885" w:rsidRDefault="002650A4" w:rsidP="001A1ECD">
            <w:pPr>
              <w:spacing w:before="0" w:after="0"/>
              <w:contextualSpacing/>
              <w:rPr>
                <w:i/>
                <w:iCs/>
                <w:sz w:val="18"/>
                <w:szCs w:val="18"/>
                <w:lang w:val="fr-FR"/>
              </w:rPr>
            </w:pPr>
            <w:r w:rsidRPr="00BB5885">
              <w:rPr>
                <w:i/>
                <w:iCs/>
                <w:sz w:val="18"/>
                <w:szCs w:val="18"/>
                <w:lang w:val="fr-FR"/>
              </w:rPr>
              <w:t>C-CEM, TS-CEM</w:t>
            </w:r>
          </w:p>
        </w:tc>
        <w:tc>
          <w:tcPr>
            <w:tcW w:w="3962" w:type="dxa"/>
            <w:vAlign w:val="center"/>
          </w:tcPr>
          <w:p w14:paraId="718C467B" w14:textId="77777777" w:rsidR="002650A4" w:rsidRPr="00BB5885" w:rsidRDefault="002650A4" w:rsidP="001A1ECD">
            <w:pPr>
              <w:spacing w:before="0" w:after="0"/>
              <w:contextualSpacing/>
              <w:rPr>
                <w:sz w:val="18"/>
                <w:szCs w:val="18"/>
              </w:rPr>
            </w:pPr>
            <w:r w:rsidRPr="00BB5885">
              <w:rPr>
                <w:sz w:val="18"/>
                <w:szCs w:val="18"/>
              </w:rPr>
              <w:t>Compares two capacity expansion models which differ in temporal representation (month-hourly representative days vs. seasonal average time slices) for a Texas case study.</w:t>
            </w:r>
          </w:p>
        </w:tc>
        <w:tc>
          <w:tcPr>
            <w:tcW w:w="3531" w:type="dxa"/>
            <w:vAlign w:val="center"/>
          </w:tcPr>
          <w:p w14:paraId="2D78C9DB" w14:textId="77777777" w:rsidR="002650A4" w:rsidRPr="00BB5885" w:rsidRDefault="002650A4" w:rsidP="001A1ECD">
            <w:pPr>
              <w:spacing w:before="0" w:after="0"/>
              <w:contextualSpacing/>
              <w:rPr>
                <w:sz w:val="18"/>
                <w:szCs w:val="18"/>
              </w:rPr>
            </w:pPr>
            <w:r w:rsidRPr="00BB5885">
              <w:rPr>
                <w:sz w:val="18"/>
                <w:szCs w:val="18"/>
              </w:rPr>
              <w:t>Month-hourly temporal resolution leads to lower levels of unmet demand.</w:t>
            </w:r>
          </w:p>
        </w:tc>
      </w:tr>
      <w:tr w:rsidR="002650A4" w:rsidRPr="0071548F" w14:paraId="1FD7BD18" w14:textId="77777777" w:rsidTr="00F35942">
        <w:trPr>
          <w:trHeight w:val="800"/>
        </w:trPr>
        <w:tc>
          <w:tcPr>
            <w:tcW w:w="805" w:type="dxa"/>
            <w:vAlign w:val="center"/>
          </w:tcPr>
          <w:p w14:paraId="175061C0" w14:textId="26509D85" w:rsidR="002650A4" w:rsidRPr="00F35942" w:rsidRDefault="00F263CE" w:rsidP="001A1ECD">
            <w:pPr>
              <w:spacing w:before="0" w:after="0"/>
              <w:contextualSpacing/>
              <w:rPr>
                <w:sz w:val="28"/>
                <w:szCs w:val="40"/>
              </w:rPr>
            </w:pPr>
            <w:r w:rsidRPr="00F35942">
              <w:rPr>
                <w:sz w:val="28"/>
                <w:szCs w:val="40"/>
                <w:vertAlign w:val="superscript"/>
              </w:rPr>
              <w:t>59</w:t>
            </w:r>
          </w:p>
        </w:tc>
        <w:tc>
          <w:tcPr>
            <w:tcW w:w="990" w:type="dxa"/>
            <w:vAlign w:val="center"/>
          </w:tcPr>
          <w:p w14:paraId="01C2BA6D" w14:textId="77777777" w:rsidR="002650A4" w:rsidRPr="00BB5885" w:rsidRDefault="002650A4" w:rsidP="001A1ECD">
            <w:pPr>
              <w:spacing w:before="0" w:after="0"/>
              <w:contextualSpacing/>
              <w:rPr>
                <w:i/>
                <w:iCs/>
                <w:sz w:val="18"/>
                <w:szCs w:val="18"/>
              </w:rPr>
            </w:pPr>
            <w:r w:rsidRPr="00BB5885">
              <w:rPr>
                <w:i/>
                <w:iCs/>
                <w:sz w:val="18"/>
                <w:szCs w:val="18"/>
              </w:rPr>
              <w:t>Custom MILP</w:t>
            </w:r>
          </w:p>
        </w:tc>
        <w:tc>
          <w:tcPr>
            <w:tcW w:w="3962" w:type="dxa"/>
            <w:vAlign w:val="center"/>
          </w:tcPr>
          <w:p w14:paraId="26769980" w14:textId="77777777" w:rsidR="002650A4" w:rsidRPr="00BB5885" w:rsidRDefault="002650A4" w:rsidP="001A1ECD">
            <w:pPr>
              <w:spacing w:before="0" w:after="0"/>
              <w:contextualSpacing/>
              <w:rPr>
                <w:sz w:val="18"/>
                <w:szCs w:val="18"/>
              </w:rPr>
            </w:pPr>
            <w:r w:rsidRPr="00BB5885">
              <w:rPr>
                <w:sz w:val="18"/>
                <w:szCs w:val="18"/>
              </w:rPr>
              <w:t>Uses high spatiotemporal detail in wind speed to co-optimize generation and transmission expansion at the wind farm level.</w:t>
            </w:r>
          </w:p>
        </w:tc>
        <w:tc>
          <w:tcPr>
            <w:tcW w:w="3531" w:type="dxa"/>
            <w:vAlign w:val="center"/>
          </w:tcPr>
          <w:p w14:paraId="2EEB9C4B" w14:textId="49AFCEB9" w:rsidR="002650A4" w:rsidRPr="00BB5885" w:rsidRDefault="002650A4" w:rsidP="001A1ECD">
            <w:pPr>
              <w:spacing w:before="0" w:after="0"/>
              <w:contextualSpacing/>
              <w:rPr>
                <w:sz w:val="18"/>
                <w:szCs w:val="18"/>
              </w:rPr>
            </w:pPr>
            <w:r w:rsidRPr="00BB5885">
              <w:rPr>
                <w:sz w:val="18"/>
                <w:szCs w:val="18"/>
              </w:rPr>
              <w:t xml:space="preserve">Reduced spatiotemporal detail in wind speed may lead to </w:t>
            </w:r>
            <w:r w:rsidR="006656E8" w:rsidRPr="00BB5885">
              <w:rPr>
                <w:sz w:val="18"/>
                <w:szCs w:val="18"/>
              </w:rPr>
              <w:t>an overestimation</w:t>
            </w:r>
            <w:r w:rsidRPr="00BB5885">
              <w:rPr>
                <w:sz w:val="18"/>
                <w:szCs w:val="18"/>
              </w:rPr>
              <w:t xml:space="preserve"> of wind power potential.</w:t>
            </w:r>
          </w:p>
        </w:tc>
      </w:tr>
      <w:tr w:rsidR="002650A4" w:rsidRPr="0071548F" w14:paraId="5A5ECFDB" w14:textId="77777777" w:rsidTr="00F35942">
        <w:trPr>
          <w:trHeight w:val="980"/>
        </w:trPr>
        <w:tc>
          <w:tcPr>
            <w:tcW w:w="805" w:type="dxa"/>
            <w:vAlign w:val="center"/>
          </w:tcPr>
          <w:p w14:paraId="327DFF03" w14:textId="1E061FCD" w:rsidR="002650A4" w:rsidRPr="00F35942" w:rsidRDefault="00F263CE" w:rsidP="001A1ECD">
            <w:pPr>
              <w:spacing w:before="0" w:after="0"/>
              <w:contextualSpacing/>
              <w:rPr>
                <w:sz w:val="28"/>
                <w:szCs w:val="40"/>
              </w:rPr>
            </w:pPr>
            <w:r w:rsidRPr="00F35942">
              <w:rPr>
                <w:sz w:val="28"/>
                <w:szCs w:val="40"/>
                <w:vertAlign w:val="superscript"/>
              </w:rPr>
              <w:t>45</w:t>
            </w:r>
          </w:p>
        </w:tc>
        <w:tc>
          <w:tcPr>
            <w:tcW w:w="990" w:type="dxa"/>
            <w:vAlign w:val="center"/>
          </w:tcPr>
          <w:p w14:paraId="26ACDFE5" w14:textId="77777777" w:rsidR="002650A4" w:rsidRPr="00BB5885" w:rsidRDefault="002650A4" w:rsidP="001A1ECD">
            <w:pPr>
              <w:spacing w:before="0" w:after="0"/>
              <w:contextualSpacing/>
              <w:rPr>
                <w:i/>
                <w:iCs/>
                <w:sz w:val="18"/>
                <w:szCs w:val="18"/>
              </w:rPr>
            </w:pPr>
            <w:r w:rsidRPr="00BB5885">
              <w:rPr>
                <w:i/>
                <w:iCs/>
                <w:sz w:val="18"/>
                <w:szCs w:val="18"/>
              </w:rPr>
              <w:t>multiple</w:t>
            </w:r>
          </w:p>
        </w:tc>
        <w:tc>
          <w:tcPr>
            <w:tcW w:w="3962" w:type="dxa"/>
            <w:vAlign w:val="center"/>
          </w:tcPr>
          <w:p w14:paraId="51162ACF" w14:textId="77777777" w:rsidR="002650A4" w:rsidRPr="00BB5885" w:rsidRDefault="002650A4" w:rsidP="001A1ECD">
            <w:pPr>
              <w:spacing w:before="0" w:after="0"/>
              <w:contextualSpacing/>
              <w:rPr>
                <w:sz w:val="18"/>
                <w:szCs w:val="18"/>
              </w:rPr>
            </w:pPr>
            <w:r w:rsidRPr="00BB5885">
              <w:rPr>
                <w:sz w:val="18"/>
                <w:szCs w:val="18"/>
              </w:rPr>
              <w:t>Reviews bottom-up energy system models and their classification schemes, while framing modeling challenges around resolution (spatial, temporal, techno-economic, and sectoral).</w:t>
            </w:r>
          </w:p>
        </w:tc>
        <w:tc>
          <w:tcPr>
            <w:tcW w:w="3531" w:type="dxa"/>
            <w:vAlign w:val="center"/>
          </w:tcPr>
          <w:p w14:paraId="5A752023" w14:textId="77777777" w:rsidR="002650A4" w:rsidRPr="00BB5885" w:rsidRDefault="002650A4" w:rsidP="001A1ECD">
            <w:pPr>
              <w:spacing w:before="0" w:after="0"/>
              <w:contextualSpacing/>
              <w:rPr>
                <w:sz w:val="18"/>
                <w:szCs w:val="18"/>
              </w:rPr>
            </w:pPr>
            <w:r w:rsidRPr="00BB5885">
              <w:rPr>
                <w:sz w:val="18"/>
                <w:szCs w:val="18"/>
              </w:rPr>
              <w:t>Current modeling has not reached high resolution in all four areas simultaneously.</w:t>
            </w:r>
          </w:p>
        </w:tc>
      </w:tr>
      <w:tr w:rsidR="002650A4" w:rsidRPr="0071548F" w14:paraId="0CC6D8AB" w14:textId="77777777" w:rsidTr="00F35942">
        <w:trPr>
          <w:trHeight w:val="1007"/>
        </w:trPr>
        <w:tc>
          <w:tcPr>
            <w:tcW w:w="805" w:type="dxa"/>
            <w:vAlign w:val="center"/>
          </w:tcPr>
          <w:p w14:paraId="0258E90B" w14:textId="048FF71D" w:rsidR="002650A4" w:rsidRPr="00F35942" w:rsidRDefault="00F263CE" w:rsidP="001A1ECD">
            <w:pPr>
              <w:spacing w:before="0" w:after="0"/>
              <w:contextualSpacing/>
              <w:rPr>
                <w:sz w:val="28"/>
                <w:szCs w:val="40"/>
              </w:rPr>
            </w:pPr>
            <w:r w:rsidRPr="00F35942">
              <w:rPr>
                <w:sz w:val="28"/>
                <w:szCs w:val="40"/>
                <w:vertAlign w:val="superscript"/>
              </w:rPr>
              <w:t>57</w:t>
            </w:r>
          </w:p>
        </w:tc>
        <w:tc>
          <w:tcPr>
            <w:tcW w:w="990" w:type="dxa"/>
            <w:vAlign w:val="center"/>
          </w:tcPr>
          <w:p w14:paraId="27F0EE5D" w14:textId="77777777" w:rsidR="002650A4" w:rsidRPr="00BB5885" w:rsidRDefault="002650A4" w:rsidP="001A1ECD">
            <w:pPr>
              <w:spacing w:before="0" w:after="0"/>
              <w:contextualSpacing/>
              <w:rPr>
                <w:i/>
                <w:iCs/>
                <w:sz w:val="18"/>
                <w:szCs w:val="18"/>
              </w:rPr>
            </w:pPr>
            <w:r w:rsidRPr="00BB5885">
              <w:rPr>
                <w:i/>
                <w:iCs/>
                <w:sz w:val="18"/>
                <w:szCs w:val="18"/>
              </w:rPr>
              <w:t>PyPSA-Eur</w:t>
            </w:r>
          </w:p>
        </w:tc>
        <w:tc>
          <w:tcPr>
            <w:tcW w:w="3962" w:type="dxa"/>
            <w:vAlign w:val="center"/>
          </w:tcPr>
          <w:p w14:paraId="60F5356F" w14:textId="77777777" w:rsidR="002650A4" w:rsidRPr="00BB5885" w:rsidRDefault="002650A4" w:rsidP="001A1ECD">
            <w:pPr>
              <w:spacing w:before="0" w:after="0"/>
              <w:contextualSpacing/>
              <w:rPr>
                <w:sz w:val="18"/>
                <w:szCs w:val="18"/>
              </w:rPr>
            </w:pPr>
            <w:r w:rsidRPr="00BB5885">
              <w:rPr>
                <w:sz w:val="18"/>
                <w:szCs w:val="18"/>
              </w:rPr>
              <w:t>Describes methodology for assessing individual sensitivities in energy system optimizations through a distance error metric, using a model of Europe.</w:t>
            </w:r>
          </w:p>
        </w:tc>
        <w:tc>
          <w:tcPr>
            <w:tcW w:w="3531" w:type="dxa"/>
            <w:vAlign w:val="center"/>
          </w:tcPr>
          <w:p w14:paraId="3A0FD764" w14:textId="77777777" w:rsidR="002650A4" w:rsidRPr="00BB5885" w:rsidRDefault="002650A4" w:rsidP="001A1ECD">
            <w:pPr>
              <w:spacing w:before="0" w:after="0"/>
              <w:contextualSpacing/>
              <w:rPr>
                <w:sz w:val="18"/>
                <w:szCs w:val="18"/>
              </w:rPr>
            </w:pPr>
            <w:r w:rsidRPr="00BB5885">
              <w:rPr>
                <w:sz w:val="18"/>
                <w:szCs w:val="18"/>
              </w:rPr>
              <w:t>Temporal resolution should be fine enough to reasonably capture the variability of renewables and balancing through storage technologies.</w:t>
            </w:r>
          </w:p>
        </w:tc>
      </w:tr>
      <w:tr w:rsidR="002650A4" w:rsidRPr="0071548F" w14:paraId="263F5769" w14:textId="77777777" w:rsidTr="00F35942">
        <w:trPr>
          <w:trHeight w:val="1799"/>
        </w:trPr>
        <w:tc>
          <w:tcPr>
            <w:tcW w:w="805" w:type="dxa"/>
            <w:vAlign w:val="center"/>
          </w:tcPr>
          <w:p w14:paraId="4372DA95" w14:textId="3EAAA7AD" w:rsidR="002650A4" w:rsidRPr="00F35942" w:rsidRDefault="00F263CE" w:rsidP="001A1ECD">
            <w:pPr>
              <w:spacing w:before="0" w:after="0"/>
              <w:contextualSpacing/>
              <w:rPr>
                <w:sz w:val="28"/>
                <w:szCs w:val="40"/>
              </w:rPr>
            </w:pPr>
            <w:r w:rsidRPr="00F35942">
              <w:rPr>
                <w:sz w:val="28"/>
                <w:szCs w:val="40"/>
                <w:vertAlign w:val="superscript"/>
              </w:rPr>
              <w:t>80</w:t>
            </w:r>
          </w:p>
        </w:tc>
        <w:tc>
          <w:tcPr>
            <w:tcW w:w="990" w:type="dxa"/>
            <w:vAlign w:val="center"/>
          </w:tcPr>
          <w:p w14:paraId="28386464" w14:textId="77777777" w:rsidR="002650A4" w:rsidRPr="00BB5885" w:rsidRDefault="002650A4" w:rsidP="001A1ECD">
            <w:pPr>
              <w:spacing w:before="0" w:after="0"/>
              <w:contextualSpacing/>
              <w:rPr>
                <w:i/>
                <w:iCs/>
                <w:sz w:val="18"/>
                <w:szCs w:val="18"/>
              </w:rPr>
            </w:pPr>
            <w:r w:rsidRPr="00BB5885">
              <w:rPr>
                <w:color w:val="auto"/>
                <w:sz w:val="18"/>
                <w:szCs w:val="18"/>
              </w:rPr>
              <w:t>Latin America and the Caribbean</w:t>
            </w:r>
          </w:p>
        </w:tc>
        <w:tc>
          <w:tcPr>
            <w:tcW w:w="3962" w:type="dxa"/>
            <w:vAlign w:val="center"/>
          </w:tcPr>
          <w:p w14:paraId="16701723" w14:textId="77777777" w:rsidR="002650A4" w:rsidRPr="00BB5885" w:rsidRDefault="002650A4" w:rsidP="001A1ECD">
            <w:pPr>
              <w:spacing w:before="0" w:after="0"/>
              <w:contextualSpacing/>
              <w:rPr>
                <w:sz w:val="18"/>
                <w:szCs w:val="18"/>
              </w:rPr>
            </w:pPr>
            <w:r w:rsidRPr="00BB5885">
              <w:rPr>
                <w:color w:val="auto"/>
                <w:sz w:val="18"/>
                <w:szCs w:val="18"/>
              </w:rPr>
              <w:t>Site selection analysis to assess complementarity of wind and solar PV to hydropower, specifically targeting ENSO periods in Latin America.</w:t>
            </w:r>
          </w:p>
        </w:tc>
        <w:tc>
          <w:tcPr>
            <w:tcW w:w="3531" w:type="dxa"/>
            <w:vAlign w:val="center"/>
          </w:tcPr>
          <w:p w14:paraId="65346624" w14:textId="0DB1AADA" w:rsidR="002650A4" w:rsidRPr="00BB5885" w:rsidRDefault="002650A4" w:rsidP="001A1ECD">
            <w:pPr>
              <w:spacing w:before="0" w:after="0"/>
              <w:contextualSpacing/>
              <w:rPr>
                <w:sz w:val="18"/>
                <w:szCs w:val="18"/>
              </w:rPr>
            </w:pPr>
            <w:r w:rsidRPr="00BB5885">
              <w:rPr>
                <w:color w:val="auto"/>
                <w:sz w:val="18"/>
                <w:szCs w:val="18"/>
              </w:rPr>
              <w:t xml:space="preserve">Uses </w:t>
            </w:r>
            <w:r w:rsidR="006656E8" w:rsidRPr="00BB5885">
              <w:rPr>
                <w:color w:val="auto"/>
                <w:sz w:val="18"/>
                <w:szCs w:val="18"/>
              </w:rPr>
              <w:t>spatially resolved</w:t>
            </w:r>
            <w:r w:rsidRPr="00BB5885">
              <w:rPr>
                <w:color w:val="auto"/>
                <w:sz w:val="18"/>
                <w:szCs w:val="18"/>
              </w:rPr>
              <w:t xml:space="preserve"> wind and solar potentials, as well as site-specific hydropower availability, to statistically compute complementarity between individual projects. Shows </w:t>
            </w:r>
            <w:r w:rsidR="006656E8" w:rsidRPr="00BB5885">
              <w:rPr>
                <w:color w:val="auto"/>
                <w:sz w:val="18"/>
                <w:szCs w:val="18"/>
              </w:rPr>
              <w:t>the</w:t>
            </w:r>
            <w:r w:rsidRPr="00BB5885">
              <w:rPr>
                <w:color w:val="auto"/>
                <w:sz w:val="18"/>
                <w:szCs w:val="18"/>
              </w:rPr>
              <w:t xml:space="preserve"> ability of complementary renewable technologies to balance fluctuations in energy availability, reducing reliance on thermal dispatchable generation.</w:t>
            </w:r>
          </w:p>
        </w:tc>
      </w:tr>
      <w:tr w:rsidR="002650A4" w:rsidRPr="0071548F" w14:paraId="4D195577" w14:textId="77777777" w:rsidTr="00F35942">
        <w:trPr>
          <w:trHeight w:val="2213"/>
        </w:trPr>
        <w:tc>
          <w:tcPr>
            <w:tcW w:w="805" w:type="dxa"/>
            <w:vAlign w:val="center"/>
          </w:tcPr>
          <w:p w14:paraId="670912EF" w14:textId="4C8E5A45" w:rsidR="002650A4" w:rsidRPr="00F35942" w:rsidRDefault="00F263CE" w:rsidP="001A1ECD">
            <w:pPr>
              <w:spacing w:before="0" w:after="0"/>
              <w:contextualSpacing/>
              <w:rPr>
                <w:sz w:val="28"/>
                <w:szCs w:val="40"/>
              </w:rPr>
            </w:pPr>
            <w:r w:rsidRPr="00F35942">
              <w:rPr>
                <w:sz w:val="28"/>
                <w:szCs w:val="40"/>
                <w:vertAlign w:val="superscript"/>
              </w:rPr>
              <w:t>50</w:t>
            </w:r>
          </w:p>
        </w:tc>
        <w:tc>
          <w:tcPr>
            <w:tcW w:w="990" w:type="dxa"/>
            <w:vAlign w:val="center"/>
          </w:tcPr>
          <w:p w14:paraId="62285914" w14:textId="77777777" w:rsidR="002650A4" w:rsidRPr="00BB5885" w:rsidRDefault="002650A4" w:rsidP="001A1ECD">
            <w:pPr>
              <w:spacing w:before="0" w:after="0"/>
              <w:contextualSpacing/>
              <w:rPr>
                <w:i/>
                <w:iCs/>
                <w:sz w:val="18"/>
                <w:szCs w:val="18"/>
              </w:rPr>
            </w:pPr>
            <w:r w:rsidRPr="00BB5885">
              <w:rPr>
                <w:i/>
                <w:iCs/>
                <w:sz w:val="18"/>
                <w:szCs w:val="18"/>
              </w:rPr>
              <w:t>MESSAGEix-GLOBIOM, PLEXOS-World</w:t>
            </w:r>
          </w:p>
        </w:tc>
        <w:tc>
          <w:tcPr>
            <w:tcW w:w="3962" w:type="dxa"/>
            <w:vAlign w:val="center"/>
          </w:tcPr>
          <w:p w14:paraId="40EE3094" w14:textId="0A734762" w:rsidR="002650A4" w:rsidRPr="00BB5885" w:rsidRDefault="002650A4" w:rsidP="001A1ECD">
            <w:pPr>
              <w:spacing w:before="0" w:after="0"/>
              <w:contextualSpacing/>
              <w:rPr>
                <w:sz w:val="18"/>
                <w:szCs w:val="18"/>
              </w:rPr>
            </w:pPr>
            <w:r w:rsidRPr="00BB5885">
              <w:rPr>
                <w:sz w:val="18"/>
                <w:szCs w:val="18"/>
              </w:rPr>
              <w:t xml:space="preserve">Presents a bi-directional </w:t>
            </w:r>
            <w:r w:rsidR="006656E8" w:rsidRPr="00BB5885">
              <w:rPr>
                <w:sz w:val="18"/>
                <w:szCs w:val="18"/>
              </w:rPr>
              <w:t>soft coupling</w:t>
            </w:r>
            <w:r w:rsidRPr="00BB5885">
              <w:rPr>
                <w:sz w:val="18"/>
                <w:szCs w:val="18"/>
              </w:rPr>
              <w:t xml:space="preserve"> of a power system model with an integrated assessment model, to allow global IAM results to be analyzed with a more detailed sectoral model of the power system.</w:t>
            </w:r>
          </w:p>
        </w:tc>
        <w:tc>
          <w:tcPr>
            <w:tcW w:w="3531" w:type="dxa"/>
            <w:vAlign w:val="center"/>
          </w:tcPr>
          <w:p w14:paraId="0CCA6F37" w14:textId="77777777" w:rsidR="002650A4" w:rsidRPr="00BB5885" w:rsidRDefault="002650A4" w:rsidP="001A1ECD">
            <w:pPr>
              <w:spacing w:before="0" w:after="0"/>
              <w:contextualSpacing/>
              <w:rPr>
                <w:sz w:val="18"/>
                <w:szCs w:val="18"/>
              </w:rPr>
            </w:pPr>
            <w:r w:rsidRPr="00BB5885">
              <w:rPr>
                <w:sz w:val="18"/>
                <w:szCs w:val="18"/>
              </w:rPr>
              <w:t>Copperplate regions may overestimate intermittent renewables, while relative underutilization of battery storage in more detailed power system models is in part due to advantages offered by transmission expansion. A range of storage options of varying timescales would improve such analyses (e.g., pumped hydro offering seasonal storage for wind and batteries offering diurnal storage for solar as well as peak management).</w:t>
            </w:r>
          </w:p>
        </w:tc>
      </w:tr>
      <w:tr w:rsidR="002650A4" w:rsidRPr="0071548F" w14:paraId="3B399515" w14:textId="77777777" w:rsidTr="00F35942">
        <w:trPr>
          <w:trHeight w:val="1250"/>
        </w:trPr>
        <w:tc>
          <w:tcPr>
            <w:tcW w:w="805" w:type="dxa"/>
            <w:vAlign w:val="center"/>
          </w:tcPr>
          <w:p w14:paraId="5FF090D1" w14:textId="239734E3" w:rsidR="002650A4" w:rsidRPr="00F35942" w:rsidRDefault="00F263CE" w:rsidP="001A1ECD">
            <w:pPr>
              <w:spacing w:before="0" w:after="0"/>
              <w:contextualSpacing/>
              <w:rPr>
                <w:sz w:val="28"/>
                <w:szCs w:val="40"/>
              </w:rPr>
            </w:pPr>
            <w:r w:rsidRPr="00F35942">
              <w:rPr>
                <w:sz w:val="28"/>
                <w:szCs w:val="40"/>
                <w:vertAlign w:val="superscript"/>
              </w:rPr>
              <w:t>53</w:t>
            </w:r>
          </w:p>
        </w:tc>
        <w:tc>
          <w:tcPr>
            <w:tcW w:w="990" w:type="dxa"/>
            <w:vAlign w:val="center"/>
          </w:tcPr>
          <w:p w14:paraId="2AF092EB" w14:textId="77777777" w:rsidR="002650A4" w:rsidRPr="00BB5885" w:rsidRDefault="002650A4" w:rsidP="001A1ECD">
            <w:pPr>
              <w:spacing w:before="0" w:after="0"/>
              <w:contextualSpacing/>
              <w:rPr>
                <w:i/>
                <w:iCs/>
                <w:sz w:val="18"/>
                <w:szCs w:val="18"/>
              </w:rPr>
            </w:pPr>
            <w:r w:rsidRPr="00BB5885">
              <w:rPr>
                <w:i/>
                <w:iCs/>
                <w:sz w:val="18"/>
                <w:szCs w:val="18"/>
              </w:rPr>
              <w:t>PyPSA-Eur</w:t>
            </w:r>
          </w:p>
        </w:tc>
        <w:tc>
          <w:tcPr>
            <w:tcW w:w="3962" w:type="dxa"/>
            <w:vAlign w:val="center"/>
          </w:tcPr>
          <w:p w14:paraId="6A4117E9" w14:textId="77777777" w:rsidR="002650A4" w:rsidRPr="00BB5885" w:rsidRDefault="002650A4" w:rsidP="001A1ECD">
            <w:pPr>
              <w:spacing w:before="0" w:after="0"/>
              <w:contextualSpacing/>
              <w:rPr>
                <w:sz w:val="18"/>
                <w:szCs w:val="18"/>
              </w:rPr>
            </w:pPr>
            <w:r w:rsidRPr="00BB5885">
              <w:rPr>
                <w:sz w:val="18"/>
                <w:szCs w:val="18"/>
              </w:rPr>
              <w:t>Explores methods to disaggregate lower resolution spatial outputs for use in more detailed modeling, using a Europe case study.</w:t>
            </w:r>
          </w:p>
        </w:tc>
        <w:tc>
          <w:tcPr>
            <w:tcW w:w="3531" w:type="dxa"/>
            <w:vAlign w:val="center"/>
          </w:tcPr>
          <w:p w14:paraId="5E3F3DFA" w14:textId="77777777" w:rsidR="002650A4" w:rsidRPr="00BB5885" w:rsidRDefault="002650A4" w:rsidP="001A1ECD">
            <w:pPr>
              <w:spacing w:before="0" w:after="0"/>
              <w:contextualSpacing/>
              <w:rPr>
                <w:sz w:val="18"/>
                <w:szCs w:val="18"/>
              </w:rPr>
            </w:pPr>
            <w:r w:rsidRPr="00BB5885">
              <w:rPr>
                <w:sz w:val="18"/>
                <w:szCs w:val="18"/>
              </w:rPr>
              <w:t>Results taken from a highly aggregated model may become infeasible when downscaled, in part due to load shedding and unmodeled transmission congestion, though computational tractability remains an issue.</w:t>
            </w:r>
          </w:p>
        </w:tc>
      </w:tr>
    </w:tbl>
    <w:p w14:paraId="12E232C1" w14:textId="77777777" w:rsidR="006258A9" w:rsidRPr="006258A9" w:rsidRDefault="00BB5885" w:rsidP="00BB5885">
      <w:pPr>
        <w:pStyle w:val="TableCaption"/>
        <w:rPr>
          <w:noProof/>
          <w:vanish/>
          <w:specVanish/>
        </w:rPr>
      </w:pPr>
      <w:bookmarkStart w:id="23" w:name="_Ref193960738"/>
      <w:bookmarkStart w:id="24" w:name="_Toc194577050"/>
      <w:bookmarkStart w:id="25" w:name="_Toc194575610"/>
      <w:r>
        <w:lastRenderedPageBreak/>
        <w:t>Table S</w:t>
      </w:r>
      <w:r w:rsidR="00237128">
        <w:rPr>
          <w:noProof/>
        </w:rPr>
        <w:t>4</w:t>
      </w:r>
      <w:bookmarkEnd w:id="23"/>
      <w:bookmarkEnd w:id="24"/>
    </w:p>
    <w:p w14:paraId="7F893B8B" w14:textId="6E0B6267" w:rsidR="002650A4" w:rsidRPr="00B0047D" w:rsidRDefault="002650A4" w:rsidP="006258A9">
      <w:pPr>
        <w:pStyle w:val="Style3"/>
      </w:pPr>
      <w:r>
        <w:t>: List of selected (chronological) works incorporating uncertainty into electricity system models through random sampling or varying, e.g., parameter inputs, policy levers, structural relationships, etc.</w:t>
      </w:r>
      <w:bookmarkEnd w:id="25"/>
    </w:p>
    <w:tbl>
      <w:tblPr>
        <w:tblStyle w:val="TableGrid"/>
        <w:tblW w:w="4955" w:type="pct"/>
        <w:tblLayout w:type="fixed"/>
        <w:tblCellMar>
          <w:top w:w="14" w:type="dxa"/>
          <w:left w:w="58" w:type="dxa"/>
          <w:right w:w="58" w:type="dxa"/>
        </w:tblCellMar>
        <w:tblLook w:val="04A0" w:firstRow="1" w:lastRow="0" w:firstColumn="1" w:lastColumn="0" w:noHBand="0" w:noVBand="1"/>
      </w:tblPr>
      <w:tblGrid>
        <w:gridCol w:w="895"/>
        <w:gridCol w:w="1260"/>
        <w:gridCol w:w="3294"/>
        <w:gridCol w:w="3817"/>
      </w:tblGrid>
      <w:tr w:rsidR="002650A4" w:rsidRPr="0071548F" w14:paraId="2EB9E947" w14:textId="77777777" w:rsidTr="00F35942">
        <w:trPr>
          <w:trHeight w:val="296"/>
        </w:trPr>
        <w:tc>
          <w:tcPr>
            <w:tcW w:w="895" w:type="dxa"/>
            <w:vAlign w:val="center"/>
          </w:tcPr>
          <w:p w14:paraId="4EBE4E1D" w14:textId="77777777" w:rsidR="002650A4" w:rsidRPr="004759FA" w:rsidRDefault="002650A4" w:rsidP="00F35942">
            <w:pPr>
              <w:spacing w:before="0" w:after="0"/>
              <w:contextualSpacing/>
              <w:jc w:val="center"/>
              <w:rPr>
                <w:b/>
                <w:bCs/>
                <w:sz w:val="20"/>
                <w:szCs w:val="20"/>
              </w:rPr>
            </w:pPr>
            <w:r w:rsidRPr="004759FA">
              <w:rPr>
                <w:b/>
                <w:bCs/>
                <w:sz w:val="20"/>
                <w:szCs w:val="20"/>
              </w:rPr>
              <w:t>Ref.</w:t>
            </w:r>
          </w:p>
        </w:tc>
        <w:tc>
          <w:tcPr>
            <w:tcW w:w="1260" w:type="dxa"/>
            <w:vAlign w:val="center"/>
          </w:tcPr>
          <w:p w14:paraId="75C789DF" w14:textId="77777777" w:rsidR="002650A4" w:rsidRPr="004759FA" w:rsidRDefault="002650A4" w:rsidP="00F35942">
            <w:pPr>
              <w:spacing w:before="0" w:after="0"/>
              <w:contextualSpacing/>
              <w:jc w:val="center"/>
              <w:rPr>
                <w:b/>
                <w:bCs/>
                <w:sz w:val="20"/>
                <w:szCs w:val="20"/>
              </w:rPr>
            </w:pPr>
            <w:r w:rsidRPr="004759FA">
              <w:rPr>
                <w:b/>
                <w:bCs/>
                <w:sz w:val="20"/>
                <w:szCs w:val="20"/>
              </w:rPr>
              <w:t>Model</w:t>
            </w:r>
          </w:p>
        </w:tc>
        <w:tc>
          <w:tcPr>
            <w:tcW w:w="3294" w:type="dxa"/>
            <w:vAlign w:val="center"/>
          </w:tcPr>
          <w:p w14:paraId="030119F7" w14:textId="77777777" w:rsidR="002650A4" w:rsidRPr="004759FA" w:rsidRDefault="002650A4" w:rsidP="00F35942">
            <w:pPr>
              <w:spacing w:before="0" w:after="0"/>
              <w:contextualSpacing/>
              <w:jc w:val="center"/>
              <w:rPr>
                <w:b/>
                <w:bCs/>
                <w:sz w:val="20"/>
                <w:szCs w:val="20"/>
              </w:rPr>
            </w:pPr>
            <w:r w:rsidRPr="004759FA">
              <w:rPr>
                <w:b/>
                <w:bCs/>
                <w:sz w:val="20"/>
                <w:szCs w:val="20"/>
              </w:rPr>
              <w:t>Focus</w:t>
            </w:r>
          </w:p>
        </w:tc>
        <w:tc>
          <w:tcPr>
            <w:tcW w:w="3817" w:type="dxa"/>
            <w:vAlign w:val="center"/>
          </w:tcPr>
          <w:p w14:paraId="5C4DC636" w14:textId="77777777" w:rsidR="002650A4" w:rsidRPr="004759FA" w:rsidRDefault="002650A4" w:rsidP="00F35942">
            <w:pPr>
              <w:spacing w:before="0" w:after="0"/>
              <w:contextualSpacing/>
              <w:jc w:val="center"/>
              <w:rPr>
                <w:b/>
                <w:bCs/>
                <w:sz w:val="20"/>
                <w:szCs w:val="20"/>
              </w:rPr>
            </w:pPr>
            <w:r w:rsidRPr="004759FA">
              <w:rPr>
                <w:b/>
                <w:bCs/>
                <w:sz w:val="20"/>
                <w:szCs w:val="20"/>
              </w:rPr>
              <w:t>Uncertainties</w:t>
            </w:r>
          </w:p>
        </w:tc>
      </w:tr>
      <w:tr w:rsidR="002650A4" w:rsidRPr="0071548F" w14:paraId="35464359" w14:textId="77777777" w:rsidTr="00F35942">
        <w:trPr>
          <w:trHeight w:val="1502"/>
        </w:trPr>
        <w:tc>
          <w:tcPr>
            <w:tcW w:w="895" w:type="dxa"/>
            <w:vAlign w:val="center"/>
          </w:tcPr>
          <w:p w14:paraId="2D37033D" w14:textId="689A6DEA" w:rsidR="002650A4" w:rsidRPr="00F35942" w:rsidRDefault="00F263CE" w:rsidP="001A1ECD">
            <w:pPr>
              <w:spacing w:before="0" w:after="0"/>
              <w:contextualSpacing/>
              <w:rPr>
                <w:sz w:val="28"/>
                <w:szCs w:val="36"/>
              </w:rPr>
            </w:pPr>
            <w:r w:rsidRPr="00F35942">
              <w:rPr>
                <w:sz w:val="28"/>
                <w:szCs w:val="36"/>
                <w:vertAlign w:val="superscript"/>
              </w:rPr>
              <w:t>61</w:t>
            </w:r>
          </w:p>
        </w:tc>
        <w:tc>
          <w:tcPr>
            <w:tcW w:w="1260" w:type="dxa"/>
            <w:vAlign w:val="center"/>
          </w:tcPr>
          <w:p w14:paraId="328408B6" w14:textId="56B07D8F" w:rsidR="002650A4" w:rsidRPr="004759FA" w:rsidRDefault="002650A4" w:rsidP="001A1ECD">
            <w:pPr>
              <w:spacing w:before="0" w:after="0"/>
              <w:contextualSpacing/>
              <w:rPr>
                <w:i/>
                <w:iCs/>
                <w:sz w:val="20"/>
                <w:szCs w:val="20"/>
              </w:rPr>
            </w:pPr>
            <w:r w:rsidRPr="004759FA">
              <w:rPr>
                <w:i/>
                <w:iCs/>
                <w:sz w:val="20"/>
                <w:szCs w:val="20"/>
              </w:rPr>
              <w:t xml:space="preserve">Developed for </w:t>
            </w:r>
            <w:r w:rsidR="004B60C4">
              <w:rPr>
                <w:i/>
                <w:iCs/>
                <w:sz w:val="20"/>
                <w:szCs w:val="20"/>
              </w:rPr>
              <w:t>Ref.</w:t>
            </w:r>
          </w:p>
        </w:tc>
        <w:tc>
          <w:tcPr>
            <w:tcW w:w="3294" w:type="dxa"/>
            <w:vAlign w:val="center"/>
          </w:tcPr>
          <w:p w14:paraId="0E4F07E2" w14:textId="77777777" w:rsidR="002650A4" w:rsidRPr="004759FA" w:rsidRDefault="002650A4" w:rsidP="001A1ECD">
            <w:pPr>
              <w:spacing w:before="0" w:after="0"/>
              <w:contextualSpacing/>
              <w:rPr>
                <w:sz w:val="20"/>
                <w:szCs w:val="20"/>
              </w:rPr>
            </w:pPr>
            <w:r w:rsidRPr="004759FA">
              <w:rPr>
                <w:sz w:val="20"/>
                <w:szCs w:val="20"/>
              </w:rPr>
              <w:t>Brings modeling to generate alternatives (MGA) to energy system models for systematic exploration of outcomes by producing a broad set of near-optimal solutions</w:t>
            </w:r>
            <w:r>
              <w:rPr>
                <w:sz w:val="20"/>
                <w:szCs w:val="20"/>
              </w:rPr>
              <w:t>;</w:t>
            </w:r>
            <w:r w:rsidRPr="004759FA">
              <w:rPr>
                <w:sz w:val="20"/>
                <w:szCs w:val="20"/>
              </w:rPr>
              <w:t xml:space="preserve"> uses example of US electricity system</w:t>
            </w:r>
          </w:p>
        </w:tc>
        <w:tc>
          <w:tcPr>
            <w:tcW w:w="3817" w:type="dxa"/>
            <w:vAlign w:val="center"/>
          </w:tcPr>
          <w:p w14:paraId="08EE33CF"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Varies the “slack” in the objective function to produce alternative decision sets</w:t>
            </w:r>
          </w:p>
        </w:tc>
      </w:tr>
      <w:tr w:rsidR="002650A4" w:rsidRPr="0071548F" w14:paraId="74DFC464" w14:textId="77777777" w:rsidTr="00F35942">
        <w:trPr>
          <w:trHeight w:val="1151"/>
        </w:trPr>
        <w:tc>
          <w:tcPr>
            <w:tcW w:w="895" w:type="dxa"/>
            <w:vAlign w:val="center"/>
          </w:tcPr>
          <w:p w14:paraId="63927B2E" w14:textId="574653A4" w:rsidR="002650A4" w:rsidRPr="00F35942" w:rsidRDefault="00F263CE" w:rsidP="001A1ECD">
            <w:pPr>
              <w:spacing w:before="0" w:after="0"/>
              <w:contextualSpacing/>
              <w:rPr>
                <w:b/>
                <w:bCs/>
                <w:sz w:val="28"/>
                <w:szCs w:val="36"/>
              </w:rPr>
            </w:pPr>
            <w:r w:rsidRPr="00F35942">
              <w:rPr>
                <w:sz w:val="28"/>
                <w:szCs w:val="36"/>
                <w:vertAlign w:val="superscript"/>
              </w:rPr>
              <w:t>81</w:t>
            </w:r>
          </w:p>
        </w:tc>
        <w:tc>
          <w:tcPr>
            <w:tcW w:w="1260" w:type="dxa"/>
            <w:vAlign w:val="center"/>
          </w:tcPr>
          <w:p w14:paraId="058C895A" w14:textId="77777777" w:rsidR="002650A4" w:rsidRPr="004759FA" w:rsidRDefault="002650A4" w:rsidP="001A1ECD">
            <w:pPr>
              <w:spacing w:before="0" w:after="0"/>
              <w:contextualSpacing/>
              <w:rPr>
                <w:b/>
                <w:bCs/>
                <w:sz w:val="20"/>
                <w:szCs w:val="20"/>
              </w:rPr>
            </w:pPr>
            <w:r w:rsidRPr="004759FA">
              <w:rPr>
                <w:i/>
                <w:iCs/>
                <w:sz w:val="20"/>
                <w:szCs w:val="20"/>
              </w:rPr>
              <w:t>SWITCH</w:t>
            </w:r>
          </w:p>
        </w:tc>
        <w:tc>
          <w:tcPr>
            <w:tcW w:w="3294" w:type="dxa"/>
            <w:vAlign w:val="center"/>
          </w:tcPr>
          <w:p w14:paraId="7B7DFBE9" w14:textId="77777777" w:rsidR="002650A4" w:rsidRPr="004759FA" w:rsidRDefault="002650A4" w:rsidP="001A1ECD">
            <w:pPr>
              <w:spacing w:before="0" w:after="0"/>
              <w:contextualSpacing/>
              <w:rPr>
                <w:b/>
                <w:bCs/>
                <w:sz w:val="20"/>
                <w:szCs w:val="20"/>
              </w:rPr>
            </w:pPr>
            <w:r w:rsidRPr="004759FA">
              <w:rPr>
                <w:sz w:val="20"/>
                <w:szCs w:val="20"/>
              </w:rPr>
              <w:t>Optimal generation, storage, and transmission expansion in western North America, using carbon pricing to meet 2030 emission targets</w:t>
            </w:r>
          </w:p>
        </w:tc>
        <w:tc>
          <w:tcPr>
            <w:tcW w:w="3817" w:type="dxa"/>
            <w:vAlign w:val="center"/>
          </w:tcPr>
          <w:p w14:paraId="2B361F05"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Overnight capital cost of nuclear</w:t>
            </w:r>
          </w:p>
          <w:p w14:paraId="5650C294"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Interannual change in gas price</w:t>
            </w:r>
          </w:p>
          <w:p w14:paraId="734597B5"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Cost decline rate of solar PV</w:t>
            </w:r>
          </w:p>
          <w:p w14:paraId="4FD9E2D4"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Cost decline rate of CSP</w:t>
            </w:r>
          </w:p>
        </w:tc>
      </w:tr>
      <w:tr w:rsidR="002650A4" w:rsidRPr="0071548F" w14:paraId="2243F288" w14:textId="77777777" w:rsidTr="00F35942">
        <w:trPr>
          <w:trHeight w:val="1160"/>
        </w:trPr>
        <w:tc>
          <w:tcPr>
            <w:tcW w:w="895" w:type="dxa"/>
            <w:vAlign w:val="center"/>
          </w:tcPr>
          <w:p w14:paraId="477E2750" w14:textId="346A0EE4" w:rsidR="002650A4" w:rsidRPr="00F35942" w:rsidRDefault="00F263CE" w:rsidP="001A1ECD">
            <w:pPr>
              <w:spacing w:before="0" w:after="0"/>
              <w:contextualSpacing/>
              <w:rPr>
                <w:sz w:val="28"/>
                <w:szCs w:val="36"/>
              </w:rPr>
            </w:pPr>
            <w:r w:rsidRPr="00F35942">
              <w:rPr>
                <w:sz w:val="28"/>
                <w:szCs w:val="36"/>
                <w:vertAlign w:val="superscript"/>
              </w:rPr>
              <w:t>73</w:t>
            </w:r>
          </w:p>
        </w:tc>
        <w:tc>
          <w:tcPr>
            <w:tcW w:w="1260" w:type="dxa"/>
            <w:vAlign w:val="center"/>
          </w:tcPr>
          <w:p w14:paraId="4DB712FC" w14:textId="77777777" w:rsidR="002650A4" w:rsidRPr="004759FA" w:rsidRDefault="002650A4" w:rsidP="001A1ECD">
            <w:pPr>
              <w:spacing w:before="0" w:after="0"/>
              <w:contextualSpacing/>
              <w:rPr>
                <w:i/>
                <w:iCs/>
                <w:sz w:val="20"/>
                <w:szCs w:val="20"/>
              </w:rPr>
            </w:pPr>
            <w:r w:rsidRPr="004759FA">
              <w:rPr>
                <w:i/>
                <w:iCs/>
                <w:sz w:val="20"/>
                <w:szCs w:val="20"/>
              </w:rPr>
              <w:t>Stochastic MARKAL</w:t>
            </w:r>
          </w:p>
        </w:tc>
        <w:tc>
          <w:tcPr>
            <w:tcW w:w="3294" w:type="dxa"/>
            <w:vAlign w:val="center"/>
          </w:tcPr>
          <w:p w14:paraId="03602F1C" w14:textId="77777777" w:rsidR="002650A4" w:rsidRPr="004759FA" w:rsidRDefault="002650A4" w:rsidP="001A1ECD">
            <w:pPr>
              <w:spacing w:before="0" w:after="0"/>
              <w:contextualSpacing/>
              <w:rPr>
                <w:sz w:val="20"/>
                <w:szCs w:val="20"/>
              </w:rPr>
            </w:pPr>
            <w:r w:rsidRPr="004759FA">
              <w:rPr>
                <w:sz w:val="20"/>
                <w:szCs w:val="20"/>
              </w:rPr>
              <w:t>Illustrat</w:t>
            </w:r>
            <w:r>
              <w:rPr>
                <w:sz w:val="20"/>
                <w:szCs w:val="20"/>
              </w:rPr>
              <w:t>es</w:t>
            </w:r>
            <w:r w:rsidRPr="004759FA">
              <w:rPr>
                <w:sz w:val="20"/>
                <w:szCs w:val="20"/>
              </w:rPr>
              <w:t xml:space="preserve"> the value of a stochastic programming approach to an uncertainty analysis of the US electric sector, for policy decision support</w:t>
            </w:r>
          </w:p>
        </w:tc>
        <w:tc>
          <w:tcPr>
            <w:tcW w:w="3817" w:type="dxa"/>
            <w:vAlign w:val="center"/>
          </w:tcPr>
          <w:p w14:paraId="1BFBE552"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Climate policy</w:t>
            </w:r>
          </w:p>
          <w:p w14:paraId="29992B58"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CCS availability</w:t>
            </w:r>
          </w:p>
          <w:p w14:paraId="74209D6A"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Nuclear availability</w:t>
            </w:r>
          </w:p>
        </w:tc>
      </w:tr>
      <w:tr w:rsidR="002650A4" w:rsidRPr="0071548F" w14:paraId="673490D8" w14:textId="77777777" w:rsidTr="00F35942">
        <w:trPr>
          <w:trHeight w:val="1160"/>
        </w:trPr>
        <w:tc>
          <w:tcPr>
            <w:tcW w:w="895" w:type="dxa"/>
            <w:vAlign w:val="center"/>
          </w:tcPr>
          <w:p w14:paraId="23BC0B2C" w14:textId="5D525597" w:rsidR="002650A4" w:rsidRPr="00F35942" w:rsidRDefault="00F263CE" w:rsidP="001A1ECD">
            <w:pPr>
              <w:spacing w:before="0" w:after="0"/>
              <w:contextualSpacing/>
              <w:rPr>
                <w:sz w:val="28"/>
                <w:szCs w:val="36"/>
              </w:rPr>
            </w:pPr>
            <w:r w:rsidRPr="00F35942">
              <w:rPr>
                <w:sz w:val="28"/>
                <w:szCs w:val="36"/>
                <w:vertAlign w:val="superscript"/>
              </w:rPr>
              <w:t>60</w:t>
            </w:r>
          </w:p>
        </w:tc>
        <w:tc>
          <w:tcPr>
            <w:tcW w:w="1260" w:type="dxa"/>
            <w:vAlign w:val="center"/>
          </w:tcPr>
          <w:p w14:paraId="00056091" w14:textId="2C67BB91" w:rsidR="002650A4" w:rsidRPr="004759FA" w:rsidRDefault="002650A4" w:rsidP="001A1ECD">
            <w:pPr>
              <w:spacing w:before="0" w:after="0"/>
              <w:contextualSpacing/>
              <w:rPr>
                <w:i/>
                <w:iCs/>
                <w:sz w:val="20"/>
                <w:szCs w:val="20"/>
              </w:rPr>
            </w:pPr>
            <w:r w:rsidRPr="004759FA">
              <w:rPr>
                <w:i/>
                <w:iCs/>
                <w:sz w:val="20"/>
                <w:szCs w:val="20"/>
              </w:rPr>
              <w:t xml:space="preserve">Developed for </w:t>
            </w:r>
            <w:r w:rsidR="004B60C4">
              <w:rPr>
                <w:i/>
                <w:iCs/>
                <w:sz w:val="20"/>
                <w:szCs w:val="20"/>
              </w:rPr>
              <w:t>Ref.</w:t>
            </w:r>
          </w:p>
        </w:tc>
        <w:tc>
          <w:tcPr>
            <w:tcW w:w="3294" w:type="dxa"/>
            <w:vAlign w:val="center"/>
          </w:tcPr>
          <w:p w14:paraId="69565C63" w14:textId="77777777" w:rsidR="002650A4" w:rsidRPr="004759FA" w:rsidRDefault="002650A4" w:rsidP="001A1ECD">
            <w:pPr>
              <w:spacing w:before="0" w:after="0"/>
              <w:contextualSpacing/>
              <w:rPr>
                <w:sz w:val="20"/>
                <w:szCs w:val="20"/>
              </w:rPr>
            </w:pPr>
            <w:r w:rsidRPr="004759FA">
              <w:rPr>
                <w:sz w:val="20"/>
                <w:szCs w:val="20"/>
              </w:rPr>
              <w:t>Predict</w:t>
            </w:r>
            <w:r>
              <w:rPr>
                <w:sz w:val="20"/>
                <w:szCs w:val="20"/>
              </w:rPr>
              <w:t>s</w:t>
            </w:r>
            <w:r w:rsidRPr="004759FA">
              <w:rPr>
                <w:sz w:val="20"/>
                <w:szCs w:val="20"/>
              </w:rPr>
              <w:t xml:space="preserve"> potential grid integration of wind power in China</w:t>
            </w:r>
            <w:r>
              <w:rPr>
                <w:sz w:val="20"/>
                <w:szCs w:val="20"/>
              </w:rPr>
              <w:t xml:space="preserve">; </w:t>
            </w:r>
            <w:r w:rsidRPr="004759FA">
              <w:rPr>
                <w:sz w:val="20"/>
                <w:szCs w:val="20"/>
              </w:rPr>
              <w:t>explor</w:t>
            </w:r>
            <w:r>
              <w:rPr>
                <w:sz w:val="20"/>
                <w:szCs w:val="20"/>
              </w:rPr>
              <w:t>es</w:t>
            </w:r>
            <w:r w:rsidRPr="004759FA">
              <w:rPr>
                <w:sz w:val="20"/>
                <w:szCs w:val="20"/>
              </w:rPr>
              <w:t xml:space="preserve"> how increased flexibility in coal plant operation could increase </w:t>
            </w:r>
            <w:r>
              <w:rPr>
                <w:sz w:val="20"/>
                <w:szCs w:val="20"/>
              </w:rPr>
              <w:t>this potential</w:t>
            </w:r>
          </w:p>
        </w:tc>
        <w:tc>
          <w:tcPr>
            <w:tcW w:w="3817" w:type="dxa"/>
            <w:vAlign w:val="center"/>
          </w:tcPr>
          <w:p w14:paraId="31232745"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Wind turbine spacing</w:t>
            </w:r>
          </w:p>
          <w:p w14:paraId="2CA65996"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Water depth (offshore wind)</w:t>
            </w:r>
          </w:p>
          <w:p w14:paraId="04C788F7"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Capital and O&amp;M costs for wind</w:t>
            </w:r>
          </w:p>
          <w:p w14:paraId="75DE2B6B"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Grid integration costs for wind</w:t>
            </w:r>
          </w:p>
        </w:tc>
      </w:tr>
      <w:tr w:rsidR="002650A4" w:rsidRPr="0071548F" w14:paraId="7F4234D5" w14:textId="77777777" w:rsidTr="00F35942">
        <w:trPr>
          <w:trHeight w:val="1340"/>
        </w:trPr>
        <w:tc>
          <w:tcPr>
            <w:tcW w:w="895" w:type="dxa"/>
            <w:vAlign w:val="center"/>
          </w:tcPr>
          <w:p w14:paraId="66A59ABD" w14:textId="42AE978B" w:rsidR="002650A4" w:rsidRPr="00F35942" w:rsidRDefault="00F263CE" w:rsidP="001A1ECD">
            <w:pPr>
              <w:spacing w:before="0" w:after="0"/>
              <w:contextualSpacing/>
              <w:rPr>
                <w:sz w:val="28"/>
                <w:szCs w:val="36"/>
              </w:rPr>
            </w:pPr>
            <w:r w:rsidRPr="00F35942">
              <w:rPr>
                <w:sz w:val="28"/>
                <w:szCs w:val="36"/>
                <w:vertAlign w:val="superscript"/>
              </w:rPr>
              <w:t>66</w:t>
            </w:r>
          </w:p>
        </w:tc>
        <w:tc>
          <w:tcPr>
            <w:tcW w:w="1260" w:type="dxa"/>
            <w:vAlign w:val="center"/>
          </w:tcPr>
          <w:p w14:paraId="7A2E308E" w14:textId="58511493" w:rsidR="002650A4" w:rsidRPr="004759FA" w:rsidRDefault="002650A4" w:rsidP="001A1ECD">
            <w:pPr>
              <w:spacing w:before="0" w:after="0"/>
              <w:contextualSpacing/>
              <w:rPr>
                <w:i/>
                <w:iCs/>
                <w:sz w:val="20"/>
                <w:szCs w:val="20"/>
              </w:rPr>
            </w:pPr>
            <w:r w:rsidRPr="004759FA">
              <w:rPr>
                <w:i/>
                <w:iCs/>
                <w:sz w:val="20"/>
                <w:szCs w:val="20"/>
              </w:rPr>
              <w:t xml:space="preserve">energyscope, as in </w:t>
            </w:r>
            <w:r w:rsidR="00F263CE" w:rsidRPr="00F263CE">
              <w:rPr>
                <w:sz w:val="20"/>
                <w:vertAlign w:val="superscript"/>
              </w:rPr>
              <w:t>82</w:t>
            </w:r>
          </w:p>
        </w:tc>
        <w:tc>
          <w:tcPr>
            <w:tcW w:w="3294" w:type="dxa"/>
            <w:vAlign w:val="center"/>
          </w:tcPr>
          <w:p w14:paraId="5909A701" w14:textId="77777777" w:rsidR="002650A4" w:rsidRPr="004759FA" w:rsidRDefault="002650A4" w:rsidP="001A1ECD">
            <w:pPr>
              <w:spacing w:before="0" w:after="0"/>
              <w:contextualSpacing/>
              <w:rPr>
                <w:sz w:val="20"/>
                <w:szCs w:val="20"/>
              </w:rPr>
            </w:pPr>
            <w:r w:rsidRPr="004759FA">
              <w:rPr>
                <w:sz w:val="20"/>
                <w:szCs w:val="20"/>
              </w:rPr>
              <w:t>Method to characterize uncertainties and estimate uncertainty ranges in energy planning models, including a global sensitivity analysis case study for Switzerland</w:t>
            </w:r>
          </w:p>
        </w:tc>
        <w:tc>
          <w:tcPr>
            <w:tcW w:w="3817" w:type="dxa"/>
            <w:vAlign w:val="center"/>
          </w:tcPr>
          <w:p w14:paraId="6258AF19"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21 categories of uncertain parameters, including investment and operating costs, capacity factors, efficiencies, and interest rate, among others</w:t>
            </w:r>
          </w:p>
        </w:tc>
      </w:tr>
      <w:tr w:rsidR="002650A4" w:rsidRPr="0071548F" w14:paraId="366DE2FD" w14:textId="77777777" w:rsidTr="00F35942">
        <w:trPr>
          <w:trHeight w:val="2330"/>
        </w:trPr>
        <w:tc>
          <w:tcPr>
            <w:tcW w:w="895" w:type="dxa"/>
            <w:vAlign w:val="center"/>
          </w:tcPr>
          <w:p w14:paraId="29F1DF05" w14:textId="0C4D993F" w:rsidR="002650A4" w:rsidRPr="00F35942" w:rsidRDefault="00F263CE" w:rsidP="001A1ECD">
            <w:pPr>
              <w:spacing w:before="0" w:after="0"/>
              <w:contextualSpacing/>
              <w:rPr>
                <w:sz w:val="28"/>
                <w:szCs w:val="36"/>
              </w:rPr>
            </w:pPr>
            <w:r w:rsidRPr="00F35942">
              <w:rPr>
                <w:sz w:val="28"/>
                <w:szCs w:val="36"/>
                <w:vertAlign w:val="superscript"/>
              </w:rPr>
              <w:t>83</w:t>
            </w:r>
          </w:p>
        </w:tc>
        <w:tc>
          <w:tcPr>
            <w:tcW w:w="1260" w:type="dxa"/>
            <w:vAlign w:val="center"/>
          </w:tcPr>
          <w:p w14:paraId="3F057E3C" w14:textId="77777777" w:rsidR="002650A4" w:rsidRPr="004759FA" w:rsidRDefault="002650A4" w:rsidP="001A1ECD">
            <w:pPr>
              <w:spacing w:before="0" w:after="0"/>
              <w:contextualSpacing/>
              <w:rPr>
                <w:i/>
                <w:iCs/>
                <w:sz w:val="20"/>
                <w:szCs w:val="20"/>
              </w:rPr>
            </w:pPr>
            <w:r w:rsidRPr="004759FA">
              <w:rPr>
                <w:i/>
                <w:iCs/>
                <w:sz w:val="20"/>
                <w:szCs w:val="20"/>
              </w:rPr>
              <w:t>ReEDS</w:t>
            </w:r>
          </w:p>
        </w:tc>
        <w:tc>
          <w:tcPr>
            <w:tcW w:w="3294" w:type="dxa"/>
            <w:vAlign w:val="center"/>
          </w:tcPr>
          <w:p w14:paraId="50C89F35" w14:textId="77777777" w:rsidR="002650A4" w:rsidRPr="004759FA" w:rsidRDefault="002650A4" w:rsidP="001A1ECD">
            <w:pPr>
              <w:spacing w:before="0" w:after="0"/>
              <w:contextualSpacing/>
              <w:rPr>
                <w:sz w:val="20"/>
                <w:szCs w:val="20"/>
              </w:rPr>
            </w:pPr>
            <w:r w:rsidRPr="004759FA">
              <w:rPr>
                <w:sz w:val="20"/>
                <w:szCs w:val="20"/>
              </w:rPr>
              <w:t>Explores effects of higher intermittent renewable energy shares on grid operation in the US, finding increased value in flexibility from a broad range of technologies as well as altered temporal dynamics in extreme price hours</w:t>
            </w:r>
          </w:p>
        </w:tc>
        <w:tc>
          <w:tcPr>
            <w:tcW w:w="3817" w:type="dxa"/>
            <w:vAlign w:val="center"/>
          </w:tcPr>
          <w:p w14:paraId="3B90A52C"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Demand growth rate</w:t>
            </w:r>
          </w:p>
          <w:p w14:paraId="371D588F"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Vehicle electrification</w:t>
            </w:r>
          </w:p>
          <w:p w14:paraId="7BDB3C0A"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Natural gas price</w:t>
            </w:r>
          </w:p>
          <w:p w14:paraId="249B4086"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Costs of generation &amp; storage technologies</w:t>
            </w:r>
          </w:p>
          <w:p w14:paraId="730715F0"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Financing assumptions</w:t>
            </w:r>
          </w:p>
          <w:p w14:paraId="71E1A068"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Retirement timelines for nuclear and coal</w:t>
            </w:r>
          </w:p>
          <w:p w14:paraId="77D3984F" w14:textId="77777777" w:rsidR="002650A4" w:rsidRPr="00860640"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Climate impacts</w:t>
            </w:r>
            <w:r>
              <w:rPr>
                <w:sz w:val="20"/>
                <w:szCs w:val="20"/>
              </w:rPr>
              <w:t xml:space="preserve"> and r</w:t>
            </w:r>
            <w:r w:rsidRPr="00860640">
              <w:rPr>
                <w:sz w:val="20"/>
                <w:szCs w:val="20"/>
              </w:rPr>
              <w:t>esource supply curves</w:t>
            </w:r>
          </w:p>
          <w:p w14:paraId="0B870983"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Transmission expansion</w:t>
            </w:r>
          </w:p>
          <w:p w14:paraId="56848EFA"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Cooling water use</w:t>
            </w:r>
          </w:p>
        </w:tc>
      </w:tr>
      <w:tr w:rsidR="002650A4" w:rsidRPr="0071548F" w14:paraId="686147FC" w14:textId="77777777" w:rsidTr="00F35942">
        <w:trPr>
          <w:trHeight w:val="2249"/>
        </w:trPr>
        <w:tc>
          <w:tcPr>
            <w:tcW w:w="895" w:type="dxa"/>
            <w:vAlign w:val="center"/>
          </w:tcPr>
          <w:p w14:paraId="30A9D968" w14:textId="6452EE06" w:rsidR="002650A4" w:rsidRPr="00F35942" w:rsidRDefault="00F263CE" w:rsidP="001A1ECD">
            <w:pPr>
              <w:spacing w:before="0" w:after="0"/>
              <w:contextualSpacing/>
              <w:rPr>
                <w:sz w:val="28"/>
                <w:szCs w:val="36"/>
              </w:rPr>
            </w:pPr>
            <w:r w:rsidRPr="00F35942">
              <w:rPr>
                <w:sz w:val="28"/>
                <w:szCs w:val="36"/>
                <w:vertAlign w:val="superscript"/>
              </w:rPr>
              <w:t>67</w:t>
            </w:r>
          </w:p>
        </w:tc>
        <w:tc>
          <w:tcPr>
            <w:tcW w:w="1260" w:type="dxa"/>
            <w:vAlign w:val="center"/>
          </w:tcPr>
          <w:p w14:paraId="7F0627EB" w14:textId="22D42D73" w:rsidR="002650A4" w:rsidRPr="004759FA" w:rsidRDefault="002650A4" w:rsidP="001A1ECD">
            <w:pPr>
              <w:spacing w:before="0" w:after="0"/>
              <w:contextualSpacing/>
              <w:rPr>
                <w:i/>
                <w:iCs/>
                <w:sz w:val="20"/>
                <w:szCs w:val="20"/>
              </w:rPr>
            </w:pPr>
            <w:r w:rsidRPr="004759FA">
              <w:rPr>
                <w:i/>
                <w:iCs/>
                <w:sz w:val="20"/>
                <w:szCs w:val="20"/>
              </w:rPr>
              <w:t xml:space="preserve">Developed for </w:t>
            </w:r>
            <w:r w:rsidR="004B60C4">
              <w:rPr>
                <w:i/>
                <w:iCs/>
                <w:sz w:val="20"/>
                <w:szCs w:val="20"/>
              </w:rPr>
              <w:t>Ref.</w:t>
            </w:r>
          </w:p>
        </w:tc>
        <w:tc>
          <w:tcPr>
            <w:tcW w:w="3294" w:type="dxa"/>
            <w:vAlign w:val="center"/>
          </w:tcPr>
          <w:p w14:paraId="2A366AF8" w14:textId="77777777" w:rsidR="002650A4" w:rsidRPr="004759FA" w:rsidRDefault="002650A4" w:rsidP="001A1ECD">
            <w:pPr>
              <w:spacing w:before="0" w:after="0"/>
              <w:contextualSpacing/>
              <w:rPr>
                <w:sz w:val="20"/>
                <w:szCs w:val="20"/>
              </w:rPr>
            </w:pPr>
            <w:r w:rsidRPr="004759FA">
              <w:rPr>
                <w:sz w:val="20"/>
                <w:szCs w:val="20"/>
              </w:rPr>
              <w:t>Estimates onshore wind potential in Finland and installation costs based on turbine characteristics and distance from transmission, noting economic potential calculations remain difficult due to cost uncertaint</w:t>
            </w:r>
            <w:r>
              <w:rPr>
                <w:sz w:val="20"/>
                <w:szCs w:val="20"/>
              </w:rPr>
              <w:t>y</w:t>
            </w:r>
            <w:r w:rsidRPr="004759FA">
              <w:rPr>
                <w:sz w:val="20"/>
                <w:szCs w:val="20"/>
              </w:rPr>
              <w:t>, with additional supplemental literature review highlighting previous work which examines specific wind turbine types</w:t>
            </w:r>
          </w:p>
        </w:tc>
        <w:tc>
          <w:tcPr>
            <w:tcW w:w="3817" w:type="dxa"/>
            <w:vAlign w:val="center"/>
          </w:tcPr>
          <w:p w14:paraId="04B264AB"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Land use restrictiveness</w:t>
            </w:r>
          </w:p>
          <w:p w14:paraId="4ACCACEB"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Turbine vintage and specific model</w:t>
            </w:r>
          </w:p>
          <w:p w14:paraId="29128113"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Turbine hub height</w:t>
            </w:r>
          </w:p>
          <w:p w14:paraId="45EE773D"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Sensitivity analysis shows impact of, e.g., capacity factor, interest rate, costs of grid connection and transmission lines, and O&amp;M costs, among others</w:t>
            </w:r>
          </w:p>
        </w:tc>
      </w:tr>
      <w:tr w:rsidR="002650A4" w:rsidRPr="0071548F" w14:paraId="3D4167E6" w14:textId="77777777" w:rsidTr="00F35942">
        <w:trPr>
          <w:trHeight w:val="620"/>
        </w:trPr>
        <w:tc>
          <w:tcPr>
            <w:tcW w:w="895" w:type="dxa"/>
            <w:vAlign w:val="center"/>
          </w:tcPr>
          <w:p w14:paraId="77136CCE" w14:textId="39898A11" w:rsidR="002650A4" w:rsidRPr="00F35942" w:rsidRDefault="00F263CE" w:rsidP="001A1ECD">
            <w:pPr>
              <w:spacing w:before="0" w:after="0"/>
              <w:contextualSpacing/>
              <w:rPr>
                <w:sz w:val="28"/>
                <w:szCs w:val="36"/>
              </w:rPr>
            </w:pPr>
            <w:r w:rsidRPr="00F35942">
              <w:rPr>
                <w:sz w:val="28"/>
                <w:szCs w:val="36"/>
                <w:vertAlign w:val="superscript"/>
              </w:rPr>
              <w:t>77</w:t>
            </w:r>
          </w:p>
        </w:tc>
        <w:tc>
          <w:tcPr>
            <w:tcW w:w="1260" w:type="dxa"/>
            <w:vAlign w:val="center"/>
          </w:tcPr>
          <w:p w14:paraId="3F420802" w14:textId="77777777" w:rsidR="002650A4" w:rsidRPr="004759FA" w:rsidRDefault="002650A4" w:rsidP="001A1ECD">
            <w:pPr>
              <w:spacing w:before="0" w:after="0"/>
              <w:contextualSpacing/>
              <w:rPr>
                <w:i/>
                <w:iCs/>
                <w:sz w:val="20"/>
                <w:szCs w:val="20"/>
              </w:rPr>
            </w:pPr>
            <w:r w:rsidRPr="004759FA">
              <w:rPr>
                <w:i/>
                <w:iCs/>
                <w:sz w:val="20"/>
                <w:szCs w:val="20"/>
              </w:rPr>
              <w:t>GLAES</w:t>
            </w:r>
          </w:p>
        </w:tc>
        <w:tc>
          <w:tcPr>
            <w:tcW w:w="3294" w:type="dxa"/>
            <w:vAlign w:val="center"/>
          </w:tcPr>
          <w:p w14:paraId="633A013A" w14:textId="77777777" w:rsidR="002650A4" w:rsidRPr="004759FA" w:rsidRDefault="002650A4" w:rsidP="001A1ECD">
            <w:pPr>
              <w:spacing w:before="0" w:after="0"/>
              <w:contextualSpacing/>
              <w:rPr>
                <w:sz w:val="20"/>
                <w:szCs w:val="20"/>
              </w:rPr>
            </w:pPr>
            <w:r w:rsidRPr="004759FA">
              <w:rPr>
                <w:sz w:val="20"/>
                <w:szCs w:val="20"/>
              </w:rPr>
              <w:t>Estimates potential of offshore wind in Europe using high spatial resolution and simulated future turbine designs</w:t>
            </w:r>
          </w:p>
        </w:tc>
        <w:tc>
          <w:tcPr>
            <w:tcW w:w="3817" w:type="dxa"/>
            <w:vAlign w:val="center"/>
          </w:tcPr>
          <w:p w14:paraId="434DF95E"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Turbine capacity</w:t>
            </w:r>
          </w:p>
          <w:p w14:paraId="21646930"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Turbine hub height</w:t>
            </w:r>
          </w:p>
          <w:p w14:paraId="24240857"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Turbine rotor diameter</w:t>
            </w:r>
          </w:p>
          <w:p w14:paraId="1560CA66"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Ocean eligibility restrictions</w:t>
            </w:r>
          </w:p>
        </w:tc>
      </w:tr>
      <w:tr w:rsidR="002650A4" w:rsidRPr="0071548F" w14:paraId="36AB0438" w14:textId="77777777" w:rsidTr="00F35942">
        <w:trPr>
          <w:trHeight w:val="1520"/>
        </w:trPr>
        <w:tc>
          <w:tcPr>
            <w:tcW w:w="895" w:type="dxa"/>
            <w:vAlign w:val="center"/>
          </w:tcPr>
          <w:p w14:paraId="113BA8EA" w14:textId="3B528EAE" w:rsidR="002650A4" w:rsidRPr="00F35942" w:rsidRDefault="00F263CE" w:rsidP="001A1ECD">
            <w:pPr>
              <w:spacing w:before="0" w:after="0"/>
              <w:contextualSpacing/>
              <w:rPr>
                <w:sz w:val="28"/>
                <w:szCs w:val="36"/>
              </w:rPr>
            </w:pPr>
            <w:r w:rsidRPr="00F35942">
              <w:rPr>
                <w:sz w:val="28"/>
                <w:szCs w:val="36"/>
                <w:vertAlign w:val="superscript"/>
              </w:rPr>
              <w:lastRenderedPageBreak/>
              <w:t>63</w:t>
            </w:r>
          </w:p>
        </w:tc>
        <w:tc>
          <w:tcPr>
            <w:tcW w:w="1260" w:type="dxa"/>
            <w:vAlign w:val="center"/>
          </w:tcPr>
          <w:p w14:paraId="38CBE1FD" w14:textId="77777777" w:rsidR="002650A4" w:rsidRPr="004759FA" w:rsidRDefault="002650A4" w:rsidP="001A1ECD">
            <w:pPr>
              <w:spacing w:before="0" w:after="0"/>
              <w:contextualSpacing/>
              <w:rPr>
                <w:i/>
                <w:iCs/>
                <w:sz w:val="20"/>
                <w:szCs w:val="20"/>
              </w:rPr>
            </w:pPr>
            <w:r w:rsidRPr="004759FA">
              <w:rPr>
                <w:i/>
                <w:iCs/>
                <w:sz w:val="20"/>
                <w:szCs w:val="20"/>
              </w:rPr>
              <w:t>Balmorel</w:t>
            </w:r>
          </w:p>
        </w:tc>
        <w:tc>
          <w:tcPr>
            <w:tcW w:w="3294" w:type="dxa"/>
            <w:vAlign w:val="center"/>
          </w:tcPr>
          <w:p w14:paraId="00A97D9B" w14:textId="77777777" w:rsidR="002650A4" w:rsidRPr="004759FA" w:rsidRDefault="002650A4" w:rsidP="001A1ECD">
            <w:pPr>
              <w:spacing w:before="0" w:after="0"/>
              <w:contextualSpacing/>
              <w:rPr>
                <w:sz w:val="20"/>
                <w:szCs w:val="20"/>
              </w:rPr>
            </w:pPr>
            <w:r>
              <w:rPr>
                <w:sz w:val="20"/>
                <w:szCs w:val="20"/>
              </w:rPr>
              <w:t>Uses</w:t>
            </w:r>
            <w:r w:rsidRPr="004759FA">
              <w:rPr>
                <w:sz w:val="20"/>
                <w:szCs w:val="20"/>
              </w:rPr>
              <w:t xml:space="preserve"> sensitivity analysis and Monte Carlo simulation to explore the uncertainty space </w:t>
            </w:r>
            <w:r>
              <w:rPr>
                <w:sz w:val="20"/>
                <w:szCs w:val="20"/>
              </w:rPr>
              <w:t>of a</w:t>
            </w:r>
            <w:r w:rsidRPr="004759FA">
              <w:rPr>
                <w:sz w:val="20"/>
                <w:szCs w:val="20"/>
              </w:rPr>
              <w:t xml:space="preserve"> low-carbon </w:t>
            </w:r>
            <w:r>
              <w:rPr>
                <w:sz w:val="20"/>
                <w:szCs w:val="20"/>
              </w:rPr>
              <w:t>Danish grid</w:t>
            </w:r>
            <w:r w:rsidRPr="004759FA">
              <w:rPr>
                <w:sz w:val="20"/>
                <w:szCs w:val="20"/>
              </w:rPr>
              <w:t>; notes that offshore wind integration will require international transmission expansion</w:t>
            </w:r>
          </w:p>
        </w:tc>
        <w:tc>
          <w:tcPr>
            <w:tcW w:w="3817" w:type="dxa"/>
            <w:vAlign w:val="center"/>
          </w:tcPr>
          <w:p w14:paraId="01445CDC"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36 uncertain parameters includ</w:t>
            </w:r>
            <w:r>
              <w:rPr>
                <w:sz w:val="20"/>
                <w:szCs w:val="20"/>
              </w:rPr>
              <w:t>ing</w:t>
            </w:r>
            <w:r w:rsidRPr="004759FA">
              <w:rPr>
                <w:sz w:val="20"/>
                <w:szCs w:val="20"/>
              </w:rPr>
              <w:t>, e.g., capacity factors, district heating fuels, capital costs of various technologies, transmission barriers, discount rate, and demand levels, among others</w:t>
            </w:r>
          </w:p>
        </w:tc>
      </w:tr>
      <w:tr w:rsidR="002650A4" w:rsidRPr="0071548F" w14:paraId="5A884D35" w14:textId="77777777" w:rsidTr="00F35942">
        <w:trPr>
          <w:trHeight w:val="1484"/>
        </w:trPr>
        <w:tc>
          <w:tcPr>
            <w:tcW w:w="895" w:type="dxa"/>
            <w:vAlign w:val="center"/>
          </w:tcPr>
          <w:p w14:paraId="59CDA255" w14:textId="6323E761" w:rsidR="002650A4" w:rsidRPr="00F35942" w:rsidRDefault="00F263CE" w:rsidP="001A1ECD">
            <w:pPr>
              <w:spacing w:before="0" w:after="0"/>
              <w:contextualSpacing/>
              <w:rPr>
                <w:sz w:val="28"/>
                <w:szCs w:val="36"/>
              </w:rPr>
            </w:pPr>
            <w:r w:rsidRPr="00F35942">
              <w:rPr>
                <w:sz w:val="28"/>
                <w:szCs w:val="36"/>
                <w:vertAlign w:val="superscript"/>
              </w:rPr>
              <w:t>84</w:t>
            </w:r>
          </w:p>
        </w:tc>
        <w:tc>
          <w:tcPr>
            <w:tcW w:w="1260" w:type="dxa"/>
            <w:vAlign w:val="center"/>
          </w:tcPr>
          <w:p w14:paraId="40D97B22" w14:textId="77777777" w:rsidR="002650A4" w:rsidRPr="004759FA" w:rsidRDefault="002650A4" w:rsidP="001A1ECD">
            <w:pPr>
              <w:spacing w:before="0" w:after="0"/>
              <w:contextualSpacing/>
              <w:rPr>
                <w:i/>
                <w:iCs/>
                <w:sz w:val="20"/>
                <w:szCs w:val="20"/>
              </w:rPr>
            </w:pPr>
            <w:r w:rsidRPr="004759FA">
              <w:rPr>
                <w:i/>
                <w:iCs/>
                <w:sz w:val="20"/>
                <w:szCs w:val="20"/>
              </w:rPr>
              <w:t>OSeMOSYS-CR</w:t>
            </w:r>
          </w:p>
        </w:tc>
        <w:tc>
          <w:tcPr>
            <w:tcW w:w="3294" w:type="dxa"/>
            <w:vAlign w:val="center"/>
          </w:tcPr>
          <w:p w14:paraId="7255A289" w14:textId="77777777" w:rsidR="002650A4" w:rsidRPr="004759FA" w:rsidRDefault="002650A4" w:rsidP="001A1ECD">
            <w:pPr>
              <w:spacing w:before="0" w:after="0"/>
              <w:contextualSpacing/>
              <w:rPr>
                <w:sz w:val="20"/>
                <w:szCs w:val="20"/>
              </w:rPr>
            </w:pPr>
            <w:r w:rsidRPr="004759FA">
              <w:rPr>
                <w:sz w:val="20"/>
                <w:szCs w:val="20"/>
              </w:rPr>
              <w:t>Uses scenario discovery to identify vulnerabilities and shared conditions among economy-wide uncertain factors which lead to potential negative outcomes in Costa Rica’s national decarbonization plan</w:t>
            </w:r>
          </w:p>
        </w:tc>
        <w:tc>
          <w:tcPr>
            <w:tcW w:w="3817" w:type="dxa"/>
            <w:vAlign w:val="center"/>
          </w:tcPr>
          <w:p w14:paraId="5A496425"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Economic growth rate</w:t>
            </w:r>
          </w:p>
          <w:p w14:paraId="4C93BB61"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Latin hypercube sampling of driver, benefit &amp; cost, and decarbonization uncertainties across six sectors</w:t>
            </w:r>
          </w:p>
        </w:tc>
      </w:tr>
      <w:tr w:rsidR="002650A4" w:rsidRPr="0071548F" w14:paraId="4577A49A" w14:textId="77777777" w:rsidTr="00F35942">
        <w:trPr>
          <w:trHeight w:val="1277"/>
        </w:trPr>
        <w:tc>
          <w:tcPr>
            <w:tcW w:w="895" w:type="dxa"/>
            <w:vAlign w:val="center"/>
          </w:tcPr>
          <w:p w14:paraId="3A06C358" w14:textId="7C50C888" w:rsidR="002650A4" w:rsidRPr="00F35942" w:rsidRDefault="00F263CE" w:rsidP="001A1ECD">
            <w:pPr>
              <w:spacing w:before="0" w:after="0"/>
              <w:contextualSpacing/>
              <w:rPr>
                <w:sz w:val="28"/>
                <w:szCs w:val="36"/>
              </w:rPr>
            </w:pPr>
            <w:r w:rsidRPr="00F35942">
              <w:rPr>
                <w:sz w:val="28"/>
                <w:szCs w:val="36"/>
                <w:vertAlign w:val="superscript"/>
              </w:rPr>
              <w:t>62</w:t>
            </w:r>
          </w:p>
        </w:tc>
        <w:tc>
          <w:tcPr>
            <w:tcW w:w="1260" w:type="dxa"/>
            <w:vAlign w:val="center"/>
          </w:tcPr>
          <w:p w14:paraId="3080DFAF" w14:textId="099A0FD1" w:rsidR="002650A4" w:rsidRPr="004759FA" w:rsidRDefault="002650A4" w:rsidP="001A1ECD">
            <w:pPr>
              <w:spacing w:before="0" w:after="0"/>
              <w:contextualSpacing/>
              <w:rPr>
                <w:i/>
                <w:iCs/>
                <w:sz w:val="20"/>
                <w:szCs w:val="20"/>
              </w:rPr>
            </w:pPr>
            <w:r w:rsidRPr="004759FA">
              <w:rPr>
                <w:i/>
                <w:iCs/>
                <w:sz w:val="20"/>
                <w:szCs w:val="20"/>
              </w:rPr>
              <w:t xml:space="preserve">energyscope, as in </w:t>
            </w:r>
            <w:r w:rsidR="00F263CE" w:rsidRPr="00F263CE">
              <w:rPr>
                <w:sz w:val="20"/>
                <w:vertAlign w:val="superscript"/>
              </w:rPr>
              <w:t>82</w:t>
            </w:r>
          </w:p>
        </w:tc>
        <w:tc>
          <w:tcPr>
            <w:tcW w:w="3294" w:type="dxa"/>
            <w:vAlign w:val="center"/>
          </w:tcPr>
          <w:p w14:paraId="5B1218CF" w14:textId="77777777" w:rsidR="002650A4" w:rsidRPr="004759FA" w:rsidRDefault="002650A4" w:rsidP="001A1ECD">
            <w:pPr>
              <w:spacing w:before="0" w:after="0"/>
              <w:contextualSpacing/>
              <w:rPr>
                <w:sz w:val="20"/>
                <w:szCs w:val="20"/>
              </w:rPr>
            </w:pPr>
            <w:r w:rsidRPr="004759FA">
              <w:rPr>
                <w:sz w:val="20"/>
                <w:szCs w:val="20"/>
              </w:rPr>
              <w:t>Uses robust optimization to consider large set of uncertain parameters</w:t>
            </w:r>
            <w:r>
              <w:rPr>
                <w:sz w:val="20"/>
                <w:szCs w:val="20"/>
              </w:rPr>
              <w:t>;</w:t>
            </w:r>
            <w:r w:rsidRPr="004759FA">
              <w:rPr>
                <w:sz w:val="20"/>
                <w:szCs w:val="20"/>
              </w:rPr>
              <w:t xml:space="preserve"> literature review of robust optimization in energy modeling</w:t>
            </w:r>
          </w:p>
        </w:tc>
        <w:tc>
          <w:tcPr>
            <w:tcW w:w="3817" w:type="dxa"/>
            <w:vAlign w:val="center"/>
          </w:tcPr>
          <w:p w14:paraId="604EAE0A"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160 uncertain parameters in both the objective function (e.g., investment and O&amp;M costs, interest rate) and constraints (e.g., sectoral demand, conversion efficienc</w:t>
            </w:r>
            <w:r>
              <w:rPr>
                <w:sz w:val="20"/>
                <w:szCs w:val="20"/>
              </w:rPr>
              <w:t>ies</w:t>
            </w:r>
            <w:r w:rsidRPr="004759FA">
              <w:rPr>
                <w:sz w:val="20"/>
                <w:szCs w:val="20"/>
              </w:rPr>
              <w:t>, capacity factors)</w:t>
            </w:r>
          </w:p>
        </w:tc>
      </w:tr>
      <w:tr w:rsidR="002650A4" w:rsidRPr="0071548F" w14:paraId="784C57A3" w14:textId="77777777" w:rsidTr="00F35942">
        <w:trPr>
          <w:trHeight w:val="989"/>
        </w:trPr>
        <w:tc>
          <w:tcPr>
            <w:tcW w:w="895" w:type="dxa"/>
            <w:vAlign w:val="center"/>
          </w:tcPr>
          <w:p w14:paraId="19F28229" w14:textId="5F7D8524" w:rsidR="002650A4" w:rsidRPr="00F35942" w:rsidRDefault="00F263CE" w:rsidP="001A1ECD">
            <w:pPr>
              <w:spacing w:before="0" w:after="0"/>
              <w:contextualSpacing/>
              <w:rPr>
                <w:sz w:val="28"/>
                <w:szCs w:val="36"/>
              </w:rPr>
            </w:pPr>
            <w:r w:rsidRPr="00F35942">
              <w:rPr>
                <w:sz w:val="28"/>
                <w:szCs w:val="36"/>
                <w:vertAlign w:val="superscript"/>
              </w:rPr>
              <w:t>71</w:t>
            </w:r>
          </w:p>
        </w:tc>
        <w:tc>
          <w:tcPr>
            <w:tcW w:w="1260" w:type="dxa"/>
            <w:vAlign w:val="center"/>
          </w:tcPr>
          <w:p w14:paraId="07782D0C" w14:textId="77777777" w:rsidR="002650A4" w:rsidRPr="004759FA" w:rsidRDefault="002650A4" w:rsidP="001A1ECD">
            <w:pPr>
              <w:spacing w:before="0" w:after="0"/>
              <w:contextualSpacing/>
              <w:rPr>
                <w:i/>
                <w:iCs/>
                <w:sz w:val="20"/>
                <w:szCs w:val="20"/>
              </w:rPr>
            </w:pPr>
            <w:r w:rsidRPr="004759FA">
              <w:rPr>
                <w:i/>
                <w:iCs/>
                <w:sz w:val="20"/>
                <w:szCs w:val="20"/>
              </w:rPr>
              <w:t>Modified IEEE 300-Bus System</w:t>
            </w:r>
          </w:p>
        </w:tc>
        <w:tc>
          <w:tcPr>
            <w:tcW w:w="3294" w:type="dxa"/>
            <w:vAlign w:val="center"/>
          </w:tcPr>
          <w:p w14:paraId="2864EA25" w14:textId="77777777" w:rsidR="002650A4" w:rsidRPr="004759FA" w:rsidRDefault="002650A4" w:rsidP="001A1ECD">
            <w:pPr>
              <w:spacing w:before="0" w:after="0"/>
              <w:contextualSpacing/>
              <w:rPr>
                <w:sz w:val="20"/>
                <w:szCs w:val="20"/>
              </w:rPr>
            </w:pPr>
            <w:r w:rsidRPr="004759FA">
              <w:rPr>
                <w:sz w:val="20"/>
                <w:szCs w:val="20"/>
              </w:rPr>
              <w:t>Uses stochastic programming to analyze capacity expansion and grid integration of intermittent wind and solar PV in Texas</w:t>
            </w:r>
          </w:p>
        </w:tc>
        <w:tc>
          <w:tcPr>
            <w:tcW w:w="3817" w:type="dxa"/>
            <w:vAlign w:val="center"/>
          </w:tcPr>
          <w:p w14:paraId="42775D8A"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Correlated random samples of irradiance, wind power potential, and electricity demand</w:t>
            </w:r>
          </w:p>
        </w:tc>
      </w:tr>
      <w:tr w:rsidR="002650A4" w:rsidRPr="0071548F" w14:paraId="38915A67" w14:textId="77777777" w:rsidTr="00F35942">
        <w:trPr>
          <w:trHeight w:val="1043"/>
        </w:trPr>
        <w:tc>
          <w:tcPr>
            <w:tcW w:w="895" w:type="dxa"/>
            <w:vAlign w:val="center"/>
          </w:tcPr>
          <w:p w14:paraId="23CB069F" w14:textId="41E9AAAF" w:rsidR="002650A4" w:rsidRPr="00F35942" w:rsidRDefault="00F263CE" w:rsidP="001A1ECD">
            <w:pPr>
              <w:spacing w:before="0" w:after="0"/>
              <w:contextualSpacing/>
              <w:rPr>
                <w:sz w:val="28"/>
                <w:szCs w:val="36"/>
              </w:rPr>
            </w:pPr>
            <w:r w:rsidRPr="00F35942">
              <w:rPr>
                <w:sz w:val="28"/>
                <w:szCs w:val="36"/>
                <w:vertAlign w:val="superscript"/>
              </w:rPr>
              <w:t>75</w:t>
            </w:r>
          </w:p>
        </w:tc>
        <w:tc>
          <w:tcPr>
            <w:tcW w:w="1260" w:type="dxa"/>
            <w:vAlign w:val="center"/>
          </w:tcPr>
          <w:p w14:paraId="3EC9C5B9" w14:textId="77777777" w:rsidR="002650A4" w:rsidRPr="004759FA" w:rsidRDefault="002650A4" w:rsidP="001A1ECD">
            <w:pPr>
              <w:spacing w:before="0" w:after="0"/>
              <w:contextualSpacing/>
              <w:rPr>
                <w:i/>
                <w:iCs/>
                <w:sz w:val="20"/>
                <w:szCs w:val="20"/>
              </w:rPr>
            </w:pPr>
            <w:r w:rsidRPr="004759FA">
              <w:rPr>
                <w:i/>
                <w:iCs/>
                <w:sz w:val="20"/>
                <w:szCs w:val="20"/>
              </w:rPr>
              <w:t>EXPANSE</w:t>
            </w:r>
          </w:p>
        </w:tc>
        <w:tc>
          <w:tcPr>
            <w:tcW w:w="3294" w:type="dxa"/>
            <w:vAlign w:val="center"/>
          </w:tcPr>
          <w:p w14:paraId="5DB31A61" w14:textId="77777777" w:rsidR="002650A4" w:rsidRPr="004759FA" w:rsidRDefault="002650A4" w:rsidP="001A1ECD">
            <w:pPr>
              <w:spacing w:before="0" w:after="0"/>
              <w:contextualSpacing/>
              <w:rPr>
                <w:sz w:val="20"/>
                <w:szCs w:val="20"/>
              </w:rPr>
            </w:pPr>
            <w:r w:rsidRPr="004759FA">
              <w:rPr>
                <w:sz w:val="20"/>
                <w:szCs w:val="20"/>
              </w:rPr>
              <w:t>Applies MGA to examine the outcome space of spatially detailed, subregional inequalities resulting from Central European electric sector targets</w:t>
            </w:r>
          </w:p>
        </w:tc>
        <w:tc>
          <w:tcPr>
            <w:tcW w:w="3817" w:type="dxa"/>
            <w:vAlign w:val="center"/>
          </w:tcPr>
          <w:p w14:paraId="3B07E2B7"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Varies “slack” in the objective function (minimize LCOE) to produce alternative decision sets</w:t>
            </w:r>
          </w:p>
        </w:tc>
      </w:tr>
      <w:tr w:rsidR="002650A4" w:rsidRPr="0071548F" w14:paraId="7BC0055B" w14:textId="77777777" w:rsidTr="00F35942">
        <w:trPr>
          <w:trHeight w:val="1286"/>
        </w:trPr>
        <w:tc>
          <w:tcPr>
            <w:tcW w:w="895" w:type="dxa"/>
            <w:vAlign w:val="center"/>
          </w:tcPr>
          <w:p w14:paraId="3B45E5AE" w14:textId="11FB16B4" w:rsidR="002650A4" w:rsidRPr="00F35942" w:rsidRDefault="00F263CE" w:rsidP="001A1ECD">
            <w:pPr>
              <w:spacing w:before="0" w:after="0"/>
              <w:contextualSpacing/>
              <w:rPr>
                <w:sz w:val="28"/>
                <w:szCs w:val="36"/>
              </w:rPr>
            </w:pPr>
            <w:r w:rsidRPr="00F35942">
              <w:rPr>
                <w:sz w:val="28"/>
                <w:szCs w:val="36"/>
                <w:vertAlign w:val="superscript"/>
              </w:rPr>
              <w:t>79</w:t>
            </w:r>
          </w:p>
        </w:tc>
        <w:tc>
          <w:tcPr>
            <w:tcW w:w="1260" w:type="dxa"/>
            <w:vAlign w:val="center"/>
          </w:tcPr>
          <w:p w14:paraId="038909E6" w14:textId="77777777" w:rsidR="002650A4" w:rsidRPr="004759FA" w:rsidRDefault="002650A4" w:rsidP="001A1ECD">
            <w:pPr>
              <w:spacing w:before="0" w:after="0"/>
              <w:contextualSpacing/>
              <w:rPr>
                <w:i/>
                <w:iCs/>
                <w:sz w:val="20"/>
                <w:szCs w:val="20"/>
              </w:rPr>
            </w:pPr>
            <w:r w:rsidRPr="004759FA">
              <w:rPr>
                <w:i/>
                <w:iCs/>
                <w:sz w:val="20"/>
                <w:szCs w:val="20"/>
              </w:rPr>
              <w:t>EOLES</w:t>
            </w:r>
          </w:p>
        </w:tc>
        <w:tc>
          <w:tcPr>
            <w:tcW w:w="3294" w:type="dxa"/>
            <w:vAlign w:val="center"/>
          </w:tcPr>
          <w:p w14:paraId="3B4D6D2F" w14:textId="77777777" w:rsidR="002650A4" w:rsidRPr="004759FA" w:rsidRDefault="002650A4" w:rsidP="001A1ECD">
            <w:pPr>
              <w:spacing w:before="0" w:after="0"/>
              <w:contextualSpacing/>
              <w:rPr>
                <w:sz w:val="20"/>
                <w:szCs w:val="20"/>
              </w:rPr>
            </w:pPr>
            <w:r w:rsidRPr="004759FA">
              <w:rPr>
                <w:sz w:val="20"/>
                <w:szCs w:val="20"/>
              </w:rPr>
              <w:t>Tests the impact of technology cost uncertainty on total system costs for France’s electricity system, as well as estimating regret from decisions based on incorrect cost assumptions</w:t>
            </w:r>
          </w:p>
        </w:tc>
        <w:tc>
          <w:tcPr>
            <w:tcW w:w="3817" w:type="dxa"/>
            <w:vAlign w:val="center"/>
          </w:tcPr>
          <w:p w14:paraId="2462797F"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Costs of solar and wind</w:t>
            </w:r>
          </w:p>
          <w:p w14:paraId="70DBB34F"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Costs of battery storage</w:t>
            </w:r>
          </w:p>
          <w:p w14:paraId="377AC40D"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Cost of methanation</w:t>
            </w:r>
          </w:p>
        </w:tc>
      </w:tr>
      <w:tr w:rsidR="002650A4" w:rsidRPr="0071548F" w14:paraId="41390FFC" w14:textId="77777777" w:rsidTr="00F35942">
        <w:trPr>
          <w:trHeight w:val="1583"/>
        </w:trPr>
        <w:tc>
          <w:tcPr>
            <w:tcW w:w="895" w:type="dxa"/>
            <w:vAlign w:val="center"/>
          </w:tcPr>
          <w:p w14:paraId="109A5DB6" w14:textId="36C1D7BC" w:rsidR="002650A4" w:rsidRPr="00F35942" w:rsidRDefault="00F263CE" w:rsidP="001A1ECD">
            <w:pPr>
              <w:spacing w:before="0" w:after="0"/>
              <w:contextualSpacing/>
              <w:rPr>
                <w:sz w:val="28"/>
                <w:szCs w:val="36"/>
              </w:rPr>
            </w:pPr>
            <w:r w:rsidRPr="00F35942">
              <w:rPr>
                <w:sz w:val="28"/>
                <w:szCs w:val="36"/>
                <w:vertAlign w:val="superscript"/>
              </w:rPr>
              <w:t>5</w:t>
            </w:r>
          </w:p>
        </w:tc>
        <w:tc>
          <w:tcPr>
            <w:tcW w:w="1260" w:type="dxa"/>
            <w:vAlign w:val="center"/>
          </w:tcPr>
          <w:p w14:paraId="0D09C718" w14:textId="2FADF6DC" w:rsidR="002650A4" w:rsidRPr="004759FA" w:rsidRDefault="002650A4" w:rsidP="001A1ECD">
            <w:pPr>
              <w:spacing w:before="0" w:after="0"/>
              <w:contextualSpacing/>
              <w:rPr>
                <w:i/>
                <w:iCs/>
                <w:sz w:val="20"/>
                <w:szCs w:val="20"/>
              </w:rPr>
            </w:pPr>
            <w:r w:rsidRPr="004759FA">
              <w:rPr>
                <w:i/>
                <w:iCs/>
                <w:sz w:val="20"/>
                <w:szCs w:val="20"/>
              </w:rPr>
              <w:t xml:space="preserve">Developed for </w:t>
            </w:r>
            <w:r w:rsidR="004B60C4">
              <w:rPr>
                <w:i/>
                <w:iCs/>
                <w:sz w:val="20"/>
                <w:szCs w:val="20"/>
              </w:rPr>
              <w:t>Ref.</w:t>
            </w:r>
          </w:p>
        </w:tc>
        <w:tc>
          <w:tcPr>
            <w:tcW w:w="3294" w:type="dxa"/>
            <w:vAlign w:val="center"/>
          </w:tcPr>
          <w:p w14:paraId="4B278B21" w14:textId="77777777" w:rsidR="002650A4" w:rsidRPr="004759FA" w:rsidRDefault="002650A4" w:rsidP="001A1ECD">
            <w:pPr>
              <w:spacing w:before="0" w:after="0"/>
              <w:contextualSpacing/>
              <w:rPr>
                <w:sz w:val="20"/>
                <w:szCs w:val="20"/>
              </w:rPr>
            </w:pPr>
            <w:r w:rsidRPr="004759FA">
              <w:rPr>
                <w:sz w:val="20"/>
                <w:szCs w:val="20"/>
              </w:rPr>
              <w:t>Models fully decarbonized US electricity system, noting that transmission expansion substantially lowers system costs and storage requirements</w:t>
            </w:r>
          </w:p>
        </w:tc>
        <w:tc>
          <w:tcPr>
            <w:tcW w:w="3817" w:type="dxa"/>
            <w:vAlign w:val="center"/>
          </w:tcPr>
          <w:p w14:paraId="47115FA8"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CAPEX of wind, solar, and storage</w:t>
            </w:r>
          </w:p>
          <w:p w14:paraId="008F94BD"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Transmission cost</w:t>
            </w:r>
            <w:r>
              <w:rPr>
                <w:sz w:val="20"/>
                <w:szCs w:val="20"/>
              </w:rPr>
              <w:t xml:space="preserve">, </w:t>
            </w:r>
            <w:r w:rsidRPr="004759FA">
              <w:rPr>
                <w:sz w:val="20"/>
                <w:szCs w:val="20"/>
              </w:rPr>
              <w:t>expansion allowed</w:t>
            </w:r>
          </w:p>
          <w:p w14:paraId="1F49CEEF"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Nuclear cost, flexibility, expansion allowed</w:t>
            </w:r>
          </w:p>
          <w:p w14:paraId="6D946A1C"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Load shedding assumptions</w:t>
            </w:r>
          </w:p>
          <w:p w14:paraId="71B79DDB"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Clean energy standard</w:t>
            </w:r>
          </w:p>
          <w:p w14:paraId="2C2FCF86"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Allowing investment in gas</w:t>
            </w:r>
          </w:p>
        </w:tc>
      </w:tr>
      <w:tr w:rsidR="002650A4" w:rsidRPr="0071548F" w14:paraId="5D78C35F" w14:textId="77777777" w:rsidTr="00F35942">
        <w:trPr>
          <w:trHeight w:val="1511"/>
        </w:trPr>
        <w:tc>
          <w:tcPr>
            <w:tcW w:w="895" w:type="dxa"/>
            <w:vAlign w:val="center"/>
          </w:tcPr>
          <w:p w14:paraId="45271B40" w14:textId="6702F464" w:rsidR="002650A4" w:rsidRPr="00F35942" w:rsidRDefault="00F263CE" w:rsidP="001A1ECD">
            <w:pPr>
              <w:spacing w:before="0" w:after="0"/>
              <w:contextualSpacing/>
              <w:rPr>
                <w:sz w:val="28"/>
                <w:szCs w:val="36"/>
                <w:lang w:val="pt-BR"/>
              </w:rPr>
            </w:pPr>
            <w:r w:rsidRPr="00F35942">
              <w:rPr>
                <w:sz w:val="28"/>
                <w:szCs w:val="36"/>
                <w:vertAlign w:val="superscript"/>
              </w:rPr>
              <w:t>85</w:t>
            </w:r>
          </w:p>
        </w:tc>
        <w:tc>
          <w:tcPr>
            <w:tcW w:w="1260" w:type="dxa"/>
            <w:vAlign w:val="center"/>
          </w:tcPr>
          <w:p w14:paraId="084D44E3" w14:textId="77777777" w:rsidR="002650A4" w:rsidRPr="004759FA" w:rsidRDefault="002650A4" w:rsidP="001A1ECD">
            <w:pPr>
              <w:spacing w:before="0" w:after="0"/>
              <w:contextualSpacing/>
              <w:rPr>
                <w:i/>
                <w:iCs/>
                <w:sz w:val="20"/>
                <w:szCs w:val="20"/>
              </w:rPr>
            </w:pPr>
            <w:r w:rsidRPr="004759FA">
              <w:rPr>
                <w:i/>
                <w:iCs/>
                <w:sz w:val="20"/>
                <w:szCs w:val="20"/>
              </w:rPr>
              <w:t>GCAM</w:t>
            </w:r>
          </w:p>
        </w:tc>
        <w:tc>
          <w:tcPr>
            <w:tcW w:w="3294" w:type="dxa"/>
            <w:vAlign w:val="center"/>
          </w:tcPr>
          <w:p w14:paraId="17587BC1" w14:textId="77777777" w:rsidR="002650A4" w:rsidRPr="004759FA" w:rsidRDefault="002650A4" w:rsidP="001A1ECD">
            <w:pPr>
              <w:spacing w:before="0" w:after="0"/>
              <w:contextualSpacing/>
              <w:rPr>
                <w:sz w:val="20"/>
                <w:szCs w:val="20"/>
              </w:rPr>
            </w:pPr>
            <w:r w:rsidRPr="004759FA">
              <w:rPr>
                <w:sz w:val="20"/>
                <w:szCs w:val="20"/>
              </w:rPr>
              <w:t>Explores uncertainty in renewable resource potentials and their impacts on future global wind and solar PV generation projections using an integrated assessment model</w:t>
            </w:r>
          </w:p>
        </w:tc>
        <w:tc>
          <w:tcPr>
            <w:tcW w:w="3817" w:type="dxa"/>
            <w:vAlign w:val="center"/>
          </w:tcPr>
          <w:p w14:paraId="389052F0"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Turbine technology, hub height, power density</w:t>
            </w:r>
          </w:p>
          <w:p w14:paraId="13CA8108"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Suitability factors for solar and wind</w:t>
            </w:r>
          </w:p>
          <w:p w14:paraId="5AC4BA17"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PV performance ratio and land use factor</w:t>
            </w:r>
          </w:p>
          <w:p w14:paraId="4823E84F"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Climate impacts on PV and wind power</w:t>
            </w:r>
          </w:p>
          <w:p w14:paraId="24940461"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2°C global mitigation scenario</w:t>
            </w:r>
          </w:p>
        </w:tc>
      </w:tr>
      <w:tr w:rsidR="002650A4" w:rsidRPr="0071548F" w14:paraId="0A3CA38D" w14:textId="77777777" w:rsidTr="00F35942">
        <w:trPr>
          <w:trHeight w:val="1718"/>
        </w:trPr>
        <w:tc>
          <w:tcPr>
            <w:tcW w:w="895" w:type="dxa"/>
            <w:vAlign w:val="center"/>
          </w:tcPr>
          <w:p w14:paraId="7CEBEDF2" w14:textId="0AC2BE5E" w:rsidR="002650A4" w:rsidRPr="00F35942" w:rsidRDefault="00F263CE" w:rsidP="001A1ECD">
            <w:pPr>
              <w:spacing w:before="0" w:after="0"/>
              <w:contextualSpacing/>
              <w:rPr>
                <w:sz w:val="28"/>
                <w:szCs w:val="36"/>
              </w:rPr>
            </w:pPr>
            <w:r w:rsidRPr="00F35942">
              <w:rPr>
                <w:sz w:val="28"/>
                <w:szCs w:val="36"/>
                <w:vertAlign w:val="superscript"/>
              </w:rPr>
              <w:t>65</w:t>
            </w:r>
          </w:p>
        </w:tc>
        <w:tc>
          <w:tcPr>
            <w:tcW w:w="1260" w:type="dxa"/>
            <w:vAlign w:val="center"/>
          </w:tcPr>
          <w:p w14:paraId="02146656" w14:textId="77777777" w:rsidR="002650A4" w:rsidRPr="004759FA" w:rsidRDefault="002650A4" w:rsidP="001A1ECD">
            <w:pPr>
              <w:spacing w:before="0" w:after="0"/>
              <w:contextualSpacing/>
              <w:rPr>
                <w:i/>
                <w:iCs/>
                <w:sz w:val="20"/>
                <w:szCs w:val="20"/>
              </w:rPr>
            </w:pPr>
            <w:r w:rsidRPr="004759FA">
              <w:rPr>
                <w:i/>
                <w:iCs/>
                <w:sz w:val="20"/>
                <w:szCs w:val="20"/>
              </w:rPr>
              <w:t>REMIND–MAgPIE</w:t>
            </w:r>
          </w:p>
        </w:tc>
        <w:tc>
          <w:tcPr>
            <w:tcW w:w="3294" w:type="dxa"/>
            <w:vAlign w:val="center"/>
          </w:tcPr>
          <w:p w14:paraId="63A6A9D0" w14:textId="77777777" w:rsidR="002650A4" w:rsidRPr="004759FA" w:rsidRDefault="002650A4" w:rsidP="001A1ECD">
            <w:pPr>
              <w:spacing w:before="0" w:after="0"/>
              <w:contextualSpacing/>
              <w:rPr>
                <w:sz w:val="20"/>
                <w:szCs w:val="20"/>
              </w:rPr>
            </w:pPr>
            <w:r w:rsidRPr="004759FA">
              <w:rPr>
                <w:sz w:val="20"/>
                <w:szCs w:val="20"/>
              </w:rPr>
              <w:t>Explores global electrification and decarbonization scenarios with an integrated assessment model to analyze cost parity potential of wind and solar under carbon pricing schemes with conventional thermal generation</w:t>
            </w:r>
          </w:p>
        </w:tc>
        <w:tc>
          <w:tcPr>
            <w:tcW w:w="3817" w:type="dxa"/>
            <w:vAlign w:val="center"/>
          </w:tcPr>
          <w:p w14:paraId="0BCD6FBA"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1.5°C vs. 2°C global mitigation scenario</w:t>
            </w:r>
          </w:p>
          <w:p w14:paraId="6343F0E9"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Bioenergy potential</w:t>
            </w:r>
          </w:p>
          <w:p w14:paraId="407DF947"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CCS injection capacity</w:t>
            </w:r>
          </w:p>
          <w:p w14:paraId="3BD10271"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Vehicle electrification barriers</w:t>
            </w:r>
          </w:p>
          <w:p w14:paraId="5C57873C"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Electricity demand flexibility</w:t>
            </w:r>
          </w:p>
          <w:p w14:paraId="24EBEF00" w14:textId="77777777" w:rsidR="002650A4" w:rsidRPr="004759FA" w:rsidRDefault="002650A4" w:rsidP="001A1ECD">
            <w:pPr>
              <w:pStyle w:val="ListParagraph"/>
              <w:numPr>
                <w:ilvl w:val="0"/>
                <w:numId w:val="3"/>
              </w:numPr>
              <w:spacing w:before="0" w:after="0"/>
              <w:ind w:left="123" w:hanging="137"/>
              <w:contextualSpacing w:val="0"/>
              <w:rPr>
                <w:sz w:val="20"/>
                <w:szCs w:val="20"/>
              </w:rPr>
            </w:pPr>
            <w:r w:rsidRPr="004759FA">
              <w:rPr>
                <w:sz w:val="20"/>
                <w:szCs w:val="20"/>
              </w:rPr>
              <w:t>Solar PV capital cost projection</w:t>
            </w:r>
          </w:p>
        </w:tc>
      </w:tr>
    </w:tbl>
    <w:p w14:paraId="535B15D0" w14:textId="77777777" w:rsidR="002650A4" w:rsidRDefault="002650A4" w:rsidP="002650A4">
      <w:r>
        <w:br w:type="page"/>
      </w:r>
    </w:p>
    <w:p w14:paraId="4213C6DB" w14:textId="770D5AE6" w:rsidR="008F25E5" w:rsidRDefault="008F25E5" w:rsidP="005760A4">
      <w:pPr>
        <w:pStyle w:val="Appendix"/>
      </w:pPr>
      <w:bookmarkStart w:id="26" w:name="_Ref189473703"/>
      <w:bookmarkStart w:id="27" w:name="_Toc194577042"/>
      <w:r>
        <w:lastRenderedPageBreak/>
        <w:t>Mercosur and SIESUR</w:t>
      </w:r>
      <w:bookmarkEnd w:id="14"/>
      <w:bookmarkEnd w:id="15"/>
      <w:bookmarkEnd w:id="26"/>
      <w:bookmarkEnd w:id="27"/>
      <w:r>
        <w:t xml:space="preserve"> </w:t>
      </w:r>
    </w:p>
    <w:p w14:paraId="37250A51" w14:textId="273BFE8A" w:rsidR="008F25E5" w:rsidRDefault="008F25E5" w:rsidP="008F25E5">
      <w:r>
        <w:t>This study analyzes the value of full regional electricity coordination under mid-century deep decarbonization in a five-</w:t>
      </w:r>
      <w:proofErr w:type="spellStart"/>
      <w:r>
        <w:t>country</w:t>
      </w:r>
      <w:proofErr w:type="spellEnd"/>
      <w:r>
        <w:t xml:space="preserve"> region of South America, encompassing the continent’s Southern Cone as well as the Southern Common Market (Mercosur) economic trade bloc; this includes Argentina, Brazil, Chile, Paraguay, and Uruguay. For consistency, our study region of these five countries is referred to throughout the paper as “Mercosur”. This region contains abundant but geographically variable natural renewable resources, with an electricity system historically dominated by hydropower but with relatively high shares of wind and solar as well</w:t>
      </w:r>
      <w:r w:rsidR="00F263CE" w:rsidRPr="00F263CE">
        <w:rPr>
          <w:vertAlign w:val="superscript"/>
        </w:rPr>
        <w:t>86</w:t>
      </w:r>
      <w:r>
        <w:t>. However, though the output of several large hydropower projects is shared by bordering countries, transnational interconnections remain limited despite the spatially variable endowment of renewable resources</w:t>
      </w:r>
      <w:r w:rsidR="00F263CE" w:rsidRPr="00F263CE">
        <w:rPr>
          <w:vertAlign w:val="superscript"/>
        </w:rPr>
        <w:t>1</w:t>
      </w:r>
      <w:r>
        <w:t>, requiring continued use of fossil fuel resources for load balancing</w:t>
      </w:r>
      <w:r w:rsidR="00F263CE" w:rsidRPr="00F263CE">
        <w:rPr>
          <w:vertAlign w:val="superscript"/>
        </w:rPr>
        <w:t>87</w:t>
      </w:r>
      <w:r>
        <w:t>. Phasing out the use of gas-fired power plants, meeting growing electricity demand, and mitigating uncertainty in the climate impacts on future hydropower and other renewable electricity generation will all require additional investment in wind and solar capacities</w:t>
      </w:r>
      <w:r w:rsidR="00F263CE" w:rsidRPr="00F263CE">
        <w:rPr>
          <w:vertAlign w:val="superscript"/>
        </w:rPr>
        <w:t>88,89</w:t>
      </w:r>
      <w:r>
        <w:t>. By coordinating these long-term planning decisions throughout a larger interconnected system, this region can also take advantage of complementarities and synergies between hydropower and intermittent wind and solar</w:t>
      </w:r>
      <w:r w:rsidR="00F263CE" w:rsidRPr="00F263CE">
        <w:rPr>
          <w:vertAlign w:val="superscript"/>
        </w:rPr>
        <w:t>80,30,28,25</w:t>
      </w:r>
      <w:r>
        <w:t>.</w:t>
      </w:r>
    </w:p>
    <w:p w14:paraId="2309A483" w14:textId="71FE13D5" w:rsidR="008F25E5" w:rsidRDefault="008F25E5" w:rsidP="008F25E5">
      <w:r>
        <w:t xml:space="preserve">Latin America and the Caribbean </w:t>
      </w:r>
      <w:proofErr w:type="gramStart"/>
      <w:r>
        <w:t>has</w:t>
      </w:r>
      <w:proofErr w:type="gramEnd"/>
      <w:r>
        <w:t xml:space="preserve"> been identified as a region with opportunities for low-regret investment in regional electricity cooperation</w:t>
      </w:r>
      <w:r w:rsidR="00F263CE" w:rsidRPr="00F263CE">
        <w:rPr>
          <w:vertAlign w:val="superscript"/>
        </w:rPr>
        <w:t>12,90</w:t>
      </w:r>
      <w:r>
        <w:t xml:space="preserve"> and coordinated transmission </w:t>
      </w:r>
      <w:r w:rsidR="00A62407">
        <w:t>systems</w:t>
      </w:r>
      <w:r w:rsidR="00F263CE" w:rsidRPr="00F263CE">
        <w:rPr>
          <w:vertAlign w:val="superscript"/>
        </w:rPr>
        <w:t>24,26,27</w:t>
      </w:r>
      <w:r>
        <w:t>, subject to successful navigation of the regulatory and policy environment</w:t>
      </w:r>
      <w:r w:rsidR="00F263CE" w:rsidRPr="00F263CE">
        <w:rPr>
          <w:vertAlign w:val="superscript"/>
        </w:rPr>
        <w:t>22,23,91</w:t>
      </w:r>
      <w:r>
        <w:t xml:space="preserve"> as well as balancing potential mismatches in neighboring countries’ bargaining power</w:t>
      </w:r>
      <w:r w:rsidR="00F263CE" w:rsidRPr="00F263CE">
        <w:rPr>
          <w:vertAlign w:val="superscript"/>
        </w:rPr>
        <w:t>21</w:t>
      </w:r>
      <w:r>
        <w:t>. As LAC seeks to both decarbonize and avoid future emissions, many governments are turning to cooperative planning strategies to meet clean energy and economic development goals</w:t>
      </w:r>
      <w:r w:rsidR="00F263CE" w:rsidRPr="00F263CE">
        <w:rPr>
          <w:vertAlign w:val="superscript"/>
        </w:rPr>
        <w:t>92</w:t>
      </w:r>
      <w:r>
        <w:t>.</w:t>
      </w:r>
    </w:p>
    <w:p w14:paraId="348EC0D9" w14:textId="592F21D0" w:rsidR="00DD3755" w:rsidRDefault="008F25E5" w:rsidP="002E2569">
      <w:r>
        <w:t>Mercosur was formed in 1991 with the Treaty of Asunción, with original member countries Argentina, Brazil, Paraguay, Uruguay, and Venezuela (now suspended), to provide a common market promoting free trade and regional economic development</w:t>
      </w:r>
      <w:r w:rsidR="00F263CE" w:rsidRPr="00F263CE">
        <w:rPr>
          <w:vertAlign w:val="superscript"/>
        </w:rPr>
        <w:t>93</w:t>
      </w:r>
      <w:r>
        <w:t>.</w:t>
      </w:r>
      <w:r w:rsidRPr="00AE0463">
        <w:t xml:space="preserve"> </w:t>
      </w:r>
      <w:r>
        <w:t>However, there is relatively very little electricity trade between countries, and it has decreased over time, with existing interconnections rarely being fully utilized</w:t>
      </w:r>
      <w:r w:rsidR="00F263CE" w:rsidRPr="00F263CE">
        <w:rPr>
          <w:vertAlign w:val="superscript"/>
        </w:rPr>
        <w:t>12</w:t>
      </w:r>
      <w:r>
        <w:t>. This is due in part to the exclusively binational sales and transfers of power across these lines, rather than through coordinated dispatch</w:t>
      </w:r>
      <w:r w:rsidR="00F263CE" w:rsidRPr="00F263CE">
        <w:rPr>
          <w:vertAlign w:val="superscript"/>
        </w:rPr>
        <w:t>94</w:t>
      </w:r>
      <w:r>
        <w:t xml:space="preserve">. </w:t>
      </w:r>
      <w:r w:rsidRPr="00AE0463">
        <w:t>Ríos et al.</w:t>
      </w:r>
      <w:r>
        <w:t xml:space="preserve"> map a brief timeline of regional electricity coordination in LAC and propose the Southern Energy Integration System (SIESUR), consisting of Argentina, Brazil, Paraguay, Uruguay, and Chile (an associate member of Mercosur), to engage in regional electricity coordination by taking advantage of existing binational hydropower generators and transmission infrastructure</w:t>
      </w:r>
      <w:r w:rsidR="00F263CE" w:rsidRPr="00F263CE">
        <w:rPr>
          <w:vertAlign w:val="superscript"/>
        </w:rPr>
        <w:t>94</w:t>
      </w:r>
      <w:r>
        <w:t>. This initiative is currently being explored with support from the Inter-American Development Bank (IDB)</w:t>
      </w:r>
      <w:r w:rsidR="00F263CE" w:rsidRPr="00F263CE">
        <w:rPr>
          <w:vertAlign w:val="superscript"/>
        </w:rPr>
        <w:t>95</w:t>
      </w:r>
      <w:r>
        <w:t>. In addition to SIESUR, development banks support other coordination efforts for the electricity system in LAC as well, including SIEPAC (Central America; final transmission link completed in 2014), SINEA (Andean region; formed in 2011), and Arco Norte (Guyana, Suriname, French Guiana, and Northern Brazil; exploratory stages), which are at varying stages of implementation</w:t>
      </w:r>
      <w:r w:rsidR="00F263CE" w:rsidRPr="00F263CE">
        <w:rPr>
          <w:vertAlign w:val="superscript"/>
        </w:rPr>
        <w:t>95,96</w:t>
      </w:r>
      <w:r>
        <w:t>.</w:t>
      </w:r>
      <w:r w:rsidR="00BB5885">
        <w:t xml:space="preserve"> See Table S</w:t>
      </w:r>
      <w:r w:rsidR="00BB5885">
        <w:rPr>
          <w:noProof/>
        </w:rPr>
        <w:t>5</w:t>
      </w:r>
      <w:r w:rsidR="00BB5885">
        <w:t xml:space="preserve"> for a general overview of the current landscape.</w:t>
      </w:r>
      <w:r w:rsidR="002E2569">
        <w:br w:type="page"/>
      </w:r>
    </w:p>
    <w:p w14:paraId="4F391FAC" w14:textId="77777777" w:rsidR="006258A9" w:rsidRPr="006258A9" w:rsidRDefault="00BB5885" w:rsidP="00BB5885">
      <w:pPr>
        <w:pStyle w:val="TableCaption"/>
        <w:rPr>
          <w:noProof/>
          <w:vanish/>
          <w:specVanish/>
        </w:rPr>
      </w:pPr>
      <w:bookmarkStart w:id="28" w:name="_Ref193961043"/>
      <w:bookmarkStart w:id="29" w:name="_Toc194577051"/>
      <w:bookmarkStart w:id="30" w:name="_Toc194575611"/>
      <w:r>
        <w:lastRenderedPageBreak/>
        <w:t>Table S</w:t>
      </w:r>
      <w:r w:rsidR="00237128">
        <w:rPr>
          <w:noProof/>
        </w:rPr>
        <w:t>5</w:t>
      </w:r>
      <w:bookmarkEnd w:id="28"/>
      <w:bookmarkEnd w:id="29"/>
    </w:p>
    <w:p w14:paraId="441222A1" w14:textId="6D1AF17F" w:rsidR="008F25E5" w:rsidRPr="00662E1B" w:rsidRDefault="008F25E5" w:rsidP="006258A9">
      <w:pPr>
        <w:pStyle w:val="Style3"/>
      </w:pPr>
      <w:r>
        <w:t>: General overview of electricity system structures for Mercosur (SIESUR) countries.</w:t>
      </w:r>
      <w:bookmarkEnd w:id="30"/>
    </w:p>
    <w:tbl>
      <w:tblPr>
        <w:tblStyle w:val="TableGrid"/>
        <w:tblW w:w="0" w:type="auto"/>
        <w:tblLook w:val="04A0" w:firstRow="1" w:lastRow="0" w:firstColumn="1" w:lastColumn="0" w:noHBand="0" w:noVBand="1"/>
      </w:tblPr>
      <w:tblGrid>
        <w:gridCol w:w="1257"/>
        <w:gridCol w:w="1594"/>
        <w:gridCol w:w="1596"/>
        <w:gridCol w:w="1505"/>
        <w:gridCol w:w="1519"/>
        <w:gridCol w:w="1704"/>
      </w:tblGrid>
      <w:tr w:rsidR="008F25E5" w14:paraId="6B49ED47" w14:textId="77777777" w:rsidTr="00E47912">
        <w:trPr>
          <w:trHeight w:val="334"/>
        </w:trPr>
        <w:tc>
          <w:tcPr>
            <w:tcW w:w="1257" w:type="dxa"/>
            <w:vAlign w:val="center"/>
          </w:tcPr>
          <w:p w14:paraId="06C74918" w14:textId="77777777" w:rsidR="008F25E5" w:rsidRPr="008B39DC" w:rsidRDefault="008F25E5" w:rsidP="00185493">
            <w:pPr>
              <w:spacing w:before="0" w:after="0"/>
              <w:contextualSpacing/>
              <w:jc w:val="center"/>
              <w:rPr>
                <w:b/>
                <w:bCs/>
                <w:sz w:val="20"/>
                <w:szCs w:val="20"/>
              </w:rPr>
            </w:pPr>
          </w:p>
        </w:tc>
        <w:tc>
          <w:tcPr>
            <w:tcW w:w="1594" w:type="dxa"/>
            <w:vAlign w:val="center"/>
          </w:tcPr>
          <w:p w14:paraId="264BBF97" w14:textId="77777777" w:rsidR="008F25E5" w:rsidRPr="008B39DC" w:rsidRDefault="008F25E5" w:rsidP="00185493">
            <w:pPr>
              <w:spacing w:before="0" w:after="0"/>
              <w:contextualSpacing/>
              <w:jc w:val="center"/>
              <w:rPr>
                <w:b/>
                <w:bCs/>
                <w:sz w:val="20"/>
                <w:szCs w:val="20"/>
              </w:rPr>
            </w:pPr>
            <w:r w:rsidRPr="008B39DC">
              <w:rPr>
                <w:b/>
                <w:bCs/>
                <w:sz w:val="20"/>
                <w:szCs w:val="20"/>
              </w:rPr>
              <w:t>Argentina</w:t>
            </w:r>
          </w:p>
        </w:tc>
        <w:tc>
          <w:tcPr>
            <w:tcW w:w="1596" w:type="dxa"/>
            <w:vAlign w:val="center"/>
          </w:tcPr>
          <w:p w14:paraId="4301BB3A" w14:textId="77777777" w:rsidR="008F25E5" w:rsidRPr="008B39DC" w:rsidRDefault="008F25E5" w:rsidP="00185493">
            <w:pPr>
              <w:spacing w:before="0" w:after="0"/>
              <w:contextualSpacing/>
              <w:jc w:val="center"/>
              <w:rPr>
                <w:b/>
                <w:bCs/>
                <w:sz w:val="20"/>
                <w:szCs w:val="20"/>
              </w:rPr>
            </w:pPr>
            <w:r w:rsidRPr="008B39DC">
              <w:rPr>
                <w:b/>
                <w:bCs/>
                <w:sz w:val="20"/>
                <w:szCs w:val="20"/>
              </w:rPr>
              <w:t>Brazil</w:t>
            </w:r>
          </w:p>
        </w:tc>
        <w:tc>
          <w:tcPr>
            <w:tcW w:w="1505" w:type="dxa"/>
            <w:vAlign w:val="center"/>
          </w:tcPr>
          <w:p w14:paraId="347882D4" w14:textId="77777777" w:rsidR="008F25E5" w:rsidRPr="008B39DC" w:rsidRDefault="008F25E5" w:rsidP="00185493">
            <w:pPr>
              <w:spacing w:before="0" w:after="0"/>
              <w:contextualSpacing/>
              <w:jc w:val="center"/>
              <w:rPr>
                <w:b/>
                <w:bCs/>
                <w:sz w:val="20"/>
                <w:szCs w:val="20"/>
              </w:rPr>
            </w:pPr>
            <w:r w:rsidRPr="008B39DC">
              <w:rPr>
                <w:b/>
                <w:bCs/>
                <w:sz w:val="20"/>
                <w:szCs w:val="20"/>
              </w:rPr>
              <w:t>Chile</w:t>
            </w:r>
          </w:p>
        </w:tc>
        <w:tc>
          <w:tcPr>
            <w:tcW w:w="1519" w:type="dxa"/>
            <w:vAlign w:val="center"/>
          </w:tcPr>
          <w:p w14:paraId="0E3FC1EE" w14:textId="77777777" w:rsidR="008F25E5" w:rsidRPr="008B39DC" w:rsidRDefault="008F25E5" w:rsidP="00185493">
            <w:pPr>
              <w:spacing w:before="0" w:after="0"/>
              <w:contextualSpacing/>
              <w:jc w:val="center"/>
              <w:rPr>
                <w:b/>
                <w:bCs/>
                <w:sz w:val="20"/>
                <w:szCs w:val="20"/>
              </w:rPr>
            </w:pPr>
            <w:r w:rsidRPr="008B39DC">
              <w:rPr>
                <w:b/>
                <w:bCs/>
                <w:sz w:val="20"/>
                <w:szCs w:val="20"/>
              </w:rPr>
              <w:t>Paraguay</w:t>
            </w:r>
          </w:p>
        </w:tc>
        <w:tc>
          <w:tcPr>
            <w:tcW w:w="1704" w:type="dxa"/>
            <w:vAlign w:val="center"/>
          </w:tcPr>
          <w:p w14:paraId="3EFF82CE" w14:textId="77777777" w:rsidR="008F25E5" w:rsidRPr="008B39DC" w:rsidRDefault="008F25E5" w:rsidP="00185493">
            <w:pPr>
              <w:spacing w:before="0" w:after="0"/>
              <w:contextualSpacing/>
              <w:jc w:val="center"/>
              <w:rPr>
                <w:b/>
                <w:bCs/>
                <w:sz w:val="20"/>
                <w:szCs w:val="20"/>
              </w:rPr>
            </w:pPr>
            <w:r w:rsidRPr="008B39DC">
              <w:rPr>
                <w:b/>
                <w:bCs/>
                <w:sz w:val="20"/>
                <w:szCs w:val="20"/>
              </w:rPr>
              <w:t>Uruguay</w:t>
            </w:r>
          </w:p>
        </w:tc>
      </w:tr>
      <w:tr w:rsidR="008F25E5" w14:paraId="78C85BF2" w14:textId="77777777" w:rsidTr="00237128">
        <w:trPr>
          <w:trHeight w:val="1457"/>
        </w:trPr>
        <w:tc>
          <w:tcPr>
            <w:tcW w:w="1257" w:type="dxa"/>
            <w:vAlign w:val="center"/>
          </w:tcPr>
          <w:p w14:paraId="0E20B1D6" w14:textId="77777777" w:rsidR="008F25E5" w:rsidRPr="00001076" w:rsidRDefault="008F25E5" w:rsidP="00185493">
            <w:pPr>
              <w:spacing w:before="0" w:after="0"/>
              <w:contextualSpacing/>
              <w:jc w:val="center"/>
              <w:rPr>
                <w:b/>
                <w:bCs/>
                <w:sz w:val="18"/>
                <w:szCs w:val="18"/>
              </w:rPr>
            </w:pPr>
            <w:r w:rsidRPr="00001076">
              <w:rPr>
                <w:b/>
                <w:bCs/>
                <w:sz w:val="18"/>
                <w:szCs w:val="18"/>
              </w:rPr>
              <w:t>Structure</w:t>
            </w:r>
          </w:p>
        </w:tc>
        <w:tc>
          <w:tcPr>
            <w:tcW w:w="1594" w:type="dxa"/>
            <w:vAlign w:val="center"/>
          </w:tcPr>
          <w:p w14:paraId="175307BB" w14:textId="77777777" w:rsidR="008F25E5" w:rsidRPr="00001076" w:rsidRDefault="008F25E5" w:rsidP="00185493">
            <w:pPr>
              <w:spacing w:before="0" w:after="0"/>
              <w:contextualSpacing/>
              <w:rPr>
                <w:sz w:val="18"/>
                <w:szCs w:val="18"/>
              </w:rPr>
            </w:pPr>
            <w:r w:rsidRPr="00001076">
              <w:rPr>
                <w:sz w:val="18"/>
                <w:szCs w:val="18"/>
              </w:rPr>
              <w:t>Unbundled since 1991, regulated by ENRE</w:t>
            </w:r>
          </w:p>
        </w:tc>
        <w:tc>
          <w:tcPr>
            <w:tcW w:w="1596" w:type="dxa"/>
            <w:vAlign w:val="center"/>
          </w:tcPr>
          <w:p w14:paraId="675C521E" w14:textId="77777777" w:rsidR="008F25E5" w:rsidRPr="00001076" w:rsidRDefault="008F25E5" w:rsidP="00185493">
            <w:pPr>
              <w:spacing w:before="0" w:after="0"/>
              <w:contextualSpacing/>
              <w:rPr>
                <w:sz w:val="18"/>
                <w:szCs w:val="18"/>
              </w:rPr>
            </w:pPr>
            <w:r w:rsidRPr="00001076">
              <w:rPr>
                <w:sz w:val="18"/>
                <w:szCs w:val="18"/>
              </w:rPr>
              <w:t>Unbundled since 1996, regulated by ANEEL</w:t>
            </w:r>
          </w:p>
        </w:tc>
        <w:tc>
          <w:tcPr>
            <w:tcW w:w="1505" w:type="dxa"/>
            <w:vAlign w:val="center"/>
          </w:tcPr>
          <w:p w14:paraId="5BC74A26" w14:textId="77777777" w:rsidR="008F25E5" w:rsidRPr="00001076" w:rsidRDefault="008F25E5" w:rsidP="00185493">
            <w:pPr>
              <w:spacing w:before="0" w:after="0"/>
              <w:contextualSpacing/>
              <w:rPr>
                <w:sz w:val="18"/>
                <w:szCs w:val="18"/>
              </w:rPr>
            </w:pPr>
            <w:r w:rsidRPr="00001076">
              <w:rPr>
                <w:sz w:val="18"/>
                <w:szCs w:val="18"/>
              </w:rPr>
              <w:t>Unbundled and 100% private since 1982, regulated by SEC</w:t>
            </w:r>
          </w:p>
        </w:tc>
        <w:tc>
          <w:tcPr>
            <w:tcW w:w="1519" w:type="dxa"/>
            <w:vAlign w:val="center"/>
          </w:tcPr>
          <w:p w14:paraId="07747A4F" w14:textId="77777777" w:rsidR="008F25E5" w:rsidRPr="00001076" w:rsidRDefault="008F25E5" w:rsidP="00185493">
            <w:pPr>
              <w:spacing w:before="0" w:after="0"/>
              <w:contextualSpacing/>
              <w:rPr>
                <w:sz w:val="18"/>
                <w:szCs w:val="18"/>
              </w:rPr>
            </w:pPr>
            <w:r>
              <w:rPr>
                <w:sz w:val="18"/>
                <w:szCs w:val="18"/>
              </w:rPr>
              <w:t>Integrated and regulated under a</w:t>
            </w:r>
            <w:r w:rsidRPr="00001076">
              <w:rPr>
                <w:sz w:val="18"/>
                <w:szCs w:val="18"/>
              </w:rPr>
              <w:t xml:space="preserve"> public monopoly, ANDE</w:t>
            </w:r>
            <w:r>
              <w:rPr>
                <w:sz w:val="18"/>
                <w:szCs w:val="18"/>
              </w:rPr>
              <w:t>, since 1949</w:t>
            </w:r>
          </w:p>
        </w:tc>
        <w:tc>
          <w:tcPr>
            <w:tcW w:w="1704" w:type="dxa"/>
            <w:vAlign w:val="center"/>
          </w:tcPr>
          <w:p w14:paraId="1A84EEC3" w14:textId="77777777" w:rsidR="008F25E5" w:rsidRPr="00001076" w:rsidRDefault="008F25E5" w:rsidP="00185493">
            <w:pPr>
              <w:spacing w:before="0" w:after="0"/>
              <w:contextualSpacing/>
              <w:rPr>
                <w:sz w:val="18"/>
                <w:szCs w:val="18"/>
              </w:rPr>
            </w:pPr>
            <w:r>
              <w:rPr>
                <w:sz w:val="18"/>
                <w:szCs w:val="18"/>
              </w:rPr>
              <w:t>Integrated under a national utility, UTE, since 1912; regulated by URSEA</w:t>
            </w:r>
          </w:p>
        </w:tc>
      </w:tr>
      <w:tr w:rsidR="008F25E5" w14:paraId="04AF7F63" w14:textId="77777777" w:rsidTr="00237128">
        <w:trPr>
          <w:trHeight w:val="2159"/>
        </w:trPr>
        <w:tc>
          <w:tcPr>
            <w:tcW w:w="1257" w:type="dxa"/>
            <w:vAlign w:val="center"/>
          </w:tcPr>
          <w:p w14:paraId="397C3A17" w14:textId="77777777" w:rsidR="008F25E5" w:rsidRPr="00001076" w:rsidRDefault="008F25E5" w:rsidP="00185493">
            <w:pPr>
              <w:spacing w:before="0" w:after="0"/>
              <w:contextualSpacing/>
              <w:jc w:val="center"/>
              <w:rPr>
                <w:b/>
                <w:bCs/>
                <w:sz w:val="18"/>
                <w:szCs w:val="18"/>
              </w:rPr>
            </w:pPr>
            <w:r w:rsidRPr="00001076">
              <w:rPr>
                <w:b/>
                <w:bCs/>
                <w:sz w:val="18"/>
                <w:szCs w:val="18"/>
              </w:rPr>
              <w:t>Generation</w:t>
            </w:r>
          </w:p>
        </w:tc>
        <w:tc>
          <w:tcPr>
            <w:tcW w:w="1594" w:type="dxa"/>
            <w:vAlign w:val="center"/>
          </w:tcPr>
          <w:p w14:paraId="6DCD62D6" w14:textId="77777777" w:rsidR="008F25E5" w:rsidRPr="00001076" w:rsidRDefault="008F25E5" w:rsidP="00185493">
            <w:pPr>
              <w:spacing w:before="0" w:after="0"/>
              <w:contextualSpacing/>
              <w:rPr>
                <w:sz w:val="18"/>
                <w:szCs w:val="18"/>
              </w:rPr>
            </w:pPr>
            <w:r w:rsidRPr="00001076">
              <w:rPr>
                <w:sz w:val="18"/>
                <w:szCs w:val="18"/>
              </w:rPr>
              <w:t>Competitive market with mostly private ownership (except nuclear and bi-national hydro), wholesale market administered by CAMMESA</w:t>
            </w:r>
          </w:p>
        </w:tc>
        <w:tc>
          <w:tcPr>
            <w:tcW w:w="1596" w:type="dxa"/>
            <w:vAlign w:val="center"/>
          </w:tcPr>
          <w:p w14:paraId="7B55ADD0" w14:textId="77777777" w:rsidR="008F25E5" w:rsidRPr="00001076" w:rsidRDefault="008F25E5" w:rsidP="00185493">
            <w:pPr>
              <w:spacing w:before="0" w:after="0"/>
              <w:contextualSpacing/>
              <w:rPr>
                <w:sz w:val="18"/>
                <w:szCs w:val="18"/>
              </w:rPr>
            </w:pPr>
            <w:r>
              <w:rPr>
                <w:sz w:val="18"/>
                <w:szCs w:val="18"/>
              </w:rPr>
              <w:t>Capacity o</w:t>
            </w:r>
            <w:r w:rsidRPr="00001076">
              <w:rPr>
                <w:sz w:val="18"/>
                <w:szCs w:val="18"/>
              </w:rPr>
              <w:t>wned mostly by federal and state-owned entities (the largest being Eletrobras), while a smaller but growing share is privately owned</w:t>
            </w:r>
          </w:p>
        </w:tc>
        <w:tc>
          <w:tcPr>
            <w:tcW w:w="1505" w:type="dxa"/>
            <w:vAlign w:val="center"/>
          </w:tcPr>
          <w:p w14:paraId="20FA115B" w14:textId="77777777" w:rsidR="008F25E5" w:rsidRPr="00001076" w:rsidRDefault="008F25E5" w:rsidP="00185493">
            <w:pPr>
              <w:spacing w:before="0" w:after="0"/>
              <w:contextualSpacing/>
              <w:rPr>
                <w:sz w:val="18"/>
                <w:szCs w:val="18"/>
              </w:rPr>
            </w:pPr>
            <w:r w:rsidRPr="00001076">
              <w:rPr>
                <w:sz w:val="18"/>
                <w:szCs w:val="18"/>
              </w:rPr>
              <w:t>Privately owned companies</w:t>
            </w:r>
          </w:p>
        </w:tc>
        <w:tc>
          <w:tcPr>
            <w:tcW w:w="1519" w:type="dxa"/>
            <w:vAlign w:val="center"/>
          </w:tcPr>
          <w:p w14:paraId="34788F39" w14:textId="77777777" w:rsidR="008F25E5" w:rsidRPr="00001076" w:rsidRDefault="008F25E5" w:rsidP="00185493">
            <w:pPr>
              <w:spacing w:before="0" w:after="0"/>
              <w:contextualSpacing/>
              <w:rPr>
                <w:sz w:val="18"/>
                <w:szCs w:val="18"/>
              </w:rPr>
            </w:pPr>
            <w:r>
              <w:rPr>
                <w:sz w:val="18"/>
                <w:szCs w:val="18"/>
              </w:rPr>
              <w:t>Almost entirely hydropower-based from three dams, two being bi-nationally operated, with a few thermal power plants</w:t>
            </w:r>
          </w:p>
        </w:tc>
        <w:tc>
          <w:tcPr>
            <w:tcW w:w="1704" w:type="dxa"/>
            <w:vAlign w:val="center"/>
          </w:tcPr>
          <w:p w14:paraId="101B5C45" w14:textId="77777777" w:rsidR="008F25E5" w:rsidRPr="00001076" w:rsidRDefault="008F25E5" w:rsidP="00185493">
            <w:pPr>
              <w:spacing w:before="0" w:after="0"/>
              <w:contextualSpacing/>
              <w:rPr>
                <w:sz w:val="18"/>
                <w:szCs w:val="18"/>
              </w:rPr>
            </w:pPr>
            <w:r>
              <w:rPr>
                <w:sz w:val="18"/>
                <w:szCs w:val="18"/>
              </w:rPr>
              <w:t>Significant share owned by UTE, with some capacity (primarily wind generation) owned by private companies</w:t>
            </w:r>
          </w:p>
        </w:tc>
      </w:tr>
      <w:tr w:rsidR="008F25E5" w14:paraId="03A380BD" w14:textId="77777777" w:rsidTr="00237128">
        <w:trPr>
          <w:trHeight w:val="1277"/>
        </w:trPr>
        <w:tc>
          <w:tcPr>
            <w:tcW w:w="1257" w:type="dxa"/>
            <w:vAlign w:val="center"/>
          </w:tcPr>
          <w:p w14:paraId="5BB6B4E8" w14:textId="77777777" w:rsidR="008F25E5" w:rsidRPr="00001076" w:rsidRDefault="008F25E5" w:rsidP="00185493">
            <w:pPr>
              <w:spacing w:before="0" w:after="0"/>
              <w:contextualSpacing/>
              <w:jc w:val="center"/>
              <w:rPr>
                <w:b/>
                <w:bCs/>
                <w:sz w:val="18"/>
                <w:szCs w:val="18"/>
              </w:rPr>
            </w:pPr>
            <w:r w:rsidRPr="00001076">
              <w:rPr>
                <w:b/>
                <w:bCs/>
                <w:sz w:val="18"/>
                <w:szCs w:val="18"/>
              </w:rPr>
              <w:t>Transmission</w:t>
            </w:r>
          </w:p>
        </w:tc>
        <w:tc>
          <w:tcPr>
            <w:tcW w:w="1594" w:type="dxa"/>
            <w:vAlign w:val="center"/>
          </w:tcPr>
          <w:p w14:paraId="0B470E1D" w14:textId="77777777" w:rsidR="008F25E5" w:rsidRPr="00001076" w:rsidRDefault="008F25E5" w:rsidP="00185493">
            <w:pPr>
              <w:spacing w:before="0" w:after="0"/>
              <w:contextualSpacing/>
              <w:rPr>
                <w:sz w:val="18"/>
                <w:szCs w:val="18"/>
              </w:rPr>
            </w:pPr>
            <w:r w:rsidRPr="00001076">
              <w:rPr>
                <w:sz w:val="18"/>
                <w:szCs w:val="18"/>
              </w:rPr>
              <w:t>Operated primarily by a single private entity, Transener</w:t>
            </w:r>
          </w:p>
        </w:tc>
        <w:tc>
          <w:tcPr>
            <w:tcW w:w="1596" w:type="dxa"/>
            <w:vAlign w:val="center"/>
          </w:tcPr>
          <w:p w14:paraId="3FF51C3E" w14:textId="77777777" w:rsidR="008F25E5" w:rsidRPr="00001076" w:rsidRDefault="008F25E5" w:rsidP="00185493">
            <w:pPr>
              <w:spacing w:before="0" w:after="0"/>
              <w:contextualSpacing/>
              <w:rPr>
                <w:sz w:val="18"/>
                <w:szCs w:val="18"/>
              </w:rPr>
            </w:pPr>
            <w:r w:rsidRPr="00001076">
              <w:rPr>
                <w:sz w:val="18"/>
                <w:szCs w:val="18"/>
              </w:rPr>
              <w:t>Operated primarily through federal and state entities, but including some concessions</w:t>
            </w:r>
          </w:p>
        </w:tc>
        <w:tc>
          <w:tcPr>
            <w:tcW w:w="1505" w:type="dxa"/>
            <w:vAlign w:val="center"/>
          </w:tcPr>
          <w:p w14:paraId="394948B8" w14:textId="77777777" w:rsidR="008F25E5" w:rsidRPr="00001076" w:rsidRDefault="008F25E5" w:rsidP="00185493">
            <w:pPr>
              <w:spacing w:before="0" w:after="0"/>
              <w:contextualSpacing/>
              <w:rPr>
                <w:sz w:val="18"/>
                <w:szCs w:val="18"/>
              </w:rPr>
            </w:pPr>
            <w:r>
              <w:rPr>
                <w:sz w:val="18"/>
                <w:szCs w:val="18"/>
              </w:rPr>
              <w:t xml:space="preserve">Privately owned, </w:t>
            </w:r>
            <w:r w:rsidRPr="00001076">
              <w:rPr>
                <w:sz w:val="18"/>
                <w:szCs w:val="18"/>
              </w:rPr>
              <w:t>majority controlled by Transelec</w:t>
            </w:r>
          </w:p>
        </w:tc>
        <w:tc>
          <w:tcPr>
            <w:tcW w:w="1519" w:type="dxa"/>
            <w:vAlign w:val="center"/>
          </w:tcPr>
          <w:p w14:paraId="4B779EA6" w14:textId="77777777" w:rsidR="008F25E5" w:rsidRPr="00001076" w:rsidRDefault="008F25E5" w:rsidP="00185493">
            <w:pPr>
              <w:spacing w:before="0" w:after="0"/>
              <w:contextualSpacing/>
              <w:rPr>
                <w:sz w:val="18"/>
                <w:szCs w:val="18"/>
              </w:rPr>
            </w:pPr>
            <w:r>
              <w:rPr>
                <w:sz w:val="18"/>
                <w:szCs w:val="18"/>
              </w:rPr>
              <w:t>Controlled by ANDE</w:t>
            </w:r>
          </w:p>
        </w:tc>
        <w:tc>
          <w:tcPr>
            <w:tcW w:w="1704" w:type="dxa"/>
            <w:vAlign w:val="center"/>
          </w:tcPr>
          <w:p w14:paraId="470E1E0C" w14:textId="77777777" w:rsidR="008F25E5" w:rsidRPr="00001076" w:rsidRDefault="008F25E5" w:rsidP="00185493">
            <w:pPr>
              <w:spacing w:before="0" w:after="0"/>
              <w:contextualSpacing/>
              <w:rPr>
                <w:sz w:val="18"/>
                <w:szCs w:val="18"/>
              </w:rPr>
            </w:pPr>
            <w:r>
              <w:rPr>
                <w:sz w:val="18"/>
                <w:szCs w:val="18"/>
              </w:rPr>
              <w:t>Controlled by UTE</w:t>
            </w:r>
          </w:p>
        </w:tc>
      </w:tr>
      <w:tr w:rsidR="008F25E5" w14:paraId="06C0115C" w14:textId="77777777" w:rsidTr="00237128">
        <w:trPr>
          <w:trHeight w:val="1430"/>
        </w:trPr>
        <w:tc>
          <w:tcPr>
            <w:tcW w:w="1257" w:type="dxa"/>
            <w:vAlign w:val="center"/>
          </w:tcPr>
          <w:p w14:paraId="328E85FD" w14:textId="77777777" w:rsidR="008F25E5" w:rsidRPr="00001076" w:rsidRDefault="008F25E5" w:rsidP="00185493">
            <w:pPr>
              <w:spacing w:before="0" w:after="0"/>
              <w:contextualSpacing/>
              <w:jc w:val="center"/>
              <w:rPr>
                <w:b/>
                <w:bCs/>
                <w:sz w:val="18"/>
                <w:szCs w:val="18"/>
              </w:rPr>
            </w:pPr>
            <w:r w:rsidRPr="00001076">
              <w:rPr>
                <w:b/>
                <w:bCs/>
                <w:sz w:val="18"/>
                <w:szCs w:val="18"/>
              </w:rPr>
              <w:t>Distribution</w:t>
            </w:r>
          </w:p>
        </w:tc>
        <w:tc>
          <w:tcPr>
            <w:tcW w:w="1594" w:type="dxa"/>
            <w:vAlign w:val="center"/>
          </w:tcPr>
          <w:p w14:paraId="20B6FEA6" w14:textId="77777777" w:rsidR="008F25E5" w:rsidRPr="00001076" w:rsidRDefault="008F25E5" w:rsidP="00185493">
            <w:pPr>
              <w:spacing w:before="0" w:after="0"/>
              <w:contextualSpacing/>
              <w:rPr>
                <w:sz w:val="18"/>
                <w:szCs w:val="18"/>
              </w:rPr>
            </w:pPr>
            <w:r w:rsidRPr="00001076">
              <w:rPr>
                <w:sz w:val="18"/>
                <w:szCs w:val="18"/>
              </w:rPr>
              <w:t>Three main service providers (Edenor, Edesur, Edelap), majority private ownership</w:t>
            </w:r>
          </w:p>
        </w:tc>
        <w:tc>
          <w:tcPr>
            <w:tcW w:w="1596" w:type="dxa"/>
            <w:vAlign w:val="center"/>
          </w:tcPr>
          <w:p w14:paraId="2753E193" w14:textId="77777777" w:rsidR="008F25E5" w:rsidRPr="00001076" w:rsidRDefault="008F25E5" w:rsidP="00185493">
            <w:pPr>
              <w:spacing w:before="0" w:after="0"/>
              <w:contextualSpacing/>
              <w:rPr>
                <w:sz w:val="18"/>
                <w:szCs w:val="18"/>
              </w:rPr>
            </w:pPr>
            <w:r w:rsidRPr="00001076">
              <w:rPr>
                <w:sz w:val="18"/>
                <w:szCs w:val="18"/>
              </w:rPr>
              <w:t>Majority are privately owned companies</w:t>
            </w:r>
          </w:p>
        </w:tc>
        <w:tc>
          <w:tcPr>
            <w:tcW w:w="1505" w:type="dxa"/>
            <w:vAlign w:val="center"/>
          </w:tcPr>
          <w:p w14:paraId="580191E1" w14:textId="77777777" w:rsidR="008F25E5" w:rsidRPr="00001076" w:rsidRDefault="008F25E5" w:rsidP="00185493">
            <w:pPr>
              <w:spacing w:before="0" w:after="0"/>
              <w:contextualSpacing/>
              <w:rPr>
                <w:sz w:val="18"/>
                <w:szCs w:val="18"/>
              </w:rPr>
            </w:pPr>
            <w:r w:rsidRPr="00001076">
              <w:rPr>
                <w:sz w:val="18"/>
                <w:szCs w:val="18"/>
              </w:rPr>
              <w:t>Entirely privately owned companies</w:t>
            </w:r>
          </w:p>
        </w:tc>
        <w:tc>
          <w:tcPr>
            <w:tcW w:w="1519" w:type="dxa"/>
            <w:vAlign w:val="center"/>
          </w:tcPr>
          <w:p w14:paraId="4F463789" w14:textId="77777777" w:rsidR="008F25E5" w:rsidRPr="00001076" w:rsidRDefault="008F25E5" w:rsidP="00185493">
            <w:pPr>
              <w:spacing w:before="0" w:after="0"/>
              <w:contextualSpacing/>
              <w:rPr>
                <w:sz w:val="18"/>
                <w:szCs w:val="18"/>
              </w:rPr>
            </w:pPr>
            <w:r>
              <w:rPr>
                <w:sz w:val="18"/>
                <w:szCs w:val="18"/>
              </w:rPr>
              <w:t>Operated exclusively by ANDE, with concessions</w:t>
            </w:r>
          </w:p>
        </w:tc>
        <w:tc>
          <w:tcPr>
            <w:tcW w:w="1704" w:type="dxa"/>
            <w:vAlign w:val="center"/>
          </w:tcPr>
          <w:p w14:paraId="53CD5198" w14:textId="77777777" w:rsidR="008F25E5" w:rsidRPr="00001076" w:rsidRDefault="008F25E5" w:rsidP="00185493">
            <w:pPr>
              <w:spacing w:before="0" w:after="0"/>
              <w:contextualSpacing/>
              <w:rPr>
                <w:sz w:val="18"/>
                <w:szCs w:val="18"/>
              </w:rPr>
            </w:pPr>
            <w:r>
              <w:rPr>
                <w:sz w:val="18"/>
                <w:szCs w:val="18"/>
              </w:rPr>
              <w:t>Controlled by UTE</w:t>
            </w:r>
          </w:p>
        </w:tc>
      </w:tr>
      <w:tr w:rsidR="008F25E5" w14:paraId="0139AE55" w14:textId="77777777" w:rsidTr="00237128">
        <w:trPr>
          <w:trHeight w:val="1124"/>
        </w:trPr>
        <w:tc>
          <w:tcPr>
            <w:tcW w:w="1257" w:type="dxa"/>
            <w:vAlign w:val="center"/>
          </w:tcPr>
          <w:p w14:paraId="1166A16F" w14:textId="77777777" w:rsidR="008F25E5" w:rsidRPr="00001076" w:rsidRDefault="008F25E5" w:rsidP="00185493">
            <w:pPr>
              <w:spacing w:before="0" w:after="0"/>
              <w:contextualSpacing/>
              <w:jc w:val="center"/>
              <w:rPr>
                <w:b/>
                <w:bCs/>
                <w:sz w:val="18"/>
                <w:szCs w:val="18"/>
              </w:rPr>
            </w:pPr>
            <w:r w:rsidRPr="00001076">
              <w:rPr>
                <w:b/>
                <w:bCs/>
                <w:sz w:val="18"/>
                <w:szCs w:val="18"/>
              </w:rPr>
              <w:t>Bi-National Capacity</w:t>
            </w:r>
          </w:p>
        </w:tc>
        <w:tc>
          <w:tcPr>
            <w:tcW w:w="1594" w:type="dxa"/>
            <w:vAlign w:val="center"/>
          </w:tcPr>
          <w:p w14:paraId="294BDCD8" w14:textId="77777777" w:rsidR="008F25E5" w:rsidRPr="00001076" w:rsidRDefault="008F25E5" w:rsidP="00185493">
            <w:pPr>
              <w:spacing w:before="0" w:after="0"/>
              <w:contextualSpacing/>
              <w:rPr>
                <w:sz w:val="18"/>
                <w:szCs w:val="18"/>
              </w:rPr>
            </w:pPr>
            <w:r w:rsidRPr="00001076">
              <w:rPr>
                <w:sz w:val="18"/>
                <w:szCs w:val="18"/>
              </w:rPr>
              <w:t>Hydropower with Uruguay, hydropower with Paraguay</w:t>
            </w:r>
          </w:p>
        </w:tc>
        <w:tc>
          <w:tcPr>
            <w:tcW w:w="1596" w:type="dxa"/>
            <w:vAlign w:val="center"/>
          </w:tcPr>
          <w:p w14:paraId="5E6402D0" w14:textId="77777777" w:rsidR="008F25E5" w:rsidRPr="00001076" w:rsidRDefault="008F25E5" w:rsidP="00185493">
            <w:pPr>
              <w:spacing w:before="0" w:after="0"/>
              <w:contextualSpacing/>
              <w:rPr>
                <w:sz w:val="18"/>
                <w:szCs w:val="18"/>
              </w:rPr>
            </w:pPr>
            <w:r w:rsidRPr="00001076">
              <w:rPr>
                <w:sz w:val="18"/>
                <w:szCs w:val="18"/>
              </w:rPr>
              <w:t>Hydropower with Paraguay</w:t>
            </w:r>
          </w:p>
        </w:tc>
        <w:tc>
          <w:tcPr>
            <w:tcW w:w="1505" w:type="dxa"/>
            <w:vAlign w:val="center"/>
          </w:tcPr>
          <w:p w14:paraId="3DCCD62E" w14:textId="77777777" w:rsidR="008F25E5" w:rsidRPr="00001076" w:rsidRDefault="008F25E5" w:rsidP="00185493">
            <w:pPr>
              <w:spacing w:before="0" w:after="0"/>
              <w:contextualSpacing/>
              <w:rPr>
                <w:sz w:val="18"/>
                <w:szCs w:val="18"/>
              </w:rPr>
            </w:pPr>
            <w:r>
              <w:rPr>
                <w:sz w:val="18"/>
                <w:szCs w:val="18"/>
              </w:rPr>
              <w:t>-</w:t>
            </w:r>
          </w:p>
        </w:tc>
        <w:tc>
          <w:tcPr>
            <w:tcW w:w="1519" w:type="dxa"/>
            <w:vAlign w:val="center"/>
          </w:tcPr>
          <w:p w14:paraId="76417CC6" w14:textId="77777777" w:rsidR="008F25E5" w:rsidRPr="00001076" w:rsidRDefault="008F25E5" w:rsidP="00185493">
            <w:pPr>
              <w:spacing w:before="0" w:after="0"/>
              <w:contextualSpacing/>
              <w:rPr>
                <w:sz w:val="18"/>
                <w:szCs w:val="18"/>
              </w:rPr>
            </w:pPr>
            <w:r w:rsidRPr="00001076">
              <w:rPr>
                <w:sz w:val="18"/>
                <w:szCs w:val="18"/>
              </w:rPr>
              <w:t>Hydropower with Argentina, hydropower with Brazil</w:t>
            </w:r>
          </w:p>
        </w:tc>
        <w:tc>
          <w:tcPr>
            <w:tcW w:w="1704" w:type="dxa"/>
            <w:vAlign w:val="center"/>
          </w:tcPr>
          <w:p w14:paraId="495C9E82" w14:textId="77777777" w:rsidR="008F25E5" w:rsidRPr="00001076" w:rsidRDefault="008F25E5" w:rsidP="00185493">
            <w:pPr>
              <w:spacing w:before="0" w:after="0"/>
              <w:contextualSpacing/>
              <w:rPr>
                <w:sz w:val="18"/>
                <w:szCs w:val="18"/>
              </w:rPr>
            </w:pPr>
            <w:r w:rsidRPr="00001076">
              <w:rPr>
                <w:sz w:val="18"/>
                <w:szCs w:val="18"/>
              </w:rPr>
              <w:t>Hydropower with Argentina</w:t>
            </w:r>
          </w:p>
        </w:tc>
      </w:tr>
      <w:tr w:rsidR="008F25E5" w14:paraId="7756E022" w14:textId="77777777" w:rsidTr="00237128">
        <w:trPr>
          <w:trHeight w:val="1700"/>
        </w:trPr>
        <w:tc>
          <w:tcPr>
            <w:tcW w:w="1257" w:type="dxa"/>
            <w:vAlign w:val="center"/>
          </w:tcPr>
          <w:p w14:paraId="1CE1A2D6" w14:textId="0ACE2F66" w:rsidR="008F25E5" w:rsidRPr="00001076" w:rsidRDefault="00237128" w:rsidP="00185493">
            <w:pPr>
              <w:spacing w:before="0" w:after="0"/>
              <w:contextualSpacing/>
              <w:jc w:val="center"/>
              <w:rPr>
                <w:b/>
                <w:bCs/>
                <w:sz w:val="18"/>
                <w:szCs w:val="18"/>
              </w:rPr>
            </w:pPr>
            <w:r>
              <w:rPr>
                <w:b/>
                <w:bCs/>
                <w:sz w:val="18"/>
                <w:szCs w:val="18"/>
              </w:rPr>
              <w:t>Links</w:t>
            </w:r>
          </w:p>
        </w:tc>
        <w:tc>
          <w:tcPr>
            <w:tcW w:w="1594" w:type="dxa"/>
            <w:vAlign w:val="center"/>
          </w:tcPr>
          <w:p w14:paraId="1730A8D0" w14:textId="676DA2AB" w:rsidR="008F25E5" w:rsidRPr="00001076" w:rsidRDefault="0075747D" w:rsidP="00185493">
            <w:pPr>
              <w:spacing w:before="0" w:after="0"/>
              <w:contextualSpacing/>
              <w:rPr>
                <w:sz w:val="18"/>
                <w:szCs w:val="18"/>
              </w:rPr>
            </w:pPr>
            <w:hyperlink r:id="rId8" w:history="1">
              <w:r w:rsidR="008F25E5" w:rsidRPr="0075747D">
                <w:rPr>
                  <w:rStyle w:val="Hyperlink"/>
                  <w:sz w:val="18"/>
                  <w:szCs w:val="18"/>
                </w:rPr>
                <w:t>National Electricity Regulator (ENRE)</w:t>
              </w:r>
            </w:hyperlink>
          </w:p>
        </w:tc>
        <w:tc>
          <w:tcPr>
            <w:tcW w:w="1596" w:type="dxa"/>
            <w:vAlign w:val="center"/>
          </w:tcPr>
          <w:p w14:paraId="40C8F3F7" w14:textId="3FB885B2" w:rsidR="008F25E5" w:rsidRDefault="0075747D" w:rsidP="00185493">
            <w:pPr>
              <w:spacing w:before="0" w:after="0"/>
              <w:contextualSpacing/>
              <w:rPr>
                <w:sz w:val="18"/>
                <w:szCs w:val="18"/>
              </w:rPr>
            </w:pPr>
            <w:hyperlink r:id="rId9" w:history="1">
              <w:r w:rsidR="008F25E5" w:rsidRPr="0075747D">
                <w:rPr>
                  <w:rStyle w:val="Hyperlink"/>
                  <w:sz w:val="18"/>
                  <w:szCs w:val="18"/>
                </w:rPr>
                <w:t>Ministry of Mines and Energy (MME)</w:t>
              </w:r>
            </w:hyperlink>
          </w:p>
          <w:p w14:paraId="784415FE" w14:textId="77777777" w:rsidR="008F25E5" w:rsidRDefault="008F25E5" w:rsidP="00185493">
            <w:pPr>
              <w:spacing w:before="0" w:after="0"/>
              <w:contextualSpacing/>
              <w:rPr>
                <w:sz w:val="18"/>
                <w:szCs w:val="18"/>
              </w:rPr>
            </w:pPr>
          </w:p>
          <w:p w14:paraId="670CAFE6" w14:textId="7E1C46B9" w:rsidR="008F25E5" w:rsidRPr="00001076" w:rsidRDefault="0075747D" w:rsidP="00185493">
            <w:pPr>
              <w:spacing w:before="0" w:after="0"/>
              <w:contextualSpacing/>
              <w:rPr>
                <w:sz w:val="18"/>
                <w:szCs w:val="18"/>
              </w:rPr>
            </w:pPr>
            <w:hyperlink r:id="rId10" w:history="1">
              <w:r w:rsidR="008F25E5" w:rsidRPr="0075747D">
                <w:rPr>
                  <w:rStyle w:val="Hyperlink"/>
                  <w:sz w:val="18"/>
                  <w:szCs w:val="18"/>
                </w:rPr>
                <w:t>National Electric Energy Agency (ANEEL)</w:t>
              </w:r>
            </w:hyperlink>
          </w:p>
        </w:tc>
        <w:tc>
          <w:tcPr>
            <w:tcW w:w="1505" w:type="dxa"/>
            <w:vAlign w:val="center"/>
          </w:tcPr>
          <w:p w14:paraId="6CC509DB" w14:textId="123C894E" w:rsidR="008F25E5" w:rsidRDefault="0075747D" w:rsidP="00185493">
            <w:pPr>
              <w:spacing w:before="0" w:after="0"/>
              <w:contextualSpacing/>
              <w:rPr>
                <w:sz w:val="18"/>
                <w:szCs w:val="18"/>
              </w:rPr>
            </w:pPr>
            <w:hyperlink r:id="rId11" w:history="1">
              <w:r w:rsidR="008F25E5" w:rsidRPr="0075747D">
                <w:rPr>
                  <w:rStyle w:val="Hyperlink"/>
                  <w:sz w:val="18"/>
                  <w:szCs w:val="18"/>
                </w:rPr>
                <w:t>Ministry of Energy</w:t>
              </w:r>
            </w:hyperlink>
          </w:p>
          <w:p w14:paraId="5E1807B3" w14:textId="77777777" w:rsidR="008F25E5" w:rsidRDefault="008F25E5" w:rsidP="00185493">
            <w:pPr>
              <w:spacing w:before="0" w:after="0"/>
              <w:contextualSpacing/>
              <w:rPr>
                <w:sz w:val="18"/>
                <w:szCs w:val="18"/>
              </w:rPr>
            </w:pPr>
          </w:p>
          <w:p w14:paraId="5AEC42A8" w14:textId="77EEE91F" w:rsidR="008F25E5" w:rsidRDefault="0075747D" w:rsidP="00185493">
            <w:pPr>
              <w:spacing w:before="0" w:after="0"/>
              <w:contextualSpacing/>
              <w:rPr>
                <w:sz w:val="18"/>
                <w:szCs w:val="18"/>
              </w:rPr>
            </w:pPr>
            <w:hyperlink r:id="rId12" w:history="1">
              <w:r w:rsidR="008F25E5" w:rsidRPr="0075747D">
                <w:rPr>
                  <w:rStyle w:val="Hyperlink"/>
                  <w:sz w:val="18"/>
                  <w:szCs w:val="18"/>
                </w:rPr>
                <w:t>Transelec</w:t>
              </w:r>
            </w:hyperlink>
          </w:p>
        </w:tc>
        <w:tc>
          <w:tcPr>
            <w:tcW w:w="1519" w:type="dxa"/>
            <w:vAlign w:val="center"/>
          </w:tcPr>
          <w:p w14:paraId="34C5FEB3" w14:textId="5B8BA4A6" w:rsidR="008F25E5" w:rsidRPr="00001076" w:rsidRDefault="0075747D" w:rsidP="00185493">
            <w:pPr>
              <w:spacing w:before="0" w:after="0"/>
              <w:contextualSpacing/>
              <w:rPr>
                <w:sz w:val="18"/>
                <w:szCs w:val="18"/>
              </w:rPr>
            </w:pPr>
            <w:hyperlink r:id="rId13" w:history="1">
              <w:r w:rsidR="008F25E5" w:rsidRPr="0075747D">
                <w:rPr>
                  <w:rStyle w:val="Hyperlink"/>
                  <w:sz w:val="18"/>
                  <w:szCs w:val="18"/>
                </w:rPr>
                <w:t>National Electricity Administration (ANDE)</w:t>
              </w:r>
            </w:hyperlink>
          </w:p>
        </w:tc>
        <w:tc>
          <w:tcPr>
            <w:tcW w:w="1704" w:type="dxa"/>
            <w:vAlign w:val="center"/>
          </w:tcPr>
          <w:p w14:paraId="2AC8E070" w14:textId="3B094F9A" w:rsidR="008F25E5" w:rsidRPr="00001076" w:rsidRDefault="0075747D" w:rsidP="00185493">
            <w:pPr>
              <w:spacing w:before="0" w:after="0"/>
              <w:contextualSpacing/>
              <w:rPr>
                <w:sz w:val="18"/>
                <w:szCs w:val="18"/>
              </w:rPr>
            </w:pPr>
            <w:hyperlink r:id="rId14" w:history="1">
              <w:r w:rsidR="008F25E5" w:rsidRPr="0075747D">
                <w:rPr>
                  <w:rStyle w:val="Hyperlink"/>
                  <w:sz w:val="18"/>
                  <w:szCs w:val="18"/>
                </w:rPr>
                <w:t>National Administration of Power Plants and Electrical Transmissions (UTE)</w:t>
              </w:r>
            </w:hyperlink>
          </w:p>
        </w:tc>
      </w:tr>
    </w:tbl>
    <w:p w14:paraId="464CE348" w14:textId="77777777" w:rsidR="00237128" w:rsidRDefault="00237128">
      <w:pPr>
        <w:spacing w:before="0" w:after="160" w:line="259" w:lineRule="auto"/>
      </w:pPr>
      <w:r>
        <w:br w:type="page"/>
      </w:r>
    </w:p>
    <w:p w14:paraId="5B02B8FE" w14:textId="695E9979" w:rsidR="0085539E" w:rsidRPr="00F35942" w:rsidRDefault="002650A4" w:rsidP="00237128">
      <w:pPr>
        <w:pStyle w:val="Appendix"/>
        <w:numPr>
          <w:ilvl w:val="0"/>
          <w:numId w:val="0"/>
        </w:numPr>
        <w:spacing w:after="200"/>
        <w:ind w:left="1800" w:hanging="1800"/>
      </w:pPr>
      <w:bookmarkStart w:id="31" w:name="_Toc176883503"/>
      <w:bookmarkStart w:id="32" w:name="_Ref179978902"/>
      <w:bookmarkStart w:id="33" w:name="_Toc180052170"/>
      <w:bookmarkStart w:id="34" w:name="_Toc194577043"/>
      <w:bookmarkEnd w:id="9"/>
      <w:bookmarkEnd w:id="16"/>
      <w:r w:rsidRPr="00F35942">
        <w:lastRenderedPageBreak/>
        <w:t>Suppleme</w:t>
      </w:r>
      <w:r w:rsidR="0085539E" w:rsidRPr="00F35942">
        <w:t xml:space="preserve">ntal </w:t>
      </w:r>
      <w:r w:rsidR="00BE17CE" w:rsidRPr="00F35942">
        <w:t>Tables</w:t>
      </w:r>
      <w:bookmarkEnd w:id="31"/>
      <w:bookmarkEnd w:id="32"/>
      <w:bookmarkEnd w:id="33"/>
      <w:bookmarkEnd w:id="34"/>
    </w:p>
    <w:p w14:paraId="688F999B" w14:textId="77777777" w:rsidR="006258A9" w:rsidRPr="006258A9" w:rsidRDefault="00237128" w:rsidP="00237128">
      <w:pPr>
        <w:pStyle w:val="TableCaption"/>
        <w:spacing w:before="200"/>
        <w:rPr>
          <w:noProof/>
          <w:vanish/>
          <w:lang w:val="fr-FR"/>
          <w:specVanish/>
        </w:rPr>
      </w:pPr>
      <w:bookmarkStart w:id="35" w:name="_Ref193961453"/>
      <w:bookmarkStart w:id="36" w:name="_Toc194577052"/>
      <w:bookmarkStart w:id="37" w:name="_Toc194575612"/>
      <w:r w:rsidRPr="00FB44EC">
        <w:rPr>
          <w:lang w:val="fr-FR"/>
        </w:rPr>
        <w:t>Table S</w:t>
      </w:r>
      <w:r w:rsidRPr="00FB44EC">
        <w:rPr>
          <w:noProof/>
          <w:lang w:val="fr-FR"/>
        </w:rPr>
        <w:t>6</w:t>
      </w:r>
      <w:bookmarkEnd w:id="35"/>
      <w:bookmarkEnd w:id="36"/>
    </w:p>
    <w:p w14:paraId="2F1C26A6" w14:textId="453CA073" w:rsidR="00CA5927" w:rsidRPr="005A0381" w:rsidRDefault="002E4F7A" w:rsidP="006258A9">
      <w:pPr>
        <w:pStyle w:val="Style3"/>
        <w:rPr>
          <w:b/>
        </w:rPr>
      </w:pPr>
      <w:r w:rsidRPr="00427E24">
        <w:rPr>
          <w:b/>
          <w:bCs/>
          <w:lang w:val="fr-FR"/>
        </w:rPr>
        <w:t>:</w:t>
      </w:r>
      <w:r w:rsidRPr="00427E24">
        <w:rPr>
          <w:lang w:val="fr-FR"/>
        </w:rPr>
        <w:t xml:space="preserve"> </w:t>
      </w:r>
      <w:r w:rsidR="003A6613" w:rsidRPr="00427E24">
        <w:rPr>
          <w:lang w:val="fr-FR"/>
        </w:rPr>
        <w:t>M</w:t>
      </w:r>
      <w:r w:rsidRPr="00427E24">
        <w:rPr>
          <w:lang w:val="fr-FR"/>
        </w:rPr>
        <w:t>odel turbines T1-T10.</w:t>
      </w:r>
      <w:r w:rsidR="00820FBB" w:rsidRPr="00427E24">
        <w:rPr>
          <w:lang w:val="fr-FR"/>
        </w:rPr>
        <w:t xml:space="preserve"> </w:t>
      </w:r>
      <w:r w:rsidR="00820FBB">
        <w:t xml:space="preserve">Capital costs </w:t>
      </w:r>
      <w:proofErr w:type="gramStart"/>
      <w:r w:rsidR="00820FBB">
        <w:t>estimated</w:t>
      </w:r>
      <w:proofErr w:type="gramEnd"/>
      <w:r w:rsidR="00820FBB">
        <w:t xml:space="preserve"> from aggregate revenue data </w:t>
      </w:r>
      <w:r w:rsidR="003A6613">
        <w:t xml:space="preserve">in </w:t>
      </w:r>
      <w:r w:rsidR="00820FBB">
        <w:t xml:space="preserve">public reports issued by manufacturers, </w:t>
      </w:r>
      <w:r w:rsidR="003A6613">
        <w:t>and</w:t>
      </w:r>
      <w:r w:rsidR="00820FBB">
        <w:t xml:space="preserve"> scaled such that T1 </w:t>
      </w:r>
      <w:r w:rsidR="003A6613">
        <w:t>is</w:t>
      </w:r>
      <w:r w:rsidR="00820FBB">
        <w:t xml:space="preserve"> consisten</w:t>
      </w:r>
      <w:r w:rsidR="003A6613">
        <w:t>t</w:t>
      </w:r>
      <w:r w:rsidR="00820FBB">
        <w:t xml:space="preserve"> with data in previous studies</w:t>
      </w:r>
      <w:r w:rsidR="00F263CE" w:rsidRPr="00F263CE">
        <w:rPr>
          <w:vertAlign w:val="superscript"/>
        </w:rPr>
        <w:t>97</w:t>
      </w:r>
      <w:r w:rsidR="00820FBB">
        <w:t>.</w:t>
      </w:r>
      <w:bookmarkEnd w:id="37"/>
    </w:p>
    <w:tbl>
      <w:tblPr>
        <w:tblStyle w:val="TableGrid"/>
        <w:tblW w:w="5000" w:type="pct"/>
        <w:jc w:val="center"/>
        <w:tblLayout w:type="fixed"/>
        <w:tblCellMar>
          <w:left w:w="58" w:type="dxa"/>
          <w:right w:w="58" w:type="dxa"/>
        </w:tblCellMar>
        <w:tblLook w:val="04A0" w:firstRow="1" w:lastRow="0" w:firstColumn="1" w:lastColumn="0" w:noHBand="0" w:noVBand="1"/>
      </w:tblPr>
      <w:tblGrid>
        <w:gridCol w:w="898"/>
        <w:gridCol w:w="2157"/>
        <w:gridCol w:w="900"/>
        <w:gridCol w:w="763"/>
        <w:gridCol w:w="1005"/>
        <w:gridCol w:w="1206"/>
        <w:gridCol w:w="804"/>
        <w:gridCol w:w="722"/>
        <w:gridCol w:w="895"/>
      </w:tblGrid>
      <w:tr w:rsidR="005A0381" w14:paraId="7FA2ADB0" w14:textId="77777777" w:rsidTr="00F35942">
        <w:trPr>
          <w:trHeight w:hRule="exact" w:val="820"/>
          <w:jc w:val="center"/>
        </w:trPr>
        <w:tc>
          <w:tcPr>
            <w:tcW w:w="898" w:type="dxa"/>
            <w:shd w:val="clear" w:color="auto" w:fill="F2F2F2" w:themeFill="background1" w:themeFillShade="F2"/>
            <w:vAlign w:val="center"/>
          </w:tcPr>
          <w:p w14:paraId="6DCBD2E5" w14:textId="2475A55E" w:rsidR="00820FBB" w:rsidRPr="003A6613" w:rsidRDefault="00820FBB" w:rsidP="00820FBB">
            <w:pPr>
              <w:pStyle w:val="Subtitle"/>
              <w:spacing w:before="0"/>
              <w:rPr>
                <w:b/>
                <w:bCs/>
                <w:sz w:val="18"/>
                <w:szCs w:val="18"/>
              </w:rPr>
            </w:pPr>
            <w:r w:rsidRPr="003A6613">
              <w:rPr>
                <w:b/>
                <w:bCs/>
                <w:sz w:val="18"/>
                <w:szCs w:val="18"/>
              </w:rPr>
              <w:t>Turbine</w:t>
            </w:r>
          </w:p>
        </w:tc>
        <w:tc>
          <w:tcPr>
            <w:tcW w:w="2157" w:type="dxa"/>
            <w:shd w:val="clear" w:color="auto" w:fill="F2F2F2" w:themeFill="background1" w:themeFillShade="F2"/>
            <w:vAlign w:val="center"/>
          </w:tcPr>
          <w:p w14:paraId="3F669D7E" w14:textId="7B117103" w:rsidR="00820FBB" w:rsidRPr="003A6613" w:rsidRDefault="00820FBB" w:rsidP="00820FBB">
            <w:pPr>
              <w:pStyle w:val="Subtitle"/>
              <w:spacing w:before="0"/>
              <w:rPr>
                <w:b/>
                <w:bCs/>
                <w:sz w:val="18"/>
                <w:szCs w:val="18"/>
              </w:rPr>
            </w:pPr>
            <w:r w:rsidRPr="003A6613">
              <w:rPr>
                <w:b/>
                <w:bCs/>
                <w:sz w:val="18"/>
                <w:szCs w:val="18"/>
              </w:rPr>
              <w:t>Modeled after:</w:t>
            </w:r>
          </w:p>
        </w:tc>
        <w:tc>
          <w:tcPr>
            <w:tcW w:w="900" w:type="dxa"/>
            <w:shd w:val="clear" w:color="auto" w:fill="F2F2F2" w:themeFill="background1" w:themeFillShade="F2"/>
            <w:vAlign w:val="center"/>
          </w:tcPr>
          <w:p w14:paraId="3164085C" w14:textId="7166B76B" w:rsidR="00820FBB" w:rsidRPr="003A6613" w:rsidRDefault="00820FBB" w:rsidP="00820FBB">
            <w:pPr>
              <w:pStyle w:val="Subtitle"/>
              <w:spacing w:before="0"/>
              <w:rPr>
                <w:b/>
                <w:bCs/>
                <w:sz w:val="18"/>
                <w:szCs w:val="18"/>
              </w:rPr>
            </w:pPr>
            <w:r w:rsidRPr="003A6613">
              <w:rPr>
                <w:b/>
                <w:bCs/>
                <w:sz w:val="18"/>
                <w:szCs w:val="18"/>
              </w:rPr>
              <w:t>Capital Cost ($/kW)</w:t>
            </w:r>
          </w:p>
        </w:tc>
        <w:tc>
          <w:tcPr>
            <w:tcW w:w="763" w:type="dxa"/>
            <w:shd w:val="clear" w:color="auto" w:fill="F2F2F2" w:themeFill="background1" w:themeFillShade="F2"/>
            <w:vAlign w:val="center"/>
          </w:tcPr>
          <w:p w14:paraId="5D893B73" w14:textId="001F4D51" w:rsidR="00820FBB" w:rsidRPr="003A6613" w:rsidRDefault="00820FBB" w:rsidP="00820FBB">
            <w:pPr>
              <w:pStyle w:val="Subtitle"/>
              <w:spacing w:before="0"/>
              <w:rPr>
                <w:b/>
                <w:bCs/>
                <w:sz w:val="18"/>
                <w:szCs w:val="18"/>
              </w:rPr>
            </w:pPr>
            <w:r w:rsidRPr="003A6613">
              <w:rPr>
                <w:b/>
                <w:bCs/>
                <w:sz w:val="18"/>
                <w:szCs w:val="18"/>
              </w:rPr>
              <w:t>Hub Height (m)</w:t>
            </w:r>
          </w:p>
        </w:tc>
        <w:tc>
          <w:tcPr>
            <w:tcW w:w="1005" w:type="dxa"/>
            <w:shd w:val="clear" w:color="auto" w:fill="F2F2F2" w:themeFill="background1" w:themeFillShade="F2"/>
            <w:vAlign w:val="center"/>
          </w:tcPr>
          <w:p w14:paraId="054D3827" w14:textId="57A02C03" w:rsidR="00820FBB" w:rsidRPr="003A6613" w:rsidRDefault="00820FBB" w:rsidP="00820FBB">
            <w:pPr>
              <w:pStyle w:val="Subtitle"/>
              <w:spacing w:before="0"/>
              <w:rPr>
                <w:b/>
                <w:bCs/>
                <w:sz w:val="18"/>
                <w:szCs w:val="18"/>
              </w:rPr>
            </w:pPr>
            <w:r w:rsidRPr="003A6613">
              <w:rPr>
                <w:b/>
                <w:bCs/>
                <w:sz w:val="18"/>
                <w:szCs w:val="18"/>
              </w:rPr>
              <w:t>Rotor Diameter (m)</w:t>
            </w:r>
          </w:p>
        </w:tc>
        <w:tc>
          <w:tcPr>
            <w:tcW w:w="1206" w:type="dxa"/>
            <w:shd w:val="clear" w:color="auto" w:fill="F2F2F2" w:themeFill="background1" w:themeFillShade="F2"/>
            <w:vAlign w:val="center"/>
          </w:tcPr>
          <w:p w14:paraId="12F00EF7" w14:textId="73DD85AE" w:rsidR="00820FBB" w:rsidRPr="003A6613" w:rsidRDefault="00820FBB" w:rsidP="00820FBB">
            <w:pPr>
              <w:pStyle w:val="Subtitle"/>
              <w:spacing w:before="0"/>
              <w:rPr>
                <w:b/>
                <w:bCs/>
                <w:sz w:val="18"/>
                <w:szCs w:val="18"/>
              </w:rPr>
            </w:pPr>
            <w:r w:rsidRPr="003A6613">
              <w:rPr>
                <w:b/>
                <w:bCs/>
                <w:sz w:val="18"/>
                <w:szCs w:val="18"/>
              </w:rPr>
              <w:t>Nameplate Capacity (MW)</w:t>
            </w:r>
          </w:p>
        </w:tc>
        <w:tc>
          <w:tcPr>
            <w:tcW w:w="804" w:type="dxa"/>
            <w:shd w:val="clear" w:color="auto" w:fill="F2F2F2" w:themeFill="background1" w:themeFillShade="F2"/>
            <w:vAlign w:val="center"/>
          </w:tcPr>
          <w:p w14:paraId="33609579" w14:textId="48A8CB7C" w:rsidR="00820FBB" w:rsidRPr="003A6613" w:rsidRDefault="00820FBB" w:rsidP="00820FBB">
            <w:pPr>
              <w:pStyle w:val="Subtitle"/>
              <w:spacing w:before="0"/>
              <w:rPr>
                <w:b/>
                <w:bCs/>
                <w:sz w:val="18"/>
                <w:szCs w:val="18"/>
              </w:rPr>
            </w:pPr>
            <w:r w:rsidRPr="003A6613">
              <w:rPr>
                <w:b/>
                <w:bCs/>
                <w:sz w:val="18"/>
                <w:szCs w:val="18"/>
              </w:rPr>
              <w:t>Cut-in Speed (m/s)</w:t>
            </w:r>
          </w:p>
        </w:tc>
        <w:tc>
          <w:tcPr>
            <w:tcW w:w="722" w:type="dxa"/>
            <w:shd w:val="clear" w:color="auto" w:fill="F2F2F2" w:themeFill="background1" w:themeFillShade="F2"/>
            <w:vAlign w:val="center"/>
          </w:tcPr>
          <w:p w14:paraId="12B44B95" w14:textId="12F3FF2A" w:rsidR="00820FBB" w:rsidRPr="003A6613" w:rsidRDefault="00820FBB" w:rsidP="00820FBB">
            <w:pPr>
              <w:pStyle w:val="Subtitle"/>
              <w:spacing w:before="0"/>
              <w:rPr>
                <w:b/>
                <w:bCs/>
                <w:sz w:val="18"/>
                <w:szCs w:val="18"/>
              </w:rPr>
            </w:pPr>
            <w:r w:rsidRPr="003A6613">
              <w:rPr>
                <w:b/>
                <w:bCs/>
                <w:sz w:val="18"/>
                <w:szCs w:val="18"/>
              </w:rPr>
              <w:t>Rated Speed (m/s)</w:t>
            </w:r>
          </w:p>
        </w:tc>
        <w:tc>
          <w:tcPr>
            <w:tcW w:w="895" w:type="dxa"/>
            <w:shd w:val="clear" w:color="auto" w:fill="F2F2F2" w:themeFill="background1" w:themeFillShade="F2"/>
            <w:vAlign w:val="center"/>
          </w:tcPr>
          <w:p w14:paraId="7DB06975" w14:textId="291F8DA8" w:rsidR="00820FBB" w:rsidRPr="003A6613" w:rsidRDefault="00820FBB" w:rsidP="00820FBB">
            <w:pPr>
              <w:pStyle w:val="Subtitle"/>
              <w:spacing w:before="0"/>
              <w:rPr>
                <w:b/>
                <w:bCs/>
                <w:sz w:val="18"/>
                <w:szCs w:val="18"/>
              </w:rPr>
            </w:pPr>
            <w:r w:rsidRPr="003A6613">
              <w:rPr>
                <w:b/>
                <w:bCs/>
                <w:sz w:val="18"/>
                <w:szCs w:val="18"/>
              </w:rPr>
              <w:t>Cut-out Speed (m/s)</w:t>
            </w:r>
          </w:p>
        </w:tc>
      </w:tr>
      <w:tr w:rsidR="00820FBB" w14:paraId="2E4C4648" w14:textId="77777777" w:rsidTr="00F35942">
        <w:trPr>
          <w:trHeight w:hRule="exact" w:val="432"/>
          <w:jc w:val="center"/>
        </w:trPr>
        <w:tc>
          <w:tcPr>
            <w:tcW w:w="898" w:type="dxa"/>
            <w:vAlign w:val="center"/>
          </w:tcPr>
          <w:p w14:paraId="1EEE2643" w14:textId="4B1D6C02" w:rsidR="00820FBB" w:rsidRPr="00F35942" w:rsidRDefault="00820FBB" w:rsidP="00B81003">
            <w:pPr>
              <w:pStyle w:val="Subtitle"/>
              <w:spacing w:before="0"/>
              <w:rPr>
                <w:sz w:val="20"/>
                <w:szCs w:val="20"/>
              </w:rPr>
            </w:pPr>
            <w:r w:rsidRPr="00F35942">
              <w:rPr>
                <w:sz w:val="20"/>
                <w:szCs w:val="20"/>
              </w:rPr>
              <w:t>T1</w:t>
            </w:r>
          </w:p>
        </w:tc>
        <w:tc>
          <w:tcPr>
            <w:tcW w:w="2157" w:type="dxa"/>
            <w:vAlign w:val="center"/>
          </w:tcPr>
          <w:p w14:paraId="313E8C6B" w14:textId="2F27D0B2" w:rsidR="00820FBB" w:rsidRPr="00F35942" w:rsidRDefault="00820FBB" w:rsidP="00B81003">
            <w:pPr>
              <w:pStyle w:val="Subtitle"/>
              <w:spacing w:before="0"/>
              <w:rPr>
                <w:sz w:val="20"/>
                <w:szCs w:val="20"/>
              </w:rPr>
            </w:pPr>
            <w:r w:rsidRPr="00F35942">
              <w:rPr>
                <w:sz w:val="20"/>
                <w:szCs w:val="20"/>
              </w:rPr>
              <w:t>Vestas V90 2000</w:t>
            </w:r>
          </w:p>
        </w:tc>
        <w:tc>
          <w:tcPr>
            <w:tcW w:w="900" w:type="dxa"/>
            <w:vAlign w:val="center"/>
          </w:tcPr>
          <w:p w14:paraId="7D520A15" w14:textId="027CDB86" w:rsidR="00820FBB" w:rsidRPr="00F35942" w:rsidRDefault="00820FBB" w:rsidP="00B81003">
            <w:pPr>
              <w:spacing w:before="0" w:after="0"/>
              <w:jc w:val="center"/>
              <w:rPr>
                <w:sz w:val="20"/>
                <w:szCs w:val="20"/>
              </w:rPr>
            </w:pPr>
            <w:r w:rsidRPr="00F35942">
              <w:rPr>
                <w:sz w:val="20"/>
                <w:szCs w:val="20"/>
              </w:rPr>
              <w:t>1575</w:t>
            </w:r>
          </w:p>
        </w:tc>
        <w:tc>
          <w:tcPr>
            <w:tcW w:w="763" w:type="dxa"/>
            <w:vAlign w:val="center"/>
          </w:tcPr>
          <w:p w14:paraId="33EE6285" w14:textId="7BD60FBA" w:rsidR="00820FBB" w:rsidRPr="00F35942" w:rsidRDefault="00820FBB" w:rsidP="00B81003">
            <w:pPr>
              <w:spacing w:before="0" w:after="0"/>
              <w:jc w:val="center"/>
              <w:rPr>
                <w:sz w:val="20"/>
                <w:szCs w:val="20"/>
              </w:rPr>
            </w:pPr>
            <w:r w:rsidRPr="00F35942">
              <w:rPr>
                <w:sz w:val="20"/>
                <w:szCs w:val="20"/>
              </w:rPr>
              <w:t>100</w:t>
            </w:r>
          </w:p>
        </w:tc>
        <w:tc>
          <w:tcPr>
            <w:tcW w:w="1005" w:type="dxa"/>
            <w:vAlign w:val="center"/>
          </w:tcPr>
          <w:p w14:paraId="27460E0D" w14:textId="4E027798" w:rsidR="00820FBB" w:rsidRPr="00F35942" w:rsidRDefault="00820FBB" w:rsidP="00B81003">
            <w:pPr>
              <w:spacing w:before="0" w:after="0"/>
              <w:jc w:val="center"/>
              <w:rPr>
                <w:sz w:val="20"/>
                <w:szCs w:val="20"/>
              </w:rPr>
            </w:pPr>
            <w:r w:rsidRPr="00F35942">
              <w:rPr>
                <w:sz w:val="20"/>
                <w:szCs w:val="20"/>
              </w:rPr>
              <w:t>90</w:t>
            </w:r>
          </w:p>
        </w:tc>
        <w:tc>
          <w:tcPr>
            <w:tcW w:w="1206" w:type="dxa"/>
            <w:vAlign w:val="center"/>
          </w:tcPr>
          <w:p w14:paraId="6BE51078" w14:textId="41A1A7D2" w:rsidR="00820FBB" w:rsidRPr="00F35942" w:rsidRDefault="00820FBB" w:rsidP="00B81003">
            <w:pPr>
              <w:spacing w:before="0" w:after="0"/>
              <w:jc w:val="center"/>
              <w:rPr>
                <w:sz w:val="20"/>
                <w:szCs w:val="20"/>
              </w:rPr>
            </w:pPr>
            <w:r w:rsidRPr="00F35942">
              <w:rPr>
                <w:sz w:val="20"/>
                <w:szCs w:val="20"/>
              </w:rPr>
              <w:t>2</w:t>
            </w:r>
          </w:p>
        </w:tc>
        <w:tc>
          <w:tcPr>
            <w:tcW w:w="804" w:type="dxa"/>
            <w:vAlign w:val="center"/>
          </w:tcPr>
          <w:p w14:paraId="5EE38284" w14:textId="45FA10C2" w:rsidR="00820FBB" w:rsidRPr="00F35942" w:rsidRDefault="00820FBB" w:rsidP="00B81003">
            <w:pPr>
              <w:spacing w:before="0" w:after="0"/>
              <w:jc w:val="center"/>
              <w:rPr>
                <w:sz w:val="20"/>
                <w:szCs w:val="20"/>
              </w:rPr>
            </w:pPr>
            <w:r w:rsidRPr="00F35942">
              <w:rPr>
                <w:sz w:val="20"/>
                <w:szCs w:val="20"/>
              </w:rPr>
              <w:t>4</w:t>
            </w:r>
          </w:p>
        </w:tc>
        <w:tc>
          <w:tcPr>
            <w:tcW w:w="722" w:type="dxa"/>
            <w:vAlign w:val="center"/>
          </w:tcPr>
          <w:p w14:paraId="69206220" w14:textId="33CF0272" w:rsidR="00820FBB" w:rsidRPr="00F35942" w:rsidRDefault="00820FBB" w:rsidP="00B81003">
            <w:pPr>
              <w:spacing w:before="0" w:after="0"/>
              <w:jc w:val="center"/>
              <w:rPr>
                <w:sz w:val="20"/>
                <w:szCs w:val="20"/>
              </w:rPr>
            </w:pPr>
            <w:r w:rsidRPr="00F35942">
              <w:rPr>
                <w:sz w:val="20"/>
                <w:szCs w:val="20"/>
              </w:rPr>
              <w:t>13</w:t>
            </w:r>
          </w:p>
        </w:tc>
        <w:tc>
          <w:tcPr>
            <w:tcW w:w="895" w:type="dxa"/>
            <w:vAlign w:val="center"/>
          </w:tcPr>
          <w:p w14:paraId="40CD320E" w14:textId="56F280EB" w:rsidR="00820FBB" w:rsidRPr="00F35942" w:rsidRDefault="00820FBB" w:rsidP="00B81003">
            <w:pPr>
              <w:spacing w:before="0" w:after="0"/>
              <w:jc w:val="center"/>
              <w:rPr>
                <w:sz w:val="20"/>
                <w:szCs w:val="20"/>
              </w:rPr>
            </w:pPr>
            <w:r w:rsidRPr="00F35942">
              <w:rPr>
                <w:sz w:val="20"/>
                <w:szCs w:val="20"/>
              </w:rPr>
              <w:t>25</w:t>
            </w:r>
          </w:p>
        </w:tc>
      </w:tr>
      <w:tr w:rsidR="00820FBB" w14:paraId="12B7AE7B" w14:textId="77777777" w:rsidTr="00F35942">
        <w:trPr>
          <w:trHeight w:hRule="exact" w:val="432"/>
          <w:jc w:val="center"/>
        </w:trPr>
        <w:tc>
          <w:tcPr>
            <w:tcW w:w="898" w:type="dxa"/>
            <w:vAlign w:val="center"/>
          </w:tcPr>
          <w:p w14:paraId="3F30F8BF" w14:textId="2A743A10" w:rsidR="00820FBB" w:rsidRPr="00F35942" w:rsidRDefault="00820FBB" w:rsidP="00B81003">
            <w:pPr>
              <w:pStyle w:val="Subtitle"/>
              <w:spacing w:before="0"/>
              <w:rPr>
                <w:sz w:val="20"/>
                <w:szCs w:val="20"/>
              </w:rPr>
            </w:pPr>
            <w:r w:rsidRPr="00F35942">
              <w:rPr>
                <w:sz w:val="20"/>
                <w:szCs w:val="20"/>
              </w:rPr>
              <w:t>T2</w:t>
            </w:r>
          </w:p>
        </w:tc>
        <w:tc>
          <w:tcPr>
            <w:tcW w:w="2157" w:type="dxa"/>
            <w:vAlign w:val="center"/>
          </w:tcPr>
          <w:p w14:paraId="54C380E4" w14:textId="77359AAE" w:rsidR="00820FBB" w:rsidRPr="00F35942" w:rsidRDefault="00820FBB" w:rsidP="00B81003">
            <w:pPr>
              <w:pStyle w:val="Subtitle"/>
              <w:spacing w:before="0"/>
              <w:rPr>
                <w:sz w:val="20"/>
                <w:szCs w:val="20"/>
              </w:rPr>
            </w:pPr>
            <w:r w:rsidRPr="00F35942">
              <w:rPr>
                <w:sz w:val="20"/>
                <w:szCs w:val="20"/>
              </w:rPr>
              <w:t>Vestas V164 7000</w:t>
            </w:r>
          </w:p>
        </w:tc>
        <w:tc>
          <w:tcPr>
            <w:tcW w:w="900" w:type="dxa"/>
            <w:vAlign w:val="center"/>
          </w:tcPr>
          <w:p w14:paraId="42D8422D" w14:textId="0AFE597B" w:rsidR="00820FBB" w:rsidRPr="00F35942" w:rsidRDefault="00820FBB" w:rsidP="00B81003">
            <w:pPr>
              <w:spacing w:before="0" w:after="0"/>
              <w:jc w:val="center"/>
              <w:rPr>
                <w:sz w:val="20"/>
                <w:szCs w:val="20"/>
              </w:rPr>
            </w:pPr>
            <w:r w:rsidRPr="00F35942">
              <w:rPr>
                <w:sz w:val="20"/>
                <w:szCs w:val="20"/>
              </w:rPr>
              <w:t>1575</w:t>
            </w:r>
          </w:p>
        </w:tc>
        <w:tc>
          <w:tcPr>
            <w:tcW w:w="763" w:type="dxa"/>
            <w:vAlign w:val="center"/>
          </w:tcPr>
          <w:p w14:paraId="31D51C62" w14:textId="65DE3FC4" w:rsidR="00820FBB" w:rsidRPr="00F35942" w:rsidRDefault="00820FBB" w:rsidP="00B81003">
            <w:pPr>
              <w:spacing w:before="0" w:after="0"/>
              <w:jc w:val="center"/>
              <w:rPr>
                <w:sz w:val="20"/>
                <w:szCs w:val="20"/>
              </w:rPr>
            </w:pPr>
            <w:r w:rsidRPr="00F35942">
              <w:rPr>
                <w:sz w:val="20"/>
                <w:szCs w:val="20"/>
              </w:rPr>
              <w:t>100</w:t>
            </w:r>
          </w:p>
        </w:tc>
        <w:tc>
          <w:tcPr>
            <w:tcW w:w="1005" w:type="dxa"/>
            <w:vAlign w:val="center"/>
          </w:tcPr>
          <w:p w14:paraId="219D45EF" w14:textId="446036C0" w:rsidR="00820FBB" w:rsidRPr="00F35942" w:rsidRDefault="00820FBB" w:rsidP="00B81003">
            <w:pPr>
              <w:spacing w:before="0" w:after="0"/>
              <w:jc w:val="center"/>
              <w:rPr>
                <w:sz w:val="20"/>
                <w:szCs w:val="20"/>
              </w:rPr>
            </w:pPr>
            <w:r w:rsidRPr="00F35942">
              <w:rPr>
                <w:sz w:val="20"/>
                <w:szCs w:val="20"/>
              </w:rPr>
              <w:t>164</w:t>
            </w:r>
          </w:p>
        </w:tc>
        <w:tc>
          <w:tcPr>
            <w:tcW w:w="1206" w:type="dxa"/>
            <w:vAlign w:val="center"/>
          </w:tcPr>
          <w:p w14:paraId="51BCE9D7" w14:textId="71AFF4CF" w:rsidR="00820FBB" w:rsidRPr="00F35942" w:rsidRDefault="00820FBB" w:rsidP="00B81003">
            <w:pPr>
              <w:spacing w:before="0" w:after="0"/>
              <w:jc w:val="center"/>
              <w:rPr>
                <w:sz w:val="20"/>
                <w:szCs w:val="20"/>
              </w:rPr>
            </w:pPr>
            <w:r w:rsidRPr="00F35942">
              <w:rPr>
                <w:sz w:val="20"/>
                <w:szCs w:val="20"/>
              </w:rPr>
              <w:t>7</w:t>
            </w:r>
          </w:p>
        </w:tc>
        <w:tc>
          <w:tcPr>
            <w:tcW w:w="804" w:type="dxa"/>
            <w:vAlign w:val="center"/>
          </w:tcPr>
          <w:p w14:paraId="44B77EB6" w14:textId="2561AE62" w:rsidR="00820FBB" w:rsidRPr="00F35942" w:rsidRDefault="00820FBB" w:rsidP="00B81003">
            <w:pPr>
              <w:spacing w:before="0" w:after="0"/>
              <w:jc w:val="center"/>
              <w:rPr>
                <w:sz w:val="20"/>
                <w:szCs w:val="20"/>
              </w:rPr>
            </w:pPr>
            <w:r w:rsidRPr="00F35942">
              <w:rPr>
                <w:sz w:val="20"/>
                <w:szCs w:val="20"/>
              </w:rPr>
              <w:t>4</w:t>
            </w:r>
          </w:p>
        </w:tc>
        <w:tc>
          <w:tcPr>
            <w:tcW w:w="722" w:type="dxa"/>
            <w:vAlign w:val="center"/>
          </w:tcPr>
          <w:p w14:paraId="2424F7DB" w14:textId="627C41EF" w:rsidR="00820FBB" w:rsidRPr="00F35942" w:rsidRDefault="00820FBB" w:rsidP="00B81003">
            <w:pPr>
              <w:spacing w:before="0" w:after="0"/>
              <w:jc w:val="center"/>
              <w:rPr>
                <w:sz w:val="20"/>
                <w:szCs w:val="20"/>
              </w:rPr>
            </w:pPr>
            <w:r w:rsidRPr="00F35942">
              <w:rPr>
                <w:sz w:val="20"/>
                <w:szCs w:val="20"/>
              </w:rPr>
              <w:t>11</w:t>
            </w:r>
          </w:p>
        </w:tc>
        <w:tc>
          <w:tcPr>
            <w:tcW w:w="895" w:type="dxa"/>
            <w:vAlign w:val="center"/>
          </w:tcPr>
          <w:p w14:paraId="56736C0B" w14:textId="6E44B044" w:rsidR="00820FBB" w:rsidRPr="00F35942" w:rsidRDefault="00820FBB" w:rsidP="00B81003">
            <w:pPr>
              <w:spacing w:before="0" w:after="0"/>
              <w:jc w:val="center"/>
              <w:rPr>
                <w:sz w:val="20"/>
                <w:szCs w:val="20"/>
              </w:rPr>
            </w:pPr>
            <w:r w:rsidRPr="00F35942">
              <w:rPr>
                <w:sz w:val="20"/>
                <w:szCs w:val="20"/>
              </w:rPr>
              <w:t>25</w:t>
            </w:r>
          </w:p>
        </w:tc>
      </w:tr>
      <w:tr w:rsidR="00820FBB" w14:paraId="553A607C" w14:textId="77777777" w:rsidTr="00F35942">
        <w:trPr>
          <w:trHeight w:hRule="exact" w:val="432"/>
          <w:jc w:val="center"/>
        </w:trPr>
        <w:tc>
          <w:tcPr>
            <w:tcW w:w="898" w:type="dxa"/>
            <w:vAlign w:val="center"/>
          </w:tcPr>
          <w:p w14:paraId="4FFB855B" w14:textId="307F4947" w:rsidR="00820FBB" w:rsidRPr="00F35942" w:rsidRDefault="00820FBB" w:rsidP="00B81003">
            <w:pPr>
              <w:pStyle w:val="Subtitle"/>
              <w:spacing w:before="0"/>
              <w:rPr>
                <w:sz w:val="20"/>
                <w:szCs w:val="20"/>
              </w:rPr>
            </w:pPr>
            <w:r w:rsidRPr="00F35942">
              <w:rPr>
                <w:sz w:val="20"/>
                <w:szCs w:val="20"/>
              </w:rPr>
              <w:t>T3</w:t>
            </w:r>
          </w:p>
        </w:tc>
        <w:tc>
          <w:tcPr>
            <w:tcW w:w="2157" w:type="dxa"/>
            <w:vAlign w:val="center"/>
          </w:tcPr>
          <w:p w14:paraId="7F37C713" w14:textId="59993ABE" w:rsidR="00820FBB" w:rsidRPr="00F35942" w:rsidRDefault="00820FBB" w:rsidP="00B81003">
            <w:pPr>
              <w:pStyle w:val="Subtitle"/>
              <w:spacing w:before="0"/>
              <w:rPr>
                <w:sz w:val="20"/>
                <w:szCs w:val="20"/>
              </w:rPr>
            </w:pPr>
            <w:r w:rsidRPr="00F35942">
              <w:rPr>
                <w:sz w:val="20"/>
                <w:szCs w:val="20"/>
              </w:rPr>
              <w:t>Vestas V90 3000</w:t>
            </w:r>
          </w:p>
        </w:tc>
        <w:tc>
          <w:tcPr>
            <w:tcW w:w="900" w:type="dxa"/>
            <w:vAlign w:val="center"/>
          </w:tcPr>
          <w:p w14:paraId="3D985DFB" w14:textId="5ABB8732" w:rsidR="00820FBB" w:rsidRPr="00F35942" w:rsidRDefault="00820FBB" w:rsidP="00B81003">
            <w:pPr>
              <w:spacing w:before="0" w:after="0"/>
              <w:jc w:val="center"/>
              <w:rPr>
                <w:sz w:val="20"/>
                <w:szCs w:val="20"/>
              </w:rPr>
            </w:pPr>
            <w:r w:rsidRPr="00F35942">
              <w:rPr>
                <w:sz w:val="20"/>
                <w:szCs w:val="20"/>
              </w:rPr>
              <w:t>1575</w:t>
            </w:r>
          </w:p>
        </w:tc>
        <w:tc>
          <w:tcPr>
            <w:tcW w:w="763" w:type="dxa"/>
            <w:vAlign w:val="center"/>
          </w:tcPr>
          <w:p w14:paraId="628AD7B5" w14:textId="38FAB516" w:rsidR="00820FBB" w:rsidRPr="00F35942" w:rsidRDefault="00820FBB" w:rsidP="00B81003">
            <w:pPr>
              <w:spacing w:before="0" w:after="0"/>
              <w:jc w:val="center"/>
              <w:rPr>
                <w:sz w:val="20"/>
                <w:szCs w:val="20"/>
              </w:rPr>
            </w:pPr>
            <w:r w:rsidRPr="00F35942">
              <w:rPr>
                <w:sz w:val="20"/>
                <w:szCs w:val="20"/>
              </w:rPr>
              <w:t>100</w:t>
            </w:r>
          </w:p>
        </w:tc>
        <w:tc>
          <w:tcPr>
            <w:tcW w:w="1005" w:type="dxa"/>
            <w:vAlign w:val="center"/>
          </w:tcPr>
          <w:p w14:paraId="3014BF16" w14:textId="2767457D" w:rsidR="00820FBB" w:rsidRPr="00F35942" w:rsidRDefault="00820FBB" w:rsidP="00B81003">
            <w:pPr>
              <w:spacing w:before="0" w:after="0"/>
              <w:jc w:val="center"/>
              <w:rPr>
                <w:sz w:val="20"/>
                <w:szCs w:val="20"/>
              </w:rPr>
            </w:pPr>
            <w:r w:rsidRPr="00F35942">
              <w:rPr>
                <w:sz w:val="20"/>
                <w:szCs w:val="20"/>
              </w:rPr>
              <w:t>90</w:t>
            </w:r>
          </w:p>
        </w:tc>
        <w:tc>
          <w:tcPr>
            <w:tcW w:w="1206" w:type="dxa"/>
            <w:vAlign w:val="center"/>
          </w:tcPr>
          <w:p w14:paraId="27431587" w14:textId="064F9B05" w:rsidR="00820FBB" w:rsidRPr="00F35942" w:rsidRDefault="00820FBB" w:rsidP="00B81003">
            <w:pPr>
              <w:spacing w:before="0" w:after="0"/>
              <w:jc w:val="center"/>
              <w:rPr>
                <w:sz w:val="20"/>
                <w:szCs w:val="20"/>
              </w:rPr>
            </w:pPr>
            <w:r w:rsidRPr="00F35942">
              <w:rPr>
                <w:sz w:val="20"/>
                <w:szCs w:val="20"/>
              </w:rPr>
              <w:t>3</w:t>
            </w:r>
          </w:p>
        </w:tc>
        <w:tc>
          <w:tcPr>
            <w:tcW w:w="804" w:type="dxa"/>
            <w:vAlign w:val="center"/>
          </w:tcPr>
          <w:p w14:paraId="592C540F" w14:textId="2F6B9927" w:rsidR="00820FBB" w:rsidRPr="00F35942" w:rsidRDefault="00820FBB" w:rsidP="00B81003">
            <w:pPr>
              <w:spacing w:before="0" w:after="0"/>
              <w:jc w:val="center"/>
              <w:rPr>
                <w:sz w:val="20"/>
                <w:szCs w:val="20"/>
              </w:rPr>
            </w:pPr>
            <w:r w:rsidRPr="00F35942">
              <w:rPr>
                <w:sz w:val="20"/>
                <w:szCs w:val="20"/>
              </w:rPr>
              <w:t>4</w:t>
            </w:r>
          </w:p>
        </w:tc>
        <w:tc>
          <w:tcPr>
            <w:tcW w:w="722" w:type="dxa"/>
            <w:vAlign w:val="center"/>
          </w:tcPr>
          <w:p w14:paraId="331AAF65" w14:textId="48D4BA4B" w:rsidR="00820FBB" w:rsidRPr="00F35942" w:rsidRDefault="00820FBB" w:rsidP="00B81003">
            <w:pPr>
              <w:spacing w:before="0" w:after="0"/>
              <w:jc w:val="center"/>
              <w:rPr>
                <w:sz w:val="20"/>
                <w:szCs w:val="20"/>
              </w:rPr>
            </w:pPr>
            <w:r w:rsidRPr="00F35942">
              <w:rPr>
                <w:sz w:val="20"/>
                <w:szCs w:val="20"/>
              </w:rPr>
              <w:t>15</w:t>
            </w:r>
          </w:p>
        </w:tc>
        <w:tc>
          <w:tcPr>
            <w:tcW w:w="895" w:type="dxa"/>
            <w:vAlign w:val="center"/>
          </w:tcPr>
          <w:p w14:paraId="4150964B" w14:textId="7A305D57" w:rsidR="00820FBB" w:rsidRPr="00F35942" w:rsidRDefault="00820FBB" w:rsidP="00B81003">
            <w:pPr>
              <w:spacing w:before="0" w:after="0"/>
              <w:jc w:val="center"/>
              <w:rPr>
                <w:sz w:val="20"/>
                <w:szCs w:val="20"/>
              </w:rPr>
            </w:pPr>
            <w:r w:rsidRPr="00F35942">
              <w:rPr>
                <w:sz w:val="20"/>
                <w:szCs w:val="20"/>
              </w:rPr>
              <w:t>25</w:t>
            </w:r>
          </w:p>
        </w:tc>
      </w:tr>
      <w:tr w:rsidR="00820FBB" w14:paraId="75F42B61" w14:textId="77777777" w:rsidTr="00F35942">
        <w:trPr>
          <w:trHeight w:hRule="exact" w:val="432"/>
          <w:jc w:val="center"/>
        </w:trPr>
        <w:tc>
          <w:tcPr>
            <w:tcW w:w="898" w:type="dxa"/>
            <w:vAlign w:val="center"/>
          </w:tcPr>
          <w:p w14:paraId="764F8D04" w14:textId="6E6AC810" w:rsidR="00820FBB" w:rsidRPr="00F35942" w:rsidRDefault="00820FBB" w:rsidP="00B81003">
            <w:pPr>
              <w:pStyle w:val="Subtitle"/>
              <w:spacing w:before="0"/>
              <w:rPr>
                <w:sz w:val="20"/>
                <w:szCs w:val="20"/>
              </w:rPr>
            </w:pPr>
            <w:r w:rsidRPr="00F35942">
              <w:rPr>
                <w:sz w:val="20"/>
                <w:szCs w:val="20"/>
              </w:rPr>
              <w:t>T4</w:t>
            </w:r>
          </w:p>
        </w:tc>
        <w:tc>
          <w:tcPr>
            <w:tcW w:w="2157" w:type="dxa"/>
            <w:vAlign w:val="center"/>
          </w:tcPr>
          <w:p w14:paraId="64E1D62D" w14:textId="48A9CF52" w:rsidR="00820FBB" w:rsidRPr="00F35942" w:rsidRDefault="00820FBB" w:rsidP="00B81003">
            <w:pPr>
              <w:pStyle w:val="Subtitle"/>
              <w:spacing w:before="0"/>
              <w:rPr>
                <w:sz w:val="20"/>
                <w:szCs w:val="20"/>
              </w:rPr>
            </w:pPr>
            <w:r w:rsidRPr="00F35942">
              <w:rPr>
                <w:sz w:val="20"/>
                <w:szCs w:val="20"/>
              </w:rPr>
              <w:t>Siemens SWT 3.6 107</w:t>
            </w:r>
          </w:p>
        </w:tc>
        <w:tc>
          <w:tcPr>
            <w:tcW w:w="900" w:type="dxa"/>
            <w:vAlign w:val="center"/>
          </w:tcPr>
          <w:p w14:paraId="33041E22" w14:textId="673E6CE2" w:rsidR="00820FBB" w:rsidRPr="00F35942" w:rsidRDefault="00820FBB" w:rsidP="00B81003">
            <w:pPr>
              <w:spacing w:before="0" w:after="0"/>
              <w:jc w:val="center"/>
              <w:rPr>
                <w:sz w:val="20"/>
                <w:szCs w:val="20"/>
              </w:rPr>
            </w:pPr>
            <w:r w:rsidRPr="00F35942">
              <w:rPr>
                <w:sz w:val="20"/>
                <w:szCs w:val="20"/>
              </w:rPr>
              <w:t>1264</w:t>
            </w:r>
          </w:p>
        </w:tc>
        <w:tc>
          <w:tcPr>
            <w:tcW w:w="763" w:type="dxa"/>
            <w:vAlign w:val="center"/>
          </w:tcPr>
          <w:p w14:paraId="31CCCC57" w14:textId="3435343C" w:rsidR="00820FBB" w:rsidRPr="00F35942" w:rsidRDefault="00820FBB" w:rsidP="00B81003">
            <w:pPr>
              <w:spacing w:before="0" w:after="0"/>
              <w:jc w:val="center"/>
              <w:rPr>
                <w:sz w:val="20"/>
                <w:szCs w:val="20"/>
              </w:rPr>
            </w:pPr>
            <w:r w:rsidRPr="00F35942">
              <w:rPr>
                <w:sz w:val="20"/>
                <w:szCs w:val="20"/>
              </w:rPr>
              <w:t>90</w:t>
            </w:r>
          </w:p>
        </w:tc>
        <w:tc>
          <w:tcPr>
            <w:tcW w:w="1005" w:type="dxa"/>
            <w:vAlign w:val="center"/>
          </w:tcPr>
          <w:p w14:paraId="67006E9E" w14:textId="1D3E9091" w:rsidR="00820FBB" w:rsidRPr="00F35942" w:rsidRDefault="00820FBB" w:rsidP="00B81003">
            <w:pPr>
              <w:spacing w:before="0" w:after="0"/>
              <w:jc w:val="center"/>
              <w:rPr>
                <w:sz w:val="20"/>
                <w:szCs w:val="20"/>
              </w:rPr>
            </w:pPr>
            <w:r w:rsidRPr="00F35942">
              <w:rPr>
                <w:sz w:val="20"/>
                <w:szCs w:val="20"/>
              </w:rPr>
              <w:t>107</w:t>
            </w:r>
          </w:p>
        </w:tc>
        <w:tc>
          <w:tcPr>
            <w:tcW w:w="1206" w:type="dxa"/>
            <w:vAlign w:val="center"/>
          </w:tcPr>
          <w:p w14:paraId="620A2B49" w14:textId="3A7416B1" w:rsidR="00820FBB" w:rsidRPr="00F35942" w:rsidRDefault="00820FBB" w:rsidP="00B81003">
            <w:pPr>
              <w:spacing w:before="0" w:after="0"/>
              <w:jc w:val="center"/>
              <w:rPr>
                <w:sz w:val="20"/>
                <w:szCs w:val="20"/>
              </w:rPr>
            </w:pPr>
            <w:r w:rsidRPr="00F35942">
              <w:rPr>
                <w:sz w:val="20"/>
                <w:szCs w:val="20"/>
              </w:rPr>
              <w:t>3.6</w:t>
            </w:r>
          </w:p>
        </w:tc>
        <w:tc>
          <w:tcPr>
            <w:tcW w:w="804" w:type="dxa"/>
            <w:vAlign w:val="center"/>
          </w:tcPr>
          <w:p w14:paraId="168C3806" w14:textId="4DDF45CF" w:rsidR="00820FBB" w:rsidRPr="00F35942" w:rsidRDefault="00820FBB" w:rsidP="00B81003">
            <w:pPr>
              <w:spacing w:before="0" w:after="0"/>
              <w:jc w:val="center"/>
              <w:rPr>
                <w:sz w:val="20"/>
                <w:szCs w:val="20"/>
              </w:rPr>
            </w:pPr>
            <w:r w:rsidRPr="00F35942">
              <w:rPr>
                <w:sz w:val="20"/>
                <w:szCs w:val="20"/>
              </w:rPr>
              <w:t>3</w:t>
            </w:r>
          </w:p>
        </w:tc>
        <w:tc>
          <w:tcPr>
            <w:tcW w:w="722" w:type="dxa"/>
            <w:vAlign w:val="center"/>
          </w:tcPr>
          <w:p w14:paraId="00783EF8" w14:textId="08C92036" w:rsidR="00820FBB" w:rsidRPr="00F35942" w:rsidRDefault="00820FBB" w:rsidP="00B81003">
            <w:pPr>
              <w:spacing w:before="0" w:after="0"/>
              <w:jc w:val="center"/>
              <w:rPr>
                <w:sz w:val="20"/>
                <w:szCs w:val="20"/>
              </w:rPr>
            </w:pPr>
            <w:r w:rsidRPr="00F35942">
              <w:rPr>
                <w:sz w:val="20"/>
                <w:szCs w:val="20"/>
              </w:rPr>
              <w:t>13</w:t>
            </w:r>
          </w:p>
        </w:tc>
        <w:tc>
          <w:tcPr>
            <w:tcW w:w="895" w:type="dxa"/>
            <w:vAlign w:val="center"/>
          </w:tcPr>
          <w:p w14:paraId="3874B0B3" w14:textId="57994C88" w:rsidR="00820FBB" w:rsidRPr="00F35942" w:rsidRDefault="00820FBB" w:rsidP="00B81003">
            <w:pPr>
              <w:spacing w:before="0" w:after="0"/>
              <w:jc w:val="center"/>
              <w:rPr>
                <w:sz w:val="20"/>
                <w:szCs w:val="20"/>
              </w:rPr>
            </w:pPr>
            <w:r w:rsidRPr="00F35942">
              <w:rPr>
                <w:sz w:val="20"/>
                <w:szCs w:val="20"/>
              </w:rPr>
              <w:t>25</w:t>
            </w:r>
          </w:p>
        </w:tc>
      </w:tr>
      <w:tr w:rsidR="00820FBB" w14:paraId="0728898F" w14:textId="77777777" w:rsidTr="00F35942">
        <w:trPr>
          <w:trHeight w:hRule="exact" w:val="432"/>
          <w:jc w:val="center"/>
        </w:trPr>
        <w:tc>
          <w:tcPr>
            <w:tcW w:w="898" w:type="dxa"/>
            <w:vAlign w:val="center"/>
          </w:tcPr>
          <w:p w14:paraId="6A33519D" w14:textId="752F24E4" w:rsidR="00820FBB" w:rsidRPr="00F35942" w:rsidRDefault="00820FBB" w:rsidP="00B81003">
            <w:pPr>
              <w:pStyle w:val="Subtitle"/>
              <w:spacing w:before="0"/>
              <w:rPr>
                <w:sz w:val="20"/>
                <w:szCs w:val="20"/>
              </w:rPr>
            </w:pPr>
            <w:r w:rsidRPr="00F35942">
              <w:rPr>
                <w:sz w:val="20"/>
                <w:szCs w:val="20"/>
              </w:rPr>
              <w:t>T5</w:t>
            </w:r>
          </w:p>
        </w:tc>
        <w:tc>
          <w:tcPr>
            <w:tcW w:w="2157" w:type="dxa"/>
            <w:vAlign w:val="center"/>
          </w:tcPr>
          <w:p w14:paraId="4DCEDD16" w14:textId="6451F43B" w:rsidR="00820FBB" w:rsidRPr="00F35942" w:rsidRDefault="00820FBB" w:rsidP="00B81003">
            <w:pPr>
              <w:pStyle w:val="Subtitle"/>
              <w:spacing w:before="0"/>
              <w:rPr>
                <w:sz w:val="20"/>
                <w:szCs w:val="20"/>
              </w:rPr>
            </w:pPr>
            <w:r w:rsidRPr="00F35942">
              <w:rPr>
                <w:sz w:val="20"/>
                <w:szCs w:val="20"/>
              </w:rPr>
              <w:t>Siemens SWT 2.3 93</w:t>
            </w:r>
          </w:p>
        </w:tc>
        <w:tc>
          <w:tcPr>
            <w:tcW w:w="900" w:type="dxa"/>
            <w:vAlign w:val="center"/>
          </w:tcPr>
          <w:p w14:paraId="13AA6FB4" w14:textId="60E401F3" w:rsidR="00820FBB" w:rsidRPr="00F35942" w:rsidRDefault="00820FBB" w:rsidP="00B81003">
            <w:pPr>
              <w:spacing w:before="0" w:after="0"/>
              <w:jc w:val="center"/>
              <w:rPr>
                <w:sz w:val="20"/>
                <w:szCs w:val="20"/>
              </w:rPr>
            </w:pPr>
            <w:r w:rsidRPr="00F35942">
              <w:rPr>
                <w:sz w:val="20"/>
                <w:szCs w:val="20"/>
              </w:rPr>
              <w:t>1264</w:t>
            </w:r>
          </w:p>
        </w:tc>
        <w:tc>
          <w:tcPr>
            <w:tcW w:w="763" w:type="dxa"/>
            <w:vAlign w:val="center"/>
          </w:tcPr>
          <w:p w14:paraId="473E7C86" w14:textId="3EF1E75D" w:rsidR="00820FBB" w:rsidRPr="00F35942" w:rsidRDefault="00820FBB" w:rsidP="00B81003">
            <w:pPr>
              <w:spacing w:before="0" w:after="0"/>
              <w:jc w:val="center"/>
              <w:rPr>
                <w:sz w:val="20"/>
                <w:szCs w:val="20"/>
              </w:rPr>
            </w:pPr>
            <w:r w:rsidRPr="00F35942">
              <w:rPr>
                <w:sz w:val="20"/>
                <w:szCs w:val="20"/>
              </w:rPr>
              <w:t>80</w:t>
            </w:r>
          </w:p>
        </w:tc>
        <w:tc>
          <w:tcPr>
            <w:tcW w:w="1005" w:type="dxa"/>
            <w:vAlign w:val="center"/>
          </w:tcPr>
          <w:p w14:paraId="2B5520C2" w14:textId="2951F01A" w:rsidR="00820FBB" w:rsidRPr="00F35942" w:rsidRDefault="00820FBB" w:rsidP="00B81003">
            <w:pPr>
              <w:spacing w:before="0" w:after="0"/>
              <w:jc w:val="center"/>
              <w:rPr>
                <w:sz w:val="20"/>
                <w:szCs w:val="20"/>
              </w:rPr>
            </w:pPr>
            <w:r w:rsidRPr="00F35942">
              <w:rPr>
                <w:sz w:val="20"/>
                <w:szCs w:val="20"/>
              </w:rPr>
              <w:t>93</w:t>
            </w:r>
          </w:p>
        </w:tc>
        <w:tc>
          <w:tcPr>
            <w:tcW w:w="1206" w:type="dxa"/>
            <w:vAlign w:val="center"/>
          </w:tcPr>
          <w:p w14:paraId="0B841F73" w14:textId="004589F2" w:rsidR="00820FBB" w:rsidRPr="00F35942" w:rsidRDefault="00820FBB" w:rsidP="00B81003">
            <w:pPr>
              <w:spacing w:before="0" w:after="0"/>
              <w:jc w:val="center"/>
              <w:rPr>
                <w:sz w:val="20"/>
                <w:szCs w:val="20"/>
              </w:rPr>
            </w:pPr>
            <w:r w:rsidRPr="00F35942">
              <w:rPr>
                <w:sz w:val="20"/>
                <w:szCs w:val="20"/>
              </w:rPr>
              <w:t>2.5</w:t>
            </w:r>
          </w:p>
        </w:tc>
        <w:tc>
          <w:tcPr>
            <w:tcW w:w="804" w:type="dxa"/>
            <w:vAlign w:val="center"/>
          </w:tcPr>
          <w:p w14:paraId="774D73E7" w14:textId="0985EB79" w:rsidR="00820FBB" w:rsidRPr="00F35942" w:rsidRDefault="00820FBB" w:rsidP="00B81003">
            <w:pPr>
              <w:spacing w:before="0" w:after="0"/>
              <w:jc w:val="center"/>
              <w:rPr>
                <w:sz w:val="20"/>
                <w:szCs w:val="20"/>
              </w:rPr>
            </w:pPr>
            <w:r w:rsidRPr="00F35942">
              <w:rPr>
                <w:sz w:val="20"/>
                <w:szCs w:val="20"/>
              </w:rPr>
              <w:t>4</w:t>
            </w:r>
          </w:p>
        </w:tc>
        <w:tc>
          <w:tcPr>
            <w:tcW w:w="722" w:type="dxa"/>
            <w:vAlign w:val="center"/>
          </w:tcPr>
          <w:p w14:paraId="49B28469" w14:textId="49FCACE2" w:rsidR="00820FBB" w:rsidRPr="00F35942" w:rsidRDefault="00820FBB" w:rsidP="00B81003">
            <w:pPr>
              <w:spacing w:before="0" w:after="0"/>
              <w:jc w:val="center"/>
              <w:rPr>
                <w:sz w:val="20"/>
                <w:szCs w:val="20"/>
              </w:rPr>
            </w:pPr>
            <w:r w:rsidRPr="00F35942">
              <w:rPr>
                <w:sz w:val="20"/>
                <w:szCs w:val="20"/>
              </w:rPr>
              <w:t>14</w:t>
            </w:r>
          </w:p>
        </w:tc>
        <w:tc>
          <w:tcPr>
            <w:tcW w:w="895" w:type="dxa"/>
            <w:vAlign w:val="center"/>
          </w:tcPr>
          <w:p w14:paraId="22272AEE" w14:textId="0CE20362" w:rsidR="00820FBB" w:rsidRPr="00F35942" w:rsidRDefault="00820FBB" w:rsidP="00B81003">
            <w:pPr>
              <w:spacing w:before="0" w:after="0"/>
              <w:jc w:val="center"/>
              <w:rPr>
                <w:sz w:val="20"/>
                <w:szCs w:val="20"/>
              </w:rPr>
            </w:pPr>
            <w:r w:rsidRPr="00F35942">
              <w:rPr>
                <w:sz w:val="20"/>
                <w:szCs w:val="20"/>
              </w:rPr>
              <w:t>25</w:t>
            </w:r>
          </w:p>
        </w:tc>
      </w:tr>
      <w:tr w:rsidR="00820FBB" w14:paraId="0640FF90" w14:textId="77777777" w:rsidTr="00F35942">
        <w:trPr>
          <w:trHeight w:hRule="exact" w:val="432"/>
          <w:jc w:val="center"/>
        </w:trPr>
        <w:tc>
          <w:tcPr>
            <w:tcW w:w="898" w:type="dxa"/>
            <w:vAlign w:val="center"/>
          </w:tcPr>
          <w:p w14:paraId="5B1F8279" w14:textId="261E93C2" w:rsidR="00820FBB" w:rsidRPr="00F35942" w:rsidRDefault="00820FBB" w:rsidP="00B81003">
            <w:pPr>
              <w:pStyle w:val="Subtitle"/>
              <w:spacing w:before="0"/>
              <w:rPr>
                <w:sz w:val="20"/>
                <w:szCs w:val="20"/>
              </w:rPr>
            </w:pPr>
            <w:r w:rsidRPr="00F35942">
              <w:rPr>
                <w:sz w:val="20"/>
                <w:szCs w:val="20"/>
              </w:rPr>
              <w:t>T6</w:t>
            </w:r>
          </w:p>
        </w:tc>
        <w:tc>
          <w:tcPr>
            <w:tcW w:w="2157" w:type="dxa"/>
            <w:vAlign w:val="center"/>
          </w:tcPr>
          <w:p w14:paraId="62DD502B" w14:textId="70BB632B" w:rsidR="00820FBB" w:rsidRPr="00F35942" w:rsidRDefault="00820FBB" w:rsidP="00B81003">
            <w:pPr>
              <w:pStyle w:val="Subtitle"/>
              <w:spacing w:before="0"/>
              <w:rPr>
                <w:sz w:val="20"/>
                <w:szCs w:val="20"/>
              </w:rPr>
            </w:pPr>
            <w:r w:rsidRPr="00F35942">
              <w:rPr>
                <w:sz w:val="20"/>
                <w:szCs w:val="20"/>
              </w:rPr>
              <w:t>GE 2.5xl</w:t>
            </w:r>
          </w:p>
        </w:tc>
        <w:tc>
          <w:tcPr>
            <w:tcW w:w="900" w:type="dxa"/>
            <w:vAlign w:val="center"/>
          </w:tcPr>
          <w:p w14:paraId="70C44640" w14:textId="262BBE0A" w:rsidR="00820FBB" w:rsidRPr="00F35942" w:rsidRDefault="00820FBB" w:rsidP="00B81003">
            <w:pPr>
              <w:spacing w:before="0" w:after="0"/>
              <w:jc w:val="center"/>
              <w:rPr>
                <w:sz w:val="20"/>
                <w:szCs w:val="20"/>
              </w:rPr>
            </w:pPr>
            <w:r w:rsidRPr="00F35942">
              <w:rPr>
                <w:sz w:val="20"/>
                <w:szCs w:val="20"/>
              </w:rPr>
              <w:t>1645</w:t>
            </w:r>
          </w:p>
        </w:tc>
        <w:tc>
          <w:tcPr>
            <w:tcW w:w="763" w:type="dxa"/>
            <w:vAlign w:val="center"/>
          </w:tcPr>
          <w:p w14:paraId="6E5A19BF" w14:textId="28BDC1F9" w:rsidR="00820FBB" w:rsidRPr="00F35942" w:rsidRDefault="00820FBB" w:rsidP="00B81003">
            <w:pPr>
              <w:spacing w:before="0" w:after="0"/>
              <w:jc w:val="center"/>
              <w:rPr>
                <w:sz w:val="20"/>
                <w:szCs w:val="20"/>
              </w:rPr>
            </w:pPr>
            <w:r w:rsidRPr="00F35942">
              <w:rPr>
                <w:sz w:val="20"/>
                <w:szCs w:val="20"/>
              </w:rPr>
              <w:t>100</w:t>
            </w:r>
          </w:p>
        </w:tc>
        <w:tc>
          <w:tcPr>
            <w:tcW w:w="1005" w:type="dxa"/>
            <w:vAlign w:val="center"/>
          </w:tcPr>
          <w:p w14:paraId="6D84B71E" w14:textId="798B8ECC" w:rsidR="00820FBB" w:rsidRPr="00F35942" w:rsidRDefault="00820FBB" w:rsidP="00B81003">
            <w:pPr>
              <w:spacing w:before="0" w:after="0"/>
              <w:jc w:val="center"/>
              <w:rPr>
                <w:sz w:val="20"/>
                <w:szCs w:val="20"/>
              </w:rPr>
            </w:pPr>
            <w:r w:rsidRPr="00F35942">
              <w:rPr>
                <w:sz w:val="20"/>
                <w:szCs w:val="20"/>
              </w:rPr>
              <w:t>100</w:t>
            </w:r>
          </w:p>
        </w:tc>
        <w:tc>
          <w:tcPr>
            <w:tcW w:w="1206" w:type="dxa"/>
            <w:vAlign w:val="center"/>
          </w:tcPr>
          <w:p w14:paraId="1FA7BB6A" w14:textId="2C9EEEB5" w:rsidR="00820FBB" w:rsidRPr="00F35942" w:rsidRDefault="00820FBB" w:rsidP="00B81003">
            <w:pPr>
              <w:spacing w:before="0" w:after="0"/>
              <w:jc w:val="center"/>
              <w:rPr>
                <w:sz w:val="20"/>
                <w:szCs w:val="20"/>
              </w:rPr>
            </w:pPr>
            <w:r w:rsidRPr="00F35942">
              <w:rPr>
                <w:sz w:val="20"/>
                <w:szCs w:val="20"/>
              </w:rPr>
              <w:t>2.5</w:t>
            </w:r>
          </w:p>
        </w:tc>
        <w:tc>
          <w:tcPr>
            <w:tcW w:w="804" w:type="dxa"/>
            <w:vAlign w:val="center"/>
          </w:tcPr>
          <w:p w14:paraId="34CFD944" w14:textId="71A72931" w:rsidR="00820FBB" w:rsidRPr="00F35942" w:rsidRDefault="00820FBB" w:rsidP="00B81003">
            <w:pPr>
              <w:spacing w:before="0" w:after="0"/>
              <w:jc w:val="center"/>
              <w:rPr>
                <w:sz w:val="20"/>
                <w:szCs w:val="20"/>
              </w:rPr>
            </w:pPr>
            <w:r w:rsidRPr="00F35942">
              <w:rPr>
                <w:sz w:val="20"/>
                <w:szCs w:val="20"/>
              </w:rPr>
              <w:t>3</w:t>
            </w:r>
          </w:p>
        </w:tc>
        <w:tc>
          <w:tcPr>
            <w:tcW w:w="722" w:type="dxa"/>
            <w:vAlign w:val="center"/>
          </w:tcPr>
          <w:p w14:paraId="56A551E0" w14:textId="600E9D98" w:rsidR="00820FBB" w:rsidRPr="00F35942" w:rsidRDefault="00820FBB" w:rsidP="00B81003">
            <w:pPr>
              <w:spacing w:before="0" w:after="0"/>
              <w:jc w:val="center"/>
              <w:rPr>
                <w:sz w:val="20"/>
                <w:szCs w:val="20"/>
              </w:rPr>
            </w:pPr>
            <w:r w:rsidRPr="00F35942">
              <w:rPr>
                <w:sz w:val="20"/>
                <w:szCs w:val="20"/>
              </w:rPr>
              <w:t>13</w:t>
            </w:r>
          </w:p>
        </w:tc>
        <w:tc>
          <w:tcPr>
            <w:tcW w:w="895" w:type="dxa"/>
            <w:vAlign w:val="center"/>
          </w:tcPr>
          <w:p w14:paraId="3E745C45" w14:textId="3A5A8EB5" w:rsidR="00820FBB" w:rsidRPr="00F35942" w:rsidRDefault="00820FBB" w:rsidP="00B81003">
            <w:pPr>
              <w:spacing w:before="0" w:after="0"/>
              <w:jc w:val="center"/>
              <w:rPr>
                <w:sz w:val="20"/>
                <w:szCs w:val="20"/>
              </w:rPr>
            </w:pPr>
            <w:r w:rsidRPr="00F35942">
              <w:rPr>
                <w:sz w:val="20"/>
                <w:szCs w:val="20"/>
              </w:rPr>
              <w:t>25</w:t>
            </w:r>
          </w:p>
        </w:tc>
      </w:tr>
      <w:tr w:rsidR="00820FBB" w14:paraId="2F0FE0A2" w14:textId="77777777" w:rsidTr="00F35942">
        <w:trPr>
          <w:trHeight w:hRule="exact" w:val="432"/>
          <w:jc w:val="center"/>
        </w:trPr>
        <w:tc>
          <w:tcPr>
            <w:tcW w:w="898" w:type="dxa"/>
            <w:vAlign w:val="center"/>
          </w:tcPr>
          <w:p w14:paraId="4EA73F89" w14:textId="5C1B67AE" w:rsidR="00820FBB" w:rsidRPr="00F35942" w:rsidRDefault="00820FBB" w:rsidP="00B81003">
            <w:pPr>
              <w:pStyle w:val="Subtitle"/>
              <w:spacing w:before="0"/>
              <w:rPr>
                <w:sz w:val="20"/>
                <w:szCs w:val="20"/>
              </w:rPr>
            </w:pPr>
            <w:r w:rsidRPr="00F35942">
              <w:rPr>
                <w:sz w:val="20"/>
                <w:szCs w:val="20"/>
              </w:rPr>
              <w:t>T7</w:t>
            </w:r>
          </w:p>
        </w:tc>
        <w:tc>
          <w:tcPr>
            <w:tcW w:w="2157" w:type="dxa"/>
            <w:vAlign w:val="center"/>
          </w:tcPr>
          <w:p w14:paraId="013D5014" w14:textId="03F335C0" w:rsidR="00820FBB" w:rsidRPr="00F35942" w:rsidRDefault="00820FBB" w:rsidP="00B81003">
            <w:pPr>
              <w:pStyle w:val="Subtitle"/>
              <w:spacing w:before="0"/>
              <w:rPr>
                <w:sz w:val="20"/>
                <w:szCs w:val="20"/>
              </w:rPr>
            </w:pPr>
            <w:r w:rsidRPr="00F35942">
              <w:rPr>
                <w:sz w:val="20"/>
                <w:szCs w:val="20"/>
              </w:rPr>
              <w:t>GE 1.5sle</w:t>
            </w:r>
          </w:p>
        </w:tc>
        <w:tc>
          <w:tcPr>
            <w:tcW w:w="900" w:type="dxa"/>
            <w:vAlign w:val="center"/>
          </w:tcPr>
          <w:p w14:paraId="76F956BB" w14:textId="76ED718D" w:rsidR="00820FBB" w:rsidRPr="00F35942" w:rsidRDefault="00820FBB" w:rsidP="00B81003">
            <w:pPr>
              <w:spacing w:before="0" w:after="0"/>
              <w:jc w:val="center"/>
              <w:rPr>
                <w:sz w:val="20"/>
                <w:szCs w:val="20"/>
              </w:rPr>
            </w:pPr>
            <w:r w:rsidRPr="00F35942">
              <w:rPr>
                <w:sz w:val="20"/>
                <w:szCs w:val="20"/>
              </w:rPr>
              <w:t>1529</w:t>
            </w:r>
          </w:p>
        </w:tc>
        <w:tc>
          <w:tcPr>
            <w:tcW w:w="763" w:type="dxa"/>
            <w:vAlign w:val="center"/>
          </w:tcPr>
          <w:p w14:paraId="73CD3C1B" w14:textId="7EEAC41A" w:rsidR="00820FBB" w:rsidRPr="00F35942" w:rsidRDefault="00820FBB" w:rsidP="00B81003">
            <w:pPr>
              <w:spacing w:before="0" w:after="0"/>
              <w:jc w:val="center"/>
              <w:rPr>
                <w:sz w:val="20"/>
                <w:szCs w:val="20"/>
              </w:rPr>
            </w:pPr>
            <w:r w:rsidRPr="00F35942">
              <w:rPr>
                <w:sz w:val="20"/>
                <w:szCs w:val="20"/>
              </w:rPr>
              <w:t>80</w:t>
            </w:r>
          </w:p>
        </w:tc>
        <w:tc>
          <w:tcPr>
            <w:tcW w:w="1005" w:type="dxa"/>
            <w:vAlign w:val="center"/>
          </w:tcPr>
          <w:p w14:paraId="081C25A6" w14:textId="585AC9BE" w:rsidR="00820FBB" w:rsidRPr="00F35942" w:rsidRDefault="00820FBB" w:rsidP="00B81003">
            <w:pPr>
              <w:spacing w:before="0" w:after="0"/>
              <w:jc w:val="center"/>
              <w:rPr>
                <w:sz w:val="20"/>
                <w:szCs w:val="20"/>
              </w:rPr>
            </w:pPr>
            <w:r w:rsidRPr="00F35942">
              <w:rPr>
                <w:sz w:val="20"/>
                <w:szCs w:val="20"/>
              </w:rPr>
              <w:t>77</w:t>
            </w:r>
          </w:p>
        </w:tc>
        <w:tc>
          <w:tcPr>
            <w:tcW w:w="1206" w:type="dxa"/>
            <w:vAlign w:val="center"/>
          </w:tcPr>
          <w:p w14:paraId="68735DB5" w14:textId="507317DA" w:rsidR="00820FBB" w:rsidRPr="00F35942" w:rsidRDefault="00820FBB" w:rsidP="00B81003">
            <w:pPr>
              <w:spacing w:before="0" w:after="0"/>
              <w:jc w:val="center"/>
              <w:rPr>
                <w:sz w:val="20"/>
                <w:szCs w:val="20"/>
              </w:rPr>
            </w:pPr>
            <w:r w:rsidRPr="00F35942">
              <w:rPr>
                <w:sz w:val="20"/>
                <w:szCs w:val="20"/>
              </w:rPr>
              <w:t>1.5</w:t>
            </w:r>
          </w:p>
        </w:tc>
        <w:tc>
          <w:tcPr>
            <w:tcW w:w="804" w:type="dxa"/>
            <w:vAlign w:val="center"/>
          </w:tcPr>
          <w:p w14:paraId="2EF56E15" w14:textId="2C2DFB5B" w:rsidR="00820FBB" w:rsidRPr="00F35942" w:rsidRDefault="00820FBB" w:rsidP="00B81003">
            <w:pPr>
              <w:spacing w:before="0" w:after="0"/>
              <w:jc w:val="center"/>
              <w:rPr>
                <w:sz w:val="20"/>
                <w:szCs w:val="20"/>
              </w:rPr>
            </w:pPr>
            <w:r w:rsidRPr="00F35942">
              <w:rPr>
                <w:sz w:val="20"/>
                <w:szCs w:val="20"/>
              </w:rPr>
              <w:t>3.5</w:t>
            </w:r>
          </w:p>
        </w:tc>
        <w:tc>
          <w:tcPr>
            <w:tcW w:w="722" w:type="dxa"/>
            <w:vAlign w:val="center"/>
          </w:tcPr>
          <w:p w14:paraId="6416F483" w14:textId="19EF8B9F" w:rsidR="00820FBB" w:rsidRPr="00F35942" w:rsidRDefault="00820FBB" w:rsidP="00B81003">
            <w:pPr>
              <w:spacing w:before="0" w:after="0"/>
              <w:jc w:val="center"/>
              <w:rPr>
                <w:sz w:val="20"/>
                <w:szCs w:val="20"/>
              </w:rPr>
            </w:pPr>
            <w:r w:rsidRPr="00F35942">
              <w:rPr>
                <w:sz w:val="20"/>
                <w:szCs w:val="20"/>
              </w:rPr>
              <w:t>12</w:t>
            </w:r>
          </w:p>
        </w:tc>
        <w:tc>
          <w:tcPr>
            <w:tcW w:w="895" w:type="dxa"/>
            <w:vAlign w:val="center"/>
          </w:tcPr>
          <w:p w14:paraId="75E525E7" w14:textId="0432BB8B" w:rsidR="00820FBB" w:rsidRPr="00F35942" w:rsidRDefault="00820FBB" w:rsidP="00B81003">
            <w:pPr>
              <w:spacing w:before="0" w:after="0"/>
              <w:jc w:val="center"/>
              <w:rPr>
                <w:sz w:val="20"/>
                <w:szCs w:val="20"/>
              </w:rPr>
            </w:pPr>
            <w:r w:rsidRPr="00F35942">
              <w:rPr>
                <w:sz w:val="20"/>
                <w:szCs w:val="20"/>
              </w:rPr>
              <w:t>25</w:t>
            </w:r>
          </w:p>
        </w:tc>
      </w:tr>
      <w:tr w:rsidR="00820FBB" w14:paraId="4A6E0965" w14:textId="77777777" w:rsidTr="00F35942">
        <w:trPr>
          <w:trHeight w:hRule="exact" w:val="432"/>
          <w:jc w:val="center"/>
        </w:trPr>
        <w:tc>
          <w:tcPr>
            <w:tcW w:w="898" w:type="dxa"/>
            <w:vAlign w:val="center"/>
          </w:tcPr>
          <w:p w14:paraId="51426A46" w14:textId="26096FB9" w:rsidR="00820FBB" w:rsidRPr="00F35942" w:rsidRDefault="00820FBB" w:rsidP="00B81003">
            <w:pPr>
              <w:pStyle w:val="Subtitle"/>
              <w:spacing w:before="0"/>
              <w:rPr>
                <w:sz w:val="20"/>
                <w:szCs w:val="20"/>
              </w:rPr>
            </w:pPr>
            <w:r w:rsidRPr="00F35942">
              <w:rPr>
                <w:sz w:val="20"/>
                <w:szCs w:val="20"/>
              </w:rPr>
              <w:t>T8</w:t>
            </w:r>
          </w:p>
        </w:tc>
        <w:tc>
          <w:tcPr>
            <w:tcW w:w="2157" w:type="dxa"/>
            <w:vAlign w:val="center"/>
          </w:tcPr>
          <w:p w14:paraId="7BF3DE83" w14:textId="1909658B" w:rsidR="00820FBB" w:rsidRPr="00F35942" w:rsidRDefault="00820FBB" w:rsidP="00B81003">
            <w:pPr>
              <w:pStyle w:val="Subtitle"/>
              <w:spacing w:before="0"/>
              <w:rPr>
                <w:sz w:val="20"/>
                <w:szCs w:val="20"/>
              </w:rPr>
            </w:pPr>
            <w:r w:rsidRPr="00F35942">
              <w:rPr>
                <w:sz w:val="20"/>
                <w:szCs w:val="20"/>
              </w:rPr>
              <w:t>Gamesa G80 2000</w:t>
            </w:r>
          </w:p>
        </w:tc>
        <w:tc>
          <w:tcPr>
            <w:tcW w:w="900" w:type="dxa"/>
            <w:vAlign w:val="center"/>
          </w:tcPr>
          <w:p w14:paraId="381724C7" w14:textId="0E2A3000" w:rsidR="00820FBB" w:rsidRPr="00F35942" w:rsidRDefault="00820FBB" w:rsidP="00B81003">
            <w:pPr>
              <w:spacing w:before="0" w:after="0"/>
              <w:jc w:val="center"/>
              <w:rPr>
                <w:sz w:val="20"/>
                <w:szCs w:val="20"/>
              </w:rPr>
            </w:pPr>
            <w:r w:rsidRPr="00F35942">
              <w:rPr>
                <w:sz w:val="20"/>
                <w:szCs w:val="20"/>
              </w:rPr>
              <w:t>1264</w:t>
            </w:r>
          </w:p>
        </w:tc>
        <w:tc>
          <w:tcPr>
            <w:tcW w:w="763" w:type="dxa"/>
            <w:vAlign w:val="center"/>
          </w:tcPr>
          <w:p w14:paraId="299149A4" w14:textId="25D637EC" w:rsidR="00820FBB" w:rsidRPr="00F35942" w:rsidRDefault="00820FBB" w:rsidP="00B81003">
            <w:pPr>
              <w:spacing w:before="0" w:after="0"/>
              <w:jc w:val="center"/>
              <w:rPr>
                <w:sz w:val="20"/>
                <w:szCs w:val="20"/>
              </w:rPr>
            </w:pPr>
            <w:r w:rsidRPr="00F35942">
              <w:rPr>
                <w:sz w:val="20"/>
                <w:szCs w:val="20"/>
              </w:rPr>
              <w:t>80</w:t>
            </w:r>
          </w:p>
        </w:tc>
        <w:tc>
          <w:tcPr>
            <w:tcW w:w="1005" w:type="dxa"/>
            <w:vAlign w:val="center"/>
          </w:tcPr>
          <w:p w14:paraId="4AEAEB64" w14:textId="7C875739" w:rsidR="00820FBB" w:rsidRPr="00F35942" w:rsidRDefault="00820FBB" w:rsidP="00B81003">
            <w:pPr>
              <w:spacing w:before="0" w:after="0"/>
              <w:jc w:val="center"/>
              <w:rPr>
                <w:sz w:val="20"/>
                <w:szCs w:val="20"/>
              </w:rPr>
            </w:pPr>
            <w:r w:rsidRPr="00F35942">
              <w:rPr>
                <w:sz w:val="20"/>
                <w:szCs w:val="20"/>
              </w:rPr>
              <w:t>80</w:t>
            </w:r>
          </w:p>
        </w:tc>
        <w:tc>
          <w:tcPr>
            <w:tcW w:w="1206" w:type="dxa"/>
            <w:vAlign w:val="center"/>
          </w:tcPr>
          <w:p w14:paraId="7B51A207" w14:textId="6A66EB7F" w:rsidR="00820FBB" w:rsidRPr="00F35942" w:rsidRDefault="00820FBB" w:rsidP="00B81003">
            <w:pPr>
              <w:spacing w:before="0" w:after="0"/>
              <w:jc w:val="center"/>
              <w:rPr>
                <w:sz w:val="20"/>
                <w:szCs w:val="20"/>
              </w:rPr>
            </w:pPr>
            <w:r w:rsidRPr="00F35942">
              <w:rPr>
                <w:sz w:val="20"/>
                <w:szCs w:val="20"/>
              </w:rPr>
              <w:t>2</w:t>
            </w:r>
          </w:p>
        </w:tc>
        <w:tc>
          <w:tcPr>
            <w:tcW w:w="804" w:type="dxa"/>
            <w:vAlign w:val="center"/>
          </w:tcPr>
          <w:p w14:paraId="7319499B" w14:textId="3343BFEB" w:rsidR="00820FBB" w:rsidRPr="00F35942" w:rsidRDefault="00820FBB" w:rsidP="00B81003">
            <w:pPr>
              <w:spacing w:before="0" w:after="0"/>
              <w:jc w:val="center"/>
              <w:rPr>
                <w:sz w:val="20"/>
                <w:szCs w:val="20"/>
              </w:rPr>
            </w:pPr>
            <w:r w:rsidRPr="00F35942">
              <w:rPr>
                <w:sz w:val="20"/>
                <w:szCs w:val="20"/>
              </w:rPr>
              <w:t>3.5</w:t>
            </w:r>
          </w:p>
        </w:tc>
        <w:tc>
          <w:tcPr>
            <w:tcW w:w="722" w:type="dxa"/>
            <w:vAlign w:val="center"/>
          </w:tcPr>
          <w:p w14:paraId="5CD9CAAF" w14:textId="537371A7" w:rsidR="00820FBB" w:rsidRPr="00F35942" w:rsidRDefault="00820FBB" w:rsidP="00B81003">
            <w:pPr>
              <w:spacing w:before="0" w:after="0"/>
              <w:jc w:val="center"/>
              <w:rPr>
                <w:sz w:val="20"/>
                <w:szCs w:val="20"/>
              </w:rPr>
            </w:pPr>
            <w:r w:rsidRPr="00F35942">
              <w:rPr>
                <w:sz w:val="20"/>
                <w:szCs w:val="20"/>
              </w:rPr>
              <w:t>12</w:t>
            </w:r>
          </w:p>
        </w:tc>
        <w:tc>
          <w:tcPr>
            <w:tcW w:w="895" w:type="dxa"/>
            <w:vAlign w:val="center"/>
          </w:tcPr>
          <w:p w14:paraId="643273D6" w14:textId="3539E109" w:rsidR="00820FBB" w:rsidRPr="00F35942" w:rsidRDefault="00820FBB" w:rsidP="00B81003">
            <w:pPr>
              <w:spacing w:before="0" w:after="0"/>
              <w:jc w:val="center"/>
              <w:rPr>
                <w:sz w:val="20"/>
                <w:szCs w:val="20"/>
              </w:rPr>
            </w:pPr>
            <w:r w:rsidRPr="00F35942">
              <w:rPr>
                <w:sz w:val="20"/>
                <w:szCs w:val="20"/>
              </w:rPr>
              <w:t>25</w:t>
            </w:r>
          </w:p>
        </w:tc>
      </w:tr>
      <w:tr w:rsidR="00820FBB" w14:paraId="3718E031" w14:textId="77777777" w:rsidTr="00F35942">
        <w:trPr>
          <w:trHeight w:hRule="exact" w:val="432"/>
          <w:jc w:val="center"/>
        </w:trPr>
        <w:tc>
          <w:tcPr>
            <w:tcW w:w="898" w:type="dxa"/>
            <w:vAlign w:val="center"/>
          </w:tcPr>
          <w:p w14:paraId="6BB3BAAB" w14:textId="20DFCFBA" w:rsidR="00820FBB" w:rsidRPr="00F35942" w:rsidRDefault="00820FBB" w:rsidP="00B81003">
            <w:pPr>
              <w:pStyle w:val="Subtitle"/>
              <w:spacing w:before="0"/>
              <w:rPr>
                <w:sz w:val="20"/>
                <w:szCs w:val="20"/>
              </w:rPr>
            </w:pPr>
            <w:r w:rsidRPr="00F35942">
              <w:rPr>
                <w:sz w:val="20"/>
                <w:szCs w:val="20"/>
              </w:rPr>
              <w:t>T9</w:t>
            </w:r>
          </w:p>
        </w:tc>
        <w:tc>
          <w:tcPr>
            <w:tcW w:w="2157" w:type="dxa"/>
            <w:vAlign w:val="center"/>
          </w:tcPr>
          <w:p w14:paraId="690D1493" w14:textId="19873032" w:rsidR="00820FBB" w:rsidRPr="00F35942" w:rsidRDefault="00820FBB" w:rsidP="00B81003">
            <w:pPr>
              <w:pStyle w:val="Subtitle"/>
              <w:spacing w:before="0"/>
              <w:rPr>
                <w:sz w:val="20"/>
                <w:szCs w:val="20"/>
              </w:rPr>
            </w:pPr>
            <w:r w:rsidRPr="00F35942">
              <w:rPr>
                <w:sz w:val="20"/>
                <w:szCs w:val="20"/>
              </w:rPr>
              <w:t>Enercon E126 7000</w:t>
            </w:r>
          </w:p>
        </w:tc>
        <w:tc>
          <w:tcPr>
            <w:tcW w:w="900" w:type="dxa"/>
            <w:vAlign w:val="center"/>
          </w:tcPr>
          <w:p w14:paraId="46E2F7AD" w14:textId="03803A8F" w:rsidR="00820FBB" w:rsidRPr="00F35942" w:rsidRDefault="00820FBB" w:rsidP="00B81003">
            <w:pPr>
              <w:spacing w:before="0" w:after="0"/>
              <w:jc w:val="center"/>
              <w:rPr>
                <w:sz w:val="20"/>
                <w:szCs w:val="20"/>
              </w:rPr>
            </w:pPr>
            <w:r w:rsidRPr="00F35942">
              <w:rPr>
                <w:sz w:val="20"/>
                <w:szCs w:val="20"/>
              </w:rPr>
              <w:t>3684</w:t>
            </w:r>
          </w:p>
        </w:tc>
        <w:tc>
          <w:tcPr>
            <w:tcW w:w="763" w:type="dxa"/>
            <w:vAlign w:val="center"/>
          </w:tcPr>
          <w:p w14:paraId="5E9F154C" w14:textId="583ED3E2" w:rsidR="00820FBB" w:rsidRPr="00F35942" w:rsidRDefault="00820FBB" w:rsidP="00B81003">
            <w:pPr>
              <w:spacing w:before="0" w:after="0"/>
              <w:jc w:val="center"/>
              <w:rPr>
                <w:sz w:val="20"/>
                <w:szCs w:val="20"/>
              </w:rPr>
            </w:pPr>
            <w:r w:rsidRPr="00F35942">
              <w:rPr>
                <w:sz w:val="20"/>
                <w:szCs w:val="20"/>
              </w:rPr>
              <w:t>135</w:t>
            </w:r>
          </w:p>
        </w:tc>
        <w:tc>
          <w:tcPr>
            <w:tcW w:w="1005" w:type="dxa"/>
            <w:vAlign w:val="center"/>
          </w:tcPr>
          <w:p w14:paraId="2BF6EF07" w14:textId="608358AA" w:rsidR="00820FBB" w:rsidRPr="00F35942" w:rsidRDefault="00820FBB" w:rsidP="00B81003">
            <w:pPr>
              <w:spacing w:before="0" w:after="0"/>
              <w:jc w:val="center"/>
              <w:rPr>
                <w:sz w:val="20"/>
                <w:szCs w:val="20"/>
              </w:rPr>
            </w:pPr>
            <w:r w:rsidRPr="00F35942">
              <w:rPr>
                <w:sz w:val="20"/>
                <w:szCs w:val="20"/>
              </w:rPr>
              <w:t>126</w:t>
            </w:r>
          </w:p>
        </w:tc>
        <w:tc>
          <w:tcPr>
            <w:tcW w:w="1206" w:type="dxa"/>
            <w:vAlign w:val="center"/>
          </w:tcPr>
          <w:p w14:paraId="7C33AE51" w14:textId="09655728" w:rsidR="00820FBB" w:rsidRPr="00F35942" w:rsidRDefault="00820FBB" w:rsidP="00B81003">
            <w:pPr>
              <w:spacing w:before="0" w:after="0"/>
              <w:jc w:val="center"/>
              <w:rPr>
                <w:sz w:val="20"/>
                <w:szCs w:val="20"/>
              </w:rPr>
            </w:pPr>
            <w:r w:rsidRPr="00F35942">
              <w:rPr>
                <w:sz w:val="20"/>
                <w:szCs w:val="20"/>
              </w:rPr>
              <w:t>7</w:t>
            </w:r>
          </w:p>
        </w:tc>
        <w:tc>
          <w:tcPr>
            <w:tcW w:w="804" w:type="dxa"/>
            <w:vAlign w:val="center"/>
          </w:tcPr>
          <w:p w14:paraId="59570E51" w14:textId="4926690C" w:rsidR="00820FBB" w:rsidRPr="00F35942" w:rsidRDefault="00820FBB" w:rsidP="00B81003">
            <w:pPr>
              <w:spacing w:before="0" w:after="0"/>
              <w:jc w:val="center"/>
              <w:rPr>
                <w:sz w:val="20"/>
                <w:szCs w:val="20"/>
              </w:rPr>
            </w:pPr>
            <w:r w:rsidRPr="00F35942">
              <w:rPr>
                <w:sz w:val="20"/>
                <w:szCs w:val="20"/>
              </w:rPr>
              <w:t>3</w:t>
            </w:r>
          </w:p>
        </w:tc>
        <w:tc>
          <w:tcPr>
            <w:tcW w:w="722" w:type="dxa"/>
            <w:vAlign w:val="center"/>
          </w:tcPr>
          <w:p w14:paraId="2C873214" w14:textId="5545EF2D" w:rsidR="00820FBB" w:rsidRPr="00F35942" w:rsidRDefault="00820FBB" w:rsidP="00B81003">
            <w:pPr>
              <w:spacing w:before="0" w:after="0"/>
              <w:jc w:val="center"/>
              <w:rPr>
                <w:sz w:val="20"/>
                <w:szCs w:val="20"/>
              </w:rPr>
            </w:pPr>
            <w:r w:rsidRPr="00F35942">
              <w:rPr>
                <w:sz w:val="20"/>
                <w:szCs w:val="20"/>
              </w:rPr>
              <w:t>16.5</w:t>
            </w:r>
          </w:p>
        </w:tc>
        <w:tc>
          <w:tcPr>
            <w:tcW w:w="895" w:type="dxa"/>
            <w:vAlign w:val="center"/>
          </w:tcPr>
          <w:p w14:paraId="5EC8398E" w14:textId="6DDBE50B" w:rsidR="00820FBB" w:rsidRPr="00F35942" w:rsidRDefault="00820FBB" w:rsidP="00B81003">
            <w:pPr>
              <w:spacing w:before="0" w:after="0"/>
              <w:jc w:val="center"/>
              <w:rPr>
                <w:sz w:val="20"/>
                <w:szCs w:val="20"/>
              </w:rPr>
            </w:pPr>
            <w:r w:rsidRPr="00F35942">
              <w:rPr>
                <w:sz w:val="20"/>
                <w:szCs w:val="20"/>
              </w:rPr>
              <w:t>34</w:t>
            </w:r>
          </w:p>
        </w:tc>
      </w:tr>
      <w:tr w:rsidR="00820FBB" w14:paraId="471FE210" w14:textId="77777777" w:rsidTr="00F35942">
        <w:trPr>
          <w:trHeight w:hRule="exact" w:val="432"/>
          <w:jc w:val="center"/>
        </w:trPr>
        <w:tc>
          <w:tcPr>
            <w:tcW w:w="898" w:type="dxa"/>
            <w:vAlign w:val="center"/>
          </w:tcPr>
          <w:p w14:paraId="21BDEAD9" w14:textId="17F5C0A8" w:rsidR="00820FBB" w:rsidRPr="00F35942" w:rsidRDefault="00820FBB" w:rsidP="00B81003">
            <w:pPr>
              <w:pStyle w:val="Subtitle"/>
              <w:spacing w:before="0"/>
              <w:rPr>
                <w:sz w:val="20"/>
                <w:szCs w:val="20"/>
              </w:rPr>
            </w:pPr>
            <w:r w:rsidRPr="00F35942">
              <w:rPr>
                <w:sz w:val="20"/>
                <w:szCs w:val="20"/>
              </w:rPr>
              <w:t>T10</w:t>
            </w:r>
          </w:p>
        </w:tc>
        <w:tc>
          <w:tcPr>
            <w:tcW w:w="2157" w:type="dxa"/>
            <w:vAlign w:val="center"/>
          </w:tcPr>
          <w:p w14:paraId="0DE7410E" w14:textId="4429C9A1" w:rsidR="00820FBB" w:rsidRPr="00F35942" w:rsidRDefault="00820FBB" w:rsidP="00B81003">
            <w:pPr>
              <w:pStyle w:val="Subtitle"/>
              <w:spacing w:before="0"/>
              <w:rPr>
                <w:sz w:val="20"/>
                <w:szCs w:val="20"/>
              </w:rPr>
            </w:pPr>
            <w:r w:rsidRPr="00F35942">
              <w:rPr>
                <w:sz w:val="20"/>
                <w:szCs w:val="20"/>
              </w:rPr>
              <w:t>Enercon E101 3000</w:t>
            </w:r>
          </w:p>
        </w:tc>
        <w:tc>
          <w:tcPr>
            <w:tcW w:w="900" w:type="dxa"/>
            <w:vAlign w:val="center"/>
          </w:tcPr>
          <w:p w14:paraId="3AABD48F" w14:textId="69532928" w:rsidR="00820FBB" w:rsidRPr="00F35942" w:rsidRDefault="00820FBB" w:rsidP="00B81003">
            <w:pPr>
              <w:spacing w:before="0" w:after="0"/>
              <w:jc w:val="center"/>
              <w:rPr>
                <w:sz w:val="20"/>
                <w:szCs w:val="20"/>
              </w:rPr>
            </w:pPr>
            <w:r w:rsidRPr="00F35942">
              <w:rPr>
                <w:sz w:val="20"/>
                <w:szCs w:val="20"/>
              </w:rPr>
              <w:t>1787</w:t>
            </w:r>
          </w:p>
        </w:tc>
        <w:tc>
          <w:tcPr>
            <w:tcW w:w="763" w:type="dxa"/>
            <w:vAlign w:val="center"/>
          </w:tcPr>
          <w:p w14:paraId="772E733E" w14:textId="57A37D78" w:rsidR="00820FBB" w:rsidRPr="00F35942" w:rsidRDefault="00820FBB" w:rsidP="00B81003">
            <w:pPr>
              <w:spacing w:before="0" w:after="0"/>
              <w:jc w:val="center"/>
              <w:rPr>
                <w:sz w:val="20"/>
                <w:szCs w:val="20"/>
              </w:rPr>
            </w:pPr>
            <w:r w:rsidRPr="00F35942">
              <w:rPr>
                <w:sz w:val="20"/>
                <w:szCs w:val="20"/>
              </w:rPr>
              <w:t>135</w:t>
            </w:r>
          </w:p>
        </w:tc>
        <w:tc>
          <w:tcPr>
            <w:tcW w:w="1005" w:type="dxa"/>
            <w:vAlign w:val="center"/>
          </w:tcPr>
          <w:p w14:paraId="2313DC9D" w14:textId="0681EE5A" w:rsidR="00820FBB" w:rsidRPr="00F35942" w:rsidRDefault="00820FBB" w:rsidP="00B81003">
            <w:pPr>
              <w:spacing w:before="0" w:after="0"/>
              <w:jc w:val="center"/>
              <w:rPr>
                <w:sz w:val="20"/>
                <w:szCs w:val="20"/>
              </w:rPr>
            </w:pPr>
            <w:r w:rsidRPr="00F35942">
              <w:rPr>
                <w:sz w:val="20"/>
                <w:szCs w:val="20"/>
              </w:rPr>
              <w:t>101</w:t>
            </w:r>
          </w:p>
        </w:tc>
        <w:tc>
          <w:tcPr>
            <w:tcW w:w="1206" w:type="dxa"/>
            <w:vAlign w:val="center"/>
          </w:tcPr>
          <w:p w14:paraId="2DB01995" w14:textId="3F5BF606" w:rsidR="00820FBB" w:rsidRPr="00F35942" w:rsidRDefault="00820FBB" w:rsidP="00B81003">
            <w:pPr>
              <w:spacing w:before="0" w:after="0"/>
              <w:jc w:val="center"/>
              <w:rPr>
                <w:sz w:val="20"/>
                <w:szCs w:val="20"/>
              </w:rPr>
            </w:pPr>
            <w:r w:rsidRPr="00F35942">
              <w:rPr>
                <w:sz w:val="20"/>
                <w:szCs w:val="20"/>
              </w:rPr>
              <w:t>3.05</w:t>
            </w:r>
          </w:p>
        </w:tc>
        <w:tc>
          <w:tcPr>
            <w:tcW w:w="804" w:type="dxa"/>
            <w:vAlign w:val="center"/>
          </w:tcPr>
          <w:p w14:paraId="085727A0" w14:textId="6198C08F" w:rsidR="00820FBB" w:rsidRPr="00F35942" w:rsidRDefault="00820FBB" w:rsidP="00B81003">
            <w:pPr>
              <w:spacing w:before="0" w:after="0"/>
              <w:jc w:val="center"/>
              <w:rPr>
                <w:sz w:val="20"/>
                <w:szCs w:val="20"/>
              </w:rPr>
            </w:pPr>
            <w:r w:rsidRPr="00F35942">
              <w:rPr>
                <w:sz w:val="20"/>
                <w:szCs w:val="20"/>
              </w:rPr>
              <w:t>2</w:t>
            </w:r>
          </w:p>
        </w:tc>
        <w:tc>
          <w:tcPr>
            <w:tcW w:w="722" w:type="dxa"/>
            <w:vAlign w:val="center"/>
          </w:tcPr>
          <w:p w14:paraId="5AB4DB89" w14:textId="40DB9993" w:rsidR="00820FBB" w:rsidRPr="00F35942" w:rsidRDefault="00820FBB" w:rsidP="00B81003">
            <w:pPr>
              <w:spacing w:before="0" w:after="0"/>
              <w:jc w:val="center"/>
              <w:rPr>
                <w:sz w:val="20"/>
                <w:szCs w:val="20"/>
              </w:rPr>
            </w:pPr>
            <w:r w:rsidRPr="00F35942">
              <w:rPr>
                <w:sz w:val="20"/>
                <w:szCs w:val="20"/>
              </w:rPr>
              <w:t>13</w:t>
            </w:r>
          </w:p>
        </w:tc>
        <w:tc>
          <w:tcPr>
            <w:tcW w:w="895" w:type="dxa"/>
            <w:vAlign w:val="center"/>
          </w:tcPr>
          <w:p w14:paraId="4EA9C320" w14:textId="0C98212F" w:rsidR="00820FBB" w:rsidRPr="00F35942" w:rsidRDefault="00820FBB" w:rsidP="00B81003">
            <w:pPr>
              <w:spacing w:before="0" w:after="0"/>
              <w:jc w:val="center"/>
              <w:rPr>
                <w:sz w:val="20"/>
                <w:szCs w:val="20"/>
              </w:rPr>
            </w:pPr>
            <w:r w:rsidRPr="00F35942">
              <w:rPr>
                <w:sz w:val="20"/>
                <w:szCs w:val="20"/>
              </w:rPr>
              <w:t>25</w:t>
            </w:r>
          </w:p>
        </w:tc>
      </w:tr>
    </w:tbl>
    <w:p w14:paraId="535A0421" w14:textId="77777777" w:rsidR="006258A9" w:rsidRPr="006258A9" w:rsidRDefault="00237128" w:rsidP="00237128">
      <w:pPr>
        <w:pStyle w:val="TableCaption"/>
        <w:spacing w:before="200"/>
        <w:rPr>
          <w:noProof/>
          <w:vanish/>
          <w:specVanish/>
        </w:rPr>
      </w:pPr>
      <w:bookmarkStart w:id="38" w:name="_Ref193961441"/>
      <w:bookmarkStart w:id="39" w:name="_Toc194577053"/>
      <w:bookmarkStart w:id="40" w:name="_Toc194575613"/>
      <w:r>
        <w:t>Table S</w:t>
      </w:r>
      <w:r>
        <w:rPr>
          <w:noProof/>
        </w:rPr>
        <w:t>7</w:t>
      </w:r>
      <w:bookmarkEnd w:id="38"/>
      <w:bookmarkEnd w:id="39"/>
    </w:p>
    <w:p w14:paraId="59136066" w14:textId="1C48DF1D" w:rsidR="0085539E" w:rsidRDefault="0085539E" w:rsidP="006258A9">
      <w:pPr>
        <w:pStyle w:val="Style3"/>
      </w:pPr>
      <w:r w:rsidRPr="00CD4A28">
        <w:rPr>
          <w:b/>
          <w:bCs/>
        </w:rPr>
        <w:t>:</w:t>
      </w:r>
      <w:r w:rsidRPr="00A02B80">
        <w:t xml:space="preserve"> Practical resource potential for wind and solar PV in each </w:t>
      </w:r>
      <w:r w:rsidR="003E5653">
        <w:t>country</w:t>
      </w:r>
      <w:r w:rsidR="00FF6143">
        <w:t xml:space="preserve"> (modeled project sites only)</w:t>
      </w:r>
      <w:r w:rsidRPr="00A02B80">
        <w:t>.</w:t>
      </w:r>
      <w:bookmarkEnd w:id="40"/>
    </w:p>
    <w:tbl>
      <w:tblPr>
        <w:tblStyle w:val="TableGrid"/>
        <w:tblW w:w="0" w:type="auto"/>
        <w:tblLook w:val="04A0" w:firstRow="1" w:lastRow="0" w:firstColumn="1" w:lastColumn="0" w:noHBand="0" w:noVBand="1"/>
      </w:tblPr>
      <w:tblGrid>
        <w:gridCol w:w="3116"/>
        <w:gridCol w:w="3117"/>
        <w:gridCol w:w="3117"/>
      </w:tblGrid>
      <w:tr w:rsidR="00EE7988" w14:paraId="1D56FA73" w14:textId="77777777" w:rsidTr="00F35942">
        <w:trPr>
          <w:trHeight w:hRule="exact" w:val="360"/>
        </w:trPr>
        <w:tc>
          <w:tcPr>
            <w:tcW w:w="9350" w:type="dxa"/>
            <w:gridSpan w:val="3"/>
            <w:shd w:val="clear" w:color="auto" w:fill="F2F2F2" w:themeFill="background1" w:themeFillShade="F2"/>
            <w:vAlign w:val="center"/>
          </w:tcPr>
          <w:p w14:paraId="32FC8A6B" w14:textId="77777777" w:rsidR="00EE7988" w:rsidRDefault="00EE7988" w:rsidP="0037143E">
            <w:pPr>
              <w:pStyle w:val="Style2"/>
            </w:pPr>
            <w:r w:rsidRPr="00EE7988">
              <w:t>Wind</w:t>
            </w:r>
          </w:p>
        </w:tc>
      </w:tr>
      <w:tr w:rsidR="00EE7988" w:rsidRPr="00EE7988" w14:paraId="0CF11FBC" w14:textId="77777777" w:rsidTr="00F35942">
        <w:trPr>
          <w:trHeight w:hRule="exact" w:val="360"/>
        </w:trPr>
        <w:tc>
          <w:tcPr>
            <w:tcW w:w="3116" w:type="dxa"/>
            <w:vAlign w:val="center"/>
          </w:tcPr>
          <w:p w14:paraId="2CD2BD82" w14:textId="0BF0A600" w:rsidR="00EE7988" w:rsidRPr="0037143E" w:rsidRDefault="00EE7988" w:rsidP="0037143E">
            <w:pPr>
              <w:pStyle w:val="Style2"/>
              <w:rPr>
                <w:b w:val="0"/>
                <w:bCs w:val="0"/>
              </w:rPr>
            </w:pPr>
            <w:r w:rsidRPr="0037143E">
              <w:rPr>
                <w:b w:val="0"/>
                <w:bCs w:val="0"/>
                <w:sz w:val="18"/>
                <w:szCs w:val="18"/>
              </w:rPr>
              <w:t>Country</w:t>
            </w:r>
          </w:p>
        </w:tc>
        <w:tc>
          <w:tcPr>
            <w:tcW w:w="3117" w:type="dxa"/>
            <w:vAlign w:val="center"/>
          </w:tcPr>
          <w:p w14:paraId="2BBCF2C1" w14:textId="37892314" w:rsidR="00EE7988" w:rsidRPr="0037143E" w:rsidRDefault="00EE7988" w:rsidP="0037143E">
            <w:pPr>
              <w:pStyle w:val="Style2"/>
              <w:rPr>
                <w:b w:val="0"/>
                <w:bCs w:val="0"/>
              </w:rPr>
            </w:pPr>
            <w:r w:rsidRPr="0037143E">
              <w:rPr>
                <w:b w:val="0"/>
                <w:bCs w:val="0"/>
                <w:sz w:val="18"/>
                <w:szCs w:val="18"/>
              </w:rPr>
              <w:t>Total Potential (GW)</w:t>
            </w:r>
          </w:p>
        </w:tc>
        <w:tc>
          <w:tcPr>
            <w:tcW w:w="3117" w:type="dxa"/>
            <w:vAlign w:val="center"/>
          </w:tcPr>
          <w:p w14:paraId="0AB99761" w14:textId="3D5BD236" w:rsidR="00EE7988" w:rsidRPr="0037143E" w:rsidRDefault="00EE7988" w:rsidP="0037143E">
            <w:pPr>
              <w:pStyle w:val="Style2"/>
              <w:rPr>
                <w:b w:val="0"/>
                <w:bCs w:val="0"/>
              </w:rPr>
            </w:pPr>
            <w:r w:rsidRPr="0037143E">
              <w:rPr>
                <w:b w:val="0"/>
                <w:bCs w:val="0"/>
                <w:sz w:val="18"/>
                <w:szCs w:val="18"/>
              </w:rPr>
              <w:t>Mean Annual Capacity Factor</w:t>
            </w:r>
          </w:p>
        </w:tc>
      </w:tr>
      <w:tr w:rsidR="00EE7988" w:rsidRPr="001D54D1" w14:paraId="714D5094" w14:textId="77777777" w:rsidTr="00F35942">
        <w:trPr>
          <w:trHeight w:hRule="exact" w:val="360"/>
        </w:trPr>
        <w:tc>
          <w:tcPr>
            <w:tcW w:w="3116" w:type="dxa"/>
            <w:vAlign w:val="center"/>
          </w:tcPr>
          <w:p w14:paraId="195B2B51" w14:textId="2FBC2A8B" w:rsidR="00EE7988" w:rsidRPr="0037143E" w:rsidRDefault="00EE7988" w:rsidP="0037143E">
            <w:pPr>
              <w:pStyle w:val="Style2"/>
              <w:rPr>
                <w:b w:val="0"/>
                <w:bCs w:val="0"/>
                <w:sz w:val="18"/>
                <w:szCs w:val="18"/>
              </w:rPr>
            </w:pPr>
            <w:r w:rsidRPr="0037143E">
              <w:rPr>
                <w:b w:val="0"/>
                <w:bCs w:val="0"/>
                <w:sz w:val="18"/>
                <w:szCs w:val="18"/>
              </w:rPr>
              <w:t>Argentina</w:t>
            </w:r>
          </w:p>
        </w:tc>
        <w:tc>
          <w:tcPr>
            <w:tcW w:w="3117" w:type="dxa"/>
            <w:vAlign w:val="center"/>
          </w:tcPr>
          <w:p w14:paraId="599988DB" w14:textId="3033F893" w:rsidR="00EE7988" w:rsidRPr="0037143E" w:rsidRDefault="00EE7988" w:rsidP="0037143E">
            <w:pPr>
              <w:pStyle w:val="Style2"/>
              <w:rPr>
                <w:b w:val="0"/>
                <w:bCs w:val="0"/>
                <w:sz w:val="18"/>
                <w:szCs w:val="18"/>
              </w:rPr>
            </w:pPr>
            <w:r w:rsidRPr="0037143E">
              <w:rPr>
                <w:b w:val="0"/>
                <w:bCs w:val="0"/>
                <w:sz w:val="18"/>
                <w:szCs w:val="18"/>
              </w:rPr>
              <w:t>631.6</w:t>
            </w:r>
          </w:p>
        </w:tc>
        <w:tc>
          <w:tcPr>
            <w:tcW w:w="3117" w:type="dxa"/>
            <w:vAlign w:val="center"/>
          </w:tcPr>
          <w:p w14:paraId="72242FDE" w14:textId="5F1F7E75" w:rsidR="00EE7988" w:rsidRPr="0037143E" w:rsidRDefault="00EE7988" w:rsidP="0037143E">
            <w:pPr>
              <w:pStyle w:val="Style2"/>
              <w:rPr>
                <w:b w:val="0"/>
                <w:bCs w:val="0"/>
                <w:sz w:val="18"/>
                <w:szCs w:val="18"/>
              </w:rPr>
            </w:pPr>
            <w:r w:rsidRPr="0037143E">
              <w:rPr>
                <w:b w:val="0"/>
                <w:bCs w:val="0"/>
                <w:sz w:val="18"/>
                <w:szCs w:val="18"/>
              </w:rPr>
              <w:t>0.409</w:t>
            </w:r>
          </w:p>
        </w:tc>
      </w:tr>
      <w:tr w:rsidR="00EE7988" w:rsidRPr="001D54D1" w14:paraId="08FF2D2F" w14:textId="77777777" w:rsidTr="00F35942">
        <w:trPr>
          <w:trHeight w:hRule="exact" w:val="360"/>
        </w:trPr>
        <w:tc>
          <w:tcPr>
            <w:tcW w:w="3116" w:type="dxa"/>
            <w:vAlign w:val="center"/>
          </w:tcPr>
          <w:p w14:paraId="3E194490" w14:textId="6CCDE2D7" w:rsidR="00EE7988" w:rsidRPr="0037143E" w:rsidRDefault="00EE7988" w:rsidP="0037143E">
            <w:pPr>
              <w:pStyle w:val="Style2"/>
              <w:rPr>
                <w:b w:val="0"/>
                <w:bCs w:val="0"/>
                <w:sz w:val="18"/>
                <w:szCs w:val="18"/>
              </w:rPr>
            </w:pPr>
            <w:r w:rsidRPr="0037143E">
              <w:rPr>
                <w:b w:val="0"/>
                <w:bCs w:val="0"/>
                <w:sz w:val="18"/>
                <w:szCs w:val="18"/>
              </w:rPr>
              <w:t>Brazil</w:t>
            </w:r>
          </w:p>
        </w:tc>
        <w:tc>
          <w:tcPr>
            <w:tcW w:w="3117" w:type="dxa"/>
            <w:vAlign w:val="center"/>
          </w:tcPr>
          <w:p w14:paraId="6A681975" w14:textId="3AF7C239" w:rsidR="00EE7988" w:rsidRPr="0037143E" w:rsidRDefault="00EE7988" w:rsidP="0037143E">
            <w:pPr>
              <w:pStyle w:val="Style2"/>
              <w:rPr>
                <w:b w:val="0"/>
                <w:bCs w:val="0"/>
                <w:sz w:val="18"/>
                <w:szCs w:val="18"/>
              </w:rPr>
            </w:pPr>
            <w:r w:rsidRPr="0037143E">
              <w:rPr>
                <w:b w:val="0"/>
                <w:bCs w:val="0"/>
                <w:sz w:val="18"/>
                <w:szCs w:val="18"/>
              </w:rPr>
              <w:t>282.0</w:t>
            </w:r>
          </w:p>
        </w:tc>
        <w:tc>
          <w:tcPr>
            <w:tcW w:w="3117" w:type="dxa"/>
            <w:vAlign w:val="center"/>
          </w:tcPr>
          <w:p w14:paraId="36A592D8" w14:textId="1515C04D" w:rsidR="00EE7988" w:rsidRPr="0037143E" w:rsidRDefault="00EE7988" w:rsidP="0037143E">
            <w:pPr>
              <w:pStyle w:val="Style2"/>
              <w:rPr>
                <w:b w:val="0"/>
                <w:bCs w:val="0"/>
                <w:sz w:val="18"/>
                <w:szCs w:val="18"/>
              </w:rPr>
            </w:pPr>
            <w:r w:rsidRPr="0037143E">
              <w:rPr>
                <w:b w:val="0"/>
                <w:bCs w:val="0"/>
                <w:sz w:val="18"/>
                <w:szCs w:val="18"/>
              </w:rPr>
              <w:t>0.280</w:t>
            </w:r>
          </w:p>
        </w:tc>
      </w:tr>
      <w:tr w:rsidR="00EE7988" w:rsidRPr="001D54D1" w14:paraId="3899FC23" w14:textId="77777777" w:rsidTr="00F35942">
        <w:trPr>
          <w:trHeight w:hRule="exact" w:val="360"/>
        </w:trPr>
        <w:tc>
          <w:tcPr>
            <w:tcW w:w="3116" w:type="dxa"/>
            <w:vAlign w:val="center"/>
          </w:tcPr>
          <w:p w14:paraId="407506D7" w14:textId="67E520EC" w:rsidR="00EE7988" w:rsidRPr="0037143E" w:rsidRDefault="00EE7988" w:rsidP="0037143E">
            <w:pPr>
              <w:pStyle w:val="Style2"/>
              <w:rPr>
                <w:b w:val="0"/>
                <w:bCs w:val="0"/>
                <w:sz w:val="18"/>
                <w:szCs w:val="18"/>
              </w:rPr>
            </w:pPr>
            <w:r w:rsidRPr="0037143E">
              <w:rPr>
                <w:b w:val="0"/>
                <w:bCs w:val="0"/>
                <w:sz w:val="18"/>
                <w:szCs w:val="18"/>
              </w:rPr>
              <w:t>Chile</w:t>
            </w:r>
          </w:p>
        </w:tc>
        <w:tc>
          <w:tcPr>
            <w:tcW w:w="3117" w:type="dxa"/>
            <w:vAlign w:val="center"/>
          </w:tcPr>
          <w:p w14:paraId="64944ABB" w14:textId="4350864B" w:rsidR="00EE7988" w:rsidRPr="0037143E" w:rsidRDefault="00EE7988" w:rsidP="0037143E">
            <w:pPr>
              <w:pStyle w:val="Style2"/>
              <w:rPr>
                <w:b w:val="0"/>
                <w:bCs w:val="0"/>
                <w:sz w:val="18"/>
                <w:szCs w:val="18"/>
              </w:rPr>
            </w:pPr>
            <w:r w:rsidRPr="0037143E">
              <w:rPr>
                <w:b w:val="0"/>
                <w:bCs w:val="0"/>
                <w:sz w:val="18"/>
                <w:szCs w:val="18"/>
              </w:rPr>
              <w:t>25.2</w:t>
            </w:r>
          </w:p>
        </w:tc>
        <w:tc>
          <w:tcPr>
            <w:tcW w:w="3117" w:type="dxa"/>
            <w:vAlign w:val="center"/>
          </w:tcPr>
          <w:p w14:paraId="2803E5F7" w14:textId="4D283140" w:rsidR="00EE7988" w:rsidRPr="0037143E" w:rsidRDefault="00EE7988" w:rsidP="0037143E">
            <w:pPr>
              <w:pStyle w:val="Style2"/>
              <w:rPr>
                <w:b w:val="0"/>
                <w:bCs w:val="0"/>
                <w:sz w:val="18"/>
                <w:szCs w:val="18"/>
              </w:rPr>
            </w:pPr>
            <w:r w:rsidRPr="0037143E">
              <w:rPr>
                <w:b w:val="0"/>
                <w:bCs w:val="0"/>
                <w:sz w:val="18"/>
                <w:szCs w:val="18"/>
              </w:rPr>
              <w:t>0.481*</w:t>
            </w:r>
          </w:p>
        </w:tc>
      </w:tr>
      <w:tr w:rsidR="00EE7988" w:rsidRPr="001D54D1" w14:paraId="3EA7FD1F" w14:textId="77777777" w:rsidTr="00F35942">
        <w:trPr>
          <w:trHeight w:hRule="exact" w:val="360"/>
        </w:trPr>
        <w:tc>
          <w:tcPr>
            <w:tcW w:w="3116" w:type="dxa"/>
            <w:vAlign w:val="center"/>
          </w:tcPr>
          <w:p w14:paraId="066AA887" w14:textId="178217FB" w:rsidR="00EE7988" w:rsidRPr="0037143E" w:rsidRDefault="00EE7988" w:rsidP="0037143E">
            <w:pPr>
              <w:pStyle w:val="Style2"/>
              <w:rPr>
                <w:b w:val="0"/>
                <w:bCs w:val="0"/>
                <w:sz w:val="18"/>
                <w:szCs w:val="18"/>
              </w:rPr>
            </w:pPr>
            <w:r w:rsidRPr="0037143E">
              <w:rPr>
                <w:b w:val="0"/>
                <w:bCs w:val="0"/>
                <w:sz w:val="18"/>
                <w:szCs w:val="18"/>
              </w:rPr>
              <w:t>Paraguay</w:t>
            </w:r>
          </w:p>
        </w:tc>
        <w:tc>
          <w:tcPr>
            <w:tcW w:w="3117" w:type="dxa"/>
            <w:vAlign w:val="center"/>
          </w:tcPr>
          <w:p w14:paraId="44D00667" w14:textId="1EC254AE" w:rsidR="00EE7988" w:rsidRPr="0037143E" w:rsidRDefault="00EE7988" w:rsidP="0037143E">
            <w:pPr>
              <w:pStyle w:val="Style2"/>
              <w:rPr>
                <w:b w:val="0"/>
                <w:bCs w:val="0"/>
                <w:sz w:val="18"/>
                <w:szCs w:val="18"/>
              </w:rPr>
            </w:pPr>
            <w:r w:rsidRPr="0037143E">
              <w:rPr>
                <w:b w:val="0"/>
                <w:bCs w:val="0"/>
                <w:sz w:val="18"/>
                <w:szCs w:val="18"/>
              </w:rPr>
              <w:t>80.3</w:t>
            </w:r>
          </w:p>
        </w:tc>
        <w:tc>
          <w:tcPr>
            <w:tcW w:w="3117" w:type="dxa"/>
            <w:vAlign w:val="center"/>
          </w:tcPr>
          <w:p w14:paraId="7B928291" w14:textId="0569C5E8" w:rsidR="00EE7988" w:rsidRPr="0037143E" w:rsidRDefault="00EE7988" w:rsidP="0037143E">
            <w:pPr>
              <w:pStyle w:val="Style2"/>
              <w:rPr>
                <w:b w:val="0"/>
                <w:bCs w:val="0"/>
                <w:sz w:val="18"/>
                <w:szCs w:val="18"/>
              </w:rPr>
            </w:pPr>
            <w:r w:rsidRPr="0037143E">
              <w:rPr>
                <w:b w:val="0"/>
                <w:bCs w:val="0"/>
                <w:sz w:val="18"/>
                <w:szCs w:val="18"/>
              </w:rPr>
              <w:t>0.344</w:t>
            </w:r>
          </w:p>
        </w:tc>
      </w:tr>
      <w:tr w:rsidR="00EE7988" w:rsidRPr="001D54D1" w14:paraId="5C029C2F" w14:textId="77777777" w:rsidTr="00F35942">
        <w:trPr>
          <w:trHeight w:hRule="exact" w:val="360"/>
        </w:trPr>
        <w:tc>
          <w:tcPr>
            <w:tcW w:w="3116" w:type="dxa"/>
            <w:vAlign w:val="center"/>
          </w:tcPr>
          <w:p w14:paraId="4DA65F42" w14:textId="56446688" w:rsidR="00EE7988" w:rsidRPr="0037143E" w:rsidRDefault="00EE7988" w:rsidP="0037143E">
            <w:pPr>
              <w:pStyle w:val="Style2"/>
              <w:rPr>
                <w:b w:val="0"/>
                <w:bCs w:val="0"/>
                <w:sz w:val="18"/>
                <w:szCs w:val="18"/>
              </w:rPr>
            </w:pPr>
            <w:r w:rsidRPr="0037143E">
              <w:rPr>
                <w:b w:val="0"/>
                <w:bCs w:val="0"/>
                <w:sz w:val="18"/>
                <w:szCs w:val="18"/>
              </w:rPr>
              <w:t>Uruguay</w:t>
            </w:r>
          </w:p>
        </w:tc>
        <w:tc>
          <w:tcPr>
            <w:tcW w:w="3117" w:type="dxa"/>
            <w:vAlign w:val="center"/>
          </w:tcPr>
          <w:p w14:paraId="02A14E62" w14:textId="395D0E07" w:rsidR="00EE7988" w:rsidRPr="0037143E" w:rsidRDefault="00EE7988" w:rsidP="0037143E">
            <w:pPr>
              <w:pStyle w:val="Style2"/>
              <w:rPr>
                <w:b w:val="0"/>
                <w:bCs w:val="0"/>
                <w:sz w:val="18"/>
                <w:szCs w:val="18"/>
              </w:rPr>
            </w:pPr>
            <w:r w:rsidRPr="0037143E">
              <w:rPr>
                <w:b w:val="0"/>
                <w:bCs w:val="0"/>
                <w:sz w:val="18"/>
                <w:szCs w:val="18"/>
              </w:rPr>
              <w:t>102.6</w:t>
            </w:r>
          </w:p>
        </w:tc>
        <w:tc>
          <w:tcPr>
            <w:tcW w:w="3117" w:type="dxa"/>
            <w:vAlign w:val="center"/>
          </w:tcPr>
          <w:p w14:paraId="0148AC32" w14:textId="2B0337B2" w:rsidR="00EE7988" w:rsidRPr="0037143E" w:rsidRDefault="00EE7988" w:rsidP="0037143E">
            <w:pPr>
              <w:pStyle w:val="Style2"/>
              <w:rPr>
                <w:b w:val="0"/>
                <w:bCs w:val="0"/>
                <w:sz w:val="18"/>
                <w:szCs w:val="18"/>
              </w:rPr>
            </w:pPr>
            <w:r w:rsidRPr="0037143E">
              <w:rPr>
                <w:b w:val="0"/>
                <w:bCs w:val="0"/>
                <w:sz w:val="18"/>
                <w:szCs w:val="18"/>
              </w:rPr>
              <w:t>0.300</w:t>
            </w:r>
          </w:p>
        </w:tc>
      </w:tr>
      <w:tr w:rsidR="00EE7988" w:rsidRPr="001D54D1" w14:paraId="74D8D4F0" w14:textId="77777777" w:rsidTr="00F35942">
        <w:trPr>
          <w:trHeight w:hRule="exact" w:val="360"/>
        </w:trPr>
        <w:tc>
          <w:tcPr>
            <w:tcW w:w="9350" w:type="dxa"/>
            <w:gridSpan w:val="3"/>
            <w:shd w:val="clear" w:color="auto" w:fill="F2F2F2" w:themeFill="background1" w:themeFillShade="F2"/>
            <w:vAlign w:val="center"/>
          </w:tcPr>
          <w:p w14:paraId="6B2E9361" w14:textId="77777777" w:rsidR="00EE7988" w:rsidRPr="001D54D1" w:rsidRDefault="00EE7988" w:rsidP="0037143E">
            <w:pPr>
              <w:pStyle w:val="Style2"/>
              <w:rPr>
                <w:sz w:val="18"/>
                <w:szCs w:val="18"/>
              </w:rPr>
            </w:pPr>
            <w:r w:rsidRPr="00EE7988">
              <w:t>Solar PV</w:t>
            </w:r>
          </w:p>
        </w:tc>
      </w:tr>
      <w:tr w:rsidR="00EE7988" w:rsidRPr="00EE7988" w14:paraId="1A7FBB6C" w14:textId="77777777" w:rsidTr="00F35942">
        <w:trPr>
          <w:trHeight w:hRule="exact" w:val="360"/>
        </w:trPr>
        <w:tc>
          <w:tcPr>
            <w:tcW w:w="3116" w:type="dxa"/>
            <w:vAlign w:val="center"/>
          </w:tcPr>
          <w:p w14:paraId="3D6E0030" w14:textId="4F8A8CAF" w:rsidR="00EE7988" w:rsidRPr="0037143E" w:rsidRDefault="00EE7988" w:rsidP="0037143E">
            <w:pPr>
              <w:pStyle w:val="Style2"/>
              <w:rPr>
                <w:b w:val="0"/>
                <w:bCs w:val="0"/>
                <w:sz w:val="18"/>
                <w:szCs w:val="18"/>
              </w:rPr>
            </w:pPr>
            <w:r w:rsidRPr="0037143E">
              <w:rPr>
                <w:b w:val="0"/>
                <w:bCs w:val="0"/>
                <w:sz w:val="18"/>
                <w:szCs w:val="18"/>
              </w:rPr>
              <w:t>Country</w:t>
            </w:r>
          </w:p>
        </w:tc>
        <w:tc>
          <w:tcPr>
            <w:tcW w:w="3117" w:type="dxa"/>
            <w:vAlign w:val="center"/>
          </w:tcPr>
          <w:p w14:paraId="4009F4CC" w14:textId="796F22B5" w:rsidR="00EE7988" w:rsidRPr="0037143E" w:rsidRDefault="00EE7988" w:rsidP="0037143E">
            <w:pPr>
              <w:pStyle w:val="Style2"/>
              <w:rPr>
                <w:b w:val="0"/>
                <w:bCs w:val="0"/>
                <w:sz w:val="18"/>
                <w:szCs w:val="18"/>
              </w:rPr>
            </w:pPr>
            <w:r w:rsidRPr="0037143E">
              <w:rPr>
                <w:b w:val="0"/>
                <w:bCs w:val="0"/>
                <w:sz w:val="18"/>
                <w:szCs w:val="18"/>
              </w:rPr>
              <w:t>Total Potential (GW)</w:t>
            </w:r>
          </w:p>
        </w:tc>
        <w:tc>
          <w:tcPr>
            <w:tcW w:w="3117" w:type="dxa"/>
            <w:vAlign w:val="center"/>
          </w:tcPr>
          <w:p w14:paraId="59011B43" w14:textId="2DFA11ED" w:rsidR="00EE7988" w:rsidRPr="0037143E" w:rsidRDefault="00EE7988" w:rsidP="0037143E">
            <w:pPr>
              <w:pStyle w:val="Style2"/>
              <w:rPr>
                <w:b w:val="0"/>
                <w:bCs w:val="0"/>
                <w:sz w:val="18"/>
                <w:szCs w:val="18"/>
              </w:rPr>
            </w:pPr>
            <w:r w:rsidRPr="0037143E">
              <w:rPr>
                <w:b w:val="0"/>
                <w:bCs w:val="0"/>
                <w:sz w:val="18"/>
                <w:szCs w:val="18"/>
              </w:rPr>
              <w:t>Mean Annual Capacity Factor</w:t>
            </w:r>
          </w:p>
        </w:tc>
      </w:tr>
      <w:tr w:rsidR="00EE7988" w:rsidRPr="001D54D1" w14:paraId="4989A3D7" w14:textId="77777777" w:rsidTr="00F35942">
        <w:trPr>
          <w:trHeight w:hRule="exact" w:val="360"/>
        </w:trPr>
        <w:tc>
          <w:tcPr>
            <w:tcW w:w="3116" w:type="dxa"/>
            <w:vAlign w:val="center"/>
          </w:tcPr>
          <w:p w14:paraId="3145EF28" w14:textId="100A8FA6" w:rsidR="00EE7988" w:rsidRPr="0037143E" w:rsidRDefault="00EE7988" w:rsidP="0037143E">
            <w:pPr>
              <w:pStyle w:val="Style2"/>
              <w:rPr>
                <w:b w:val="0"/>
                <w:bCs w:val="0"/>
                <w:sz w:val="18"/>
                <w:szCs w:val="18"/>
              </w:rPr>
            </w:pPr>
            <w:r w:rsidRPr="0037143E">
              <w:rPr>
                <w:b w:val="0"/>
                <w:bCs w:val="0"/>
                <w:sz w:val="18"/>
                <w:szCs w:val="18"/>
              </w:rPr>
              <w:t>Argentina</w:t>
            </w:r>
          </w:p>
        </w:tc>
        <w:tc>
          <w:tcPr>
            <w:tcW w:w="3117" w:type="dxa"/>
            <w:vAlign w:val="center"/>
          </w:tcPr>
          <w:p w14:paraId="62F4B1F6" w14:textId="204CBAA9" w:rsidR="00EE7988" w:rsidRPr="0037143E" w:rsidRDefault="00EE7988" w:rsidP="0037143E">
            <w:pPr>
              <w:pStyle w:val="Style2"/>
              <w:rPr>
                <w:b w:val="0"/>
                <w:bCs w:val="0"/>
                <w:sz w:val="18"/>
                <w:szCs w:val="18"/>
              </w:rPr>
            </w:pPr>
            <w:r w:rsidRPr="0037143E">
              <w:rPr>
                <w:b w:val="0"/>
                <w:bCs w:val="0"/>
                <w:sz w:val="18"/>
                <w:szCs w:val="18"/>
              </w:rPr>
              <w:t>68.6</w:t>
            </w:r>
          </w:p>
        </w:tc>
        <w:tc>
          <w:tcPr>
            <w:tcW w:w="3117" w:type="dxa"/>
            <w:vAlign w:val="center"/>
          </w:tcPr>
          <w:p w14:paraId="605C21CD" w14:textId="63FF883E" w:rsidR="00EE7988" w:rsidRPr="0037143E" w:rsidRDefault="00EE7988" w:rsidP="0037143E">
            <w:pPr>
              <w:pStyle w:val="Style2"/>
              <w:rPr>
                <w:b w:val="0"/>
                <w:bCs w:val="0"/>
                <w:sz w:val="18"/>
                <w:szCs w:val="18"/>
              </w:rPr>
            </w:pPr>
            <w:r w:rsidRPr="0037143E">
              <w:rPr>
                <w:b w:val="0"/>
                <w:bCs w:val="0"/>
                <w:sz w:val="18"/>
                <w:szCs w:val="18"/>
              </w:rPr>
              <w:t>0.251</w:t>
            </w:r>
          </w:p>
        </w:tc>
      </w:tr>
      <w:tr w:rsidR="00EE7988" w:rsidRPr="001D54D1" w14:paraId="2C72021E" w14:textId="77777777" w:rsidTr="00F35942">
        <w:trPr>
          <w:trHeight w:hRule="exact" w:val="360"/>
        </w:trPr>
        <w:tc>
          <w:tcPr>
            <w:tcW w:w="3116" w:type="dxa"/>
            <w:vAlign w:val="center"/>
          </w:tcPr>
          <w:p w14:paraId="405F5E4D" w14:textId="5F7352DA" w:rsidR="00EE7988" w:rsidRPr="0037143E" w:rsidRDefault="00EE7988" w:rsidP="0037143E">
            <w:pPr>
              <w:pStyle w:val="Style2"/>
              <w:rPr>
                <w:b w:val="0"/>
                <w:bCs w:val="0"/>
                <w:sz w:val="18"/>
                <w:szCs w:val="18"/>
              </w:rPr>
            </w:pPr>
            <w:r w:rsidRPr="0037143E">
              <w:rPr>
                <w:b w:val="0"/>
                <w:bCs w:val="0"/>
                <w:sz w:val="18"/>
                <w:szCs w:val="18"/>
              </w:rPr>
              <w:t>Brazil</w:t>
            </w:r>
          </w:p>
        </w:tc>
        <w:tc>
          <w:tcPr>
            <w:tcW w:w="3117" w:type="dxa"/>
            <w:vAlign w:val="center"/>
          </w:tcPr>
          <w:p w14:paraId="25B178BB" w14:textId="0073520C" w:rsidR="00EE7988" w:rsidRPr="0037143E" w:rsidRDefault="00EE7988" w:rsidP="0037143E">
            <w:pPr>
              <w:pStyle w:val="Style2"/>
              <w:rPr>
                <w:b w:val="0"/>
                <w:bCs w:val="0"/>
                <w:sz w:val="18"/>
                <w:szCs w:val="18"/>
              </w:rPr>
            </w:pPr>
            <w:r w:rsidRPr="0037143E">
              <w:rPr>
                <w:b w:val="0"/>
                <w:bCs w:val="0"/>
                <w:sz w:val="18"/>
                <w:szCs w:val="18"/>
              </w:rPr>
              <w:t>134.7</w:t>
            </w:r>
          </w:p>
        </w:tc>
        <w:tc>
          <w:tcPr>
            <w:tcW w:w="3117" w:type="dxa"/>
            <w:vAlign w:val="center"/>
          </w:tcPr>
          <w:p w14:paraId="24715FB9" w14:textId="42FBA16F" w:rsidR="00EE7988" w:rsidRPr="0037143E" w:rsidRDefault="00EE7988" w:rsidP="0037143E">
            <w:pPr>
              <w:pStyle w:val="Style2"/>
              <w:rPr>
                <w:b w:val="0"/>
                <w:bCs w:val="0"/>
                <w:sz w:val="18"/>
                <w:szCs w:val="18"/>
              </w:rPr>
            </w:pPr>
            <w:r w:rsidRPr="0037143E">
              <w:rPr>
                <w:b w:val="0"/>
                <w:bCs w:val="0"/>
                <w:sz w:val="18"/>
                <w:szCs w:val="18"/>
              </w:rPr>
              <w:t>0.219</w:t>
            </w:r>
          </w:p>
        </w:tc>
      </w:tr>
      <w:tr w:rsidR="00EE7988" w:rsidRPr="001D54D1" w14:paraId="54B75A57" w14:textId="77777777" w:rsidTr="00F35942">
        <w:trPr>
          <w:trHeight w:hRule="exact" w:val="360"/>
        </w:trPr>
        <w:tc>
          <w:tcPr>
            <w:tcW w:w="3116" w:type="dxa"/>
            <w:vAlign w:val="center"/>
          </w:tcPr>
          <w:p w14:paraId="2CC7FE6F" w14:textId="4EAB93F1" w:rsidR="00EE7988" w:rsidRPr="0037143E" w:rsidRDefault="00EE7988" w:rsidP="0037143E">
            <w:pPr>
              <w:pStyle w:val="Style2"/>
              <w:rPr>
                <w:b w:val="0"/>
                <w:bCs w:val="0"/>
                <w:sz w:val="18"/>
                <w:szCs w:val="18"/>
              </w:rPr>
            </w:pPr>
            <w:r w:rsidRPr="0037143E">
              <w:rPr>
                <w:b w:val="0"/>
                <w:bCs w:val="0"/>
                <w:sz w:val="18"/>
                <w:szCs w:val="18"/>
              </w:rPr>
              <w:t>Chile</w:t>
            </w:r>
          </w:p>
        </w:tc>
        <w:tc>
          <w:tcPr>
            <w:tcW w:w="3117" w:type="dxa"/>
            <w:vAlign w:val="center"/>
          </w:tcPr>
          <w:p w14:paraId="0F78B162" w14:textId="5F2E8417" w:rsidR="00EE7988" w:rsidRPr="0037143E" w:rsidRDefault="00EE7988" w:rsidP="0037143E">
            <w:pPr>
              <w:pStyle w:val="Style2"/>
              <w:rPr>
                <w:b w:val="0"/>
                <w:bCs w:val="0"/>
                <w:sz w:val="18"/>
                <w:szCs w:val="18"/>
              </w:rPr>
            </w:pPr>
            <w:r w:rsidRPr="0037143E">
              <w:rPr>
                <w:b w:val="0"/>
                <w:bCs w:val="0"/>
                <w:sz w:val="18"/>
                <w:szCs w:val="18"/>
              </w:rPr>
              <w:t>94.1</w:t>
            </w:r>
          </w:p>
        </w:tc>
        <w:tc>
          <w:tcPr>
            <w:tcW w:w="3117" w:type="dxa"/>
            <w:vAlign w:val="center"/>
          </w:tcPr>
          <w:p w14:paraId="2439B3E7" w14:textId="6EB6BC7E" w:rsidR="00EE7988" w:rsidRPr="0037143E" w:rsidRDefault="00EE7988" w:rsidP="0037143E">
            <w:pPr>
              <w:pStyle w:val="Style2"/>
              <w:rPr>
                <w:b w:val="0"/>
                <w:bCs w:val="0"/>
                <w:sz w:val="18"/>
                <w:szCs w:val="18"/>
              </w:rPr>
            </w:pPr>
            <w:r w:rsidRPr="0037143E">
              <w:rPr>
                <w:b w:val="0"/>
                <w:bCs w:val="0"/>
                <w:sz w:val="18"/>
                <w:szCs w:val="18"/>
              </w:rPr>
              <w:t>0.286</w:t>
            </w:r>
          </w:p>
        </w:tc>
      </w:tr>
      <w:tr w:rsidR="00EE7988" w:rsidRPr="001D54D1" w14:paraId="7209FBBF" w14:textId="77777777" w:rsidTr="00F35942">
        <w:trPr>
          <w:trHeight w:hRule="exact" w:val="360"/>
        </w:trPr>
        <w:tc>
          <w:tcPr>
            <w:tcW w:w="3116" w:type="dxa"/>
            <w:vAlign w:val="center"/>
          </w:tcPr>
          <w:p w14:paraId="1911A901" w14:textId="47A9ED3A" w:rsidR="00EE7988" w:rsidRPr="0037143E" w:rsidRDefault="00EE7988" w:rsidP="0037143E">
            <w:pPr>
              <w:pStyle w:val="Style2"/>
              <w:rPr>
                <w:b w:val="0"/>
                <w:bCs w:val="0"/>
                <w:sz w:val="18"/>
                <w:szCs w:val="18"/>
              </w:rPr>
            </w:pPr>
            <w:r w:rsidRPr="0037143E">
              <w:rPr>
                <w:b w:val="0"/>
                <w:bCs w:val="0"/>
                <w:sz w:val="18"/>
                <w:szCs w:val="18"/>
              </w:rPr>
              <w:t>Paraguay</w:t>
            </w:r>
          </w:p>
        </w:tc>
        <w:tc>
          <w:tcPr>
            <w:tcW w:w="3117" w:type="dxa"/>
            <w:vAlign w:val="center"/>
          </w:tcPr>
          <w:p w14:paraId="558D4655" w14:textId="2D5390CE" w:rsidR="00EE7988" w:rsidRPr="0037143E" w:rsidRDefault="00EE7988" w:rsidP="0037143E">
            <w:pPr>
              <w:pStyle w:val="Style2"/>
              <w:rPr>
                <w:b w:val="0"/>
                <w:bCs w:val="0"/>
                <w:sz w:val="18"/>
                <w:szCs w:val="18"/>
              </w:rPr>
            </w:pPr>
            <w:r w:rsidRPr="0037143E">
              <w:rPr>
                <w:b w:val="0"/>
                <w:bCs w:val="0"/>
                <w:sz w:val="18"/>
                <w:szCs w:val="18"/>
              </w:rPr>
              <w:t>11.4</w:t>
            </w:r>
          </w:p>
        </w:tc>
        <w:tc>
          <w:tcPr>
            <w:tcW w:w="3117" w:type="dxa"/>
            <w:vAlign w:val="center"/>
          </w:tcPr>
          <w:p w14:paraId="27D002D9" w14:textId="2C4808EC" w:rsidR="00EE7988" w:rsidRPr="0037143E" w:rsidRDefault="00EE7988" w:rsidP="0037143E">
            <w:pPr>
              <w:pStyle w:val="Style2"/>
              <w:rPr>
                <w:b w:val="0"/>
                <w:bCs w:val="0"/>
                <w:sz w:val="18"/>
                <w:szCs w:val="18"/>
              </w:rPr>
            </w:pPr>
            <w:r w:rsidRPr="0037143E">
              <w:rPr>
                <w:b w:val="0"/>
                <w:bCs w:val="0"/>
                <w:sz w:val="18"/>
                <w:szCs w:val="18"/>
              </w:rPr>
              <w:t>0.211</w:t>
            </w:r>
          </w:p>
        </w:tc>
      </w:tr>
      <w:tr w:rsidR="00EE7988" w:rsidRPr="001D54D1" w14:paraId="577AEAB0" w14:textId="77777777" w:rsidTr="00F35942">
        <w:trPr>
          <w:trHeight w:hRule="exact" w:val="360"/>
        </w:trPr>
        <w:tc>
          <w:tcPr>
            <w:tcW w:w="3116" w:type="dxa"/>
            <w:vAlign w:val="center"/>
          </w:tcPr>
          <w:p w14:paraId="040BC214" w14:textId="0BC3390C" w:rsidR="00EE7988" w:rsidRPr="0037143E" w:rsidRDefault="00EE7988" w:rsidP="0037143E">
            <w:pPr>
              <w:pStyle w:val="Style2"/>
              <w:rPr>
                <w:b w:val="0"/>
                <w:bCs w:val="0"/>
                <w:sz w:val="18"/>
                <w:szCs w:val="18"/>
              </w:rPr>
            </w:pPr>
            <w:r w:rsidRPr="0037143E">
              <w:rPr>
                <w:b w:val="0"/>
                <w:bCs w:val="0"/>
                <w:sz w:val="18"/>
                <w:szCs w:val="18"/>
              </w:rPr>
              <w:t>Uruguay</w:t>
            </w:r>
          </w:p>
        </w:tc>
        <w:tc>
          <w:tcPr>
            <w:tcW w:w="3117" w:type="dxa"/>
            <w:vAlign w:val="center"/>
          </w:tcPr>
          <w:p w14:paraId="52213E20" w14:textId="7AF2840C" w:rsidR="00EE7988" w:rsidRPr="0037143E" w:rsidRDefault="00EE7988" w:rsidP="0037143E">
            <w:pPr>
              <w:pStyle w:val="Style2"/>
              <w:rPr>
                <w:b w:val="0"/>
                <w:bCs w:val="0"/>
                <w:sz w:val="18"/>
                <w:szCs w:val="18"/>
              </w:rPr>
            </w:pPr>
            <w:r w:rsidRPr="0037143E">
              <w:rPr>
                <w:b w:val="0"/>
                <w:bCs w:val="0"/>
                <w:sz w:val="18"/>
                <w:szCs w:val="18"/>
              </w:rPr>
              <w:t>8.1</w:t>
            </w:r>
          </w:p>
        </w:tc>
        <w:tc>
          <w:tcPr>
            <w:tcW w:w="3117" w:type="dxa"/>
            <w:vAlign w:val="center"/>
          </w:tcPr>
          <w:p w14:paraId="605928B1" w14:textId="32C79921" w:rsidR="00EE7988" w:rsidRPr="0037143E" w:rsidRDefault="00EE7988" w:rsidP="0037143E">
            <w:pPr>
              <w:pStyle w:val="Style2"/>
              <w:rPr>
                <w:b w:val="0"/>
                <w:bCs w:val="0"/>
                <w:sz w:val="18"/>
                <w:szCs w:val="18"/>
              </w:rPr>
            </w:pPr>
            <w:r w:rsidRPr="0037143E">
              <w:rPr>
                <w:b w:val="0"/>
                <w:bCs w:val="0"/>
                <w:sz w:val="18"/>
                <w:szCs w:val="18"/>
              </w:rPr>
              <w:t>0.220</w:t>
            </w:r>
          </w:p>
        </w:tc>
      </w:tr>
    </w:tbl>
    <w:p w14:paraId="7F479064" w14:textId="0BA463BE" w:rsidR="00820FBB" w:rsidRPr="009F5BA2" w:rsidRDefault="00FF6143" w:rsidP="006258A9">
      <w:pPr>
        <w:pStyle w:val="Style3"/>
      </w:pPr>
      <w:r>
        <w:t>*</w:t>
      </w:r>
      <w:r w:rsidR="00237128">
        <w:t>C</w:t>
      </w:r>
      <w:r w:rsidR="00820FBB">
        <w:t xml:space="preserve">apacity factor due to </w:t>
      </w:r>
      <w:r w:rsidR="006A4DD9">
        <w:t xml:space="preserve">sites </w:t>
      </w:r>
      <w:r>
        <w:t>in remote far south.</w:t>
      </w:r>
      <w:r w:rsidR="00B57C8F">
        <w:t xml:space="preserve"> </w:t>
      </w:r>
      <w:r w:rsidR="00820FBB">
        <w:t>V</w:t>
      </w:r>
      <w:r w:rsidR="00B57C8F">
        <w:t xml:space="preserve">alues </w:t>
      </w:r>
      <w:r w:rsidR="006656E8">
        <w:t xml:space="preserve">are </w:t>
      </w:r>
      <w:r w:rsidR="00CA0E6A">
        <w:t xml:space="preserve">only </w:t>
      </w:r>
      <w:r w:rsidR="00820FBB">
        <w:t>represent</w:t>
      </w:r>
      <w:r w:rsidR="00CA0E6A">
        <w:t>ative</w:t>
      </w:r>
      <w:r w:rsidR="00820FBB">
        <w:t xml:space="preserve"> </w:t>
      </w:r>
      <w:r w:rsidR="00CA0E6A">
        <w:t>of</w:t>
      </w:r>
      <w:r w:rsidR="00B57C8F">
        <w:t xml:space="preserve"> sites in the model</w:t>
      </w:r>
      <w:r w:rsidR="00820FBB">
        <w:t>.</w:t>
      </w:r>
      <w:bookmarkStart w:id="41" w:name="_Ref165554301"/>
      <w:r w:rsidR="009F5BA2">
        <w:br w:type="page"/>
      </w:r>
    </w:p>
    <w:p w14:paraId="7084FFC0" w14:textId="3EEEFE67" w:rsidR="00FB7F6F" w:rsidRDefault="00FB7F6F" w:rsidP="00BB5885">
      <w:pPr>
        <w:pStyle w:val="Appendix"/>
        <w:numPr>
          <w:ilvl w:val="0"/>
          <w:numId w:val="0"/>
        </w:numPr>
        <w:ind w:left="1800" w:hanging="1800"/>
      </w:pPr>
      <w:bookmarkStart w:id="42" w:name="_Toc176883504"/>
      <w:bookmarkStart w:id="43" w:name="_Toc180052171"/>
      <w:bookmarkStart w:id="44" w:name="_Toc194577044"/>
      <w:bookmarkEnd w:id="41"/>
      <w:r>
        <w:lastRenderedPageBreak/>
        <w:t>Supplemental Figures</w:t>
      </w:r>
      <w:bookmarkEnd w:id="42"/>
      <w:bookmarkEnd w:id="43"/>
      <w:bookmarkEnd w:id="44"/>
    </w:p>
    <w:p w14:paraId="200BF6A7" w14:textId="04C3AC48" w:rsidR="00FB7F6F" w:rsidRDefault="00FB7F6F" w:rsidP="00FB7F6F">
      <w:pPr>
        <w:pStyle w:val="Figure"/>
      </w:pPr>
      <w:r>
        <w:drawing>
          <wp:inline distT="0" distB="0" distL="0" distR="0" wp14:anchorId="6EDBA4C2" wp14:editId="2367933F">
            <wp:extent cx="5934710" cy="4894580"/>
            <wp:effectExtent l="0" t="0" r="8890" b="1270"/>
            <wp:docPr id="1820671330" name="Picture 1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671330" name="Picture 12" descr="A screenshot of a graph&#10;&#10;Description automatically generated"/>
                    <pic:cNvPicPr>
                      <a:picLocks noChangeAspect="1" noChangeArrowheads="1"/>
                    </pic:cNvPicPr>
                  </pic:nvPicPr>
                  <pic:blipFill>
                    <a:blip r:embed="rId15" cstate="hqprint">
                      <a:extLst>
                        <a:ext uri="{28A0092B-C50C-407E-A947-70E740481C1C}">
                          <a14:useLocalDpi xmlns:a14="http://schemas.microsoft.com/office/drawing/2010/main" val="0"/>
                        </a:ext>
                      </a:extLst>
                    </a:blip>
                    <a:srcRect/>
                    <a:stretch>
                      <a:fillRect/>
                    </a:stretch>
                  </pic:blipFill>
                  <pic:spPr bwMode="auto">
                    <a:xfrm>
                      <a:off x="0" y="0"/>
                      <a:ext cx="5934710" cy="4894580"/>
                    </a:xfrm>
                    <a:prstGeom prst="rect">
                      <a:avLst/>
                    </a:prstGeom>
                    <a:noFill/>
                    <a:ln>
                      <a:noFill/>
                    </a:ln>
                  </pic:spPr>
                </pic:pic>
              </a:graphicData>
            </a:graphic>
          </wp:inline>
        </w:drawing>
      </w:r>
    </w:p>
    <w:p w14:paraId="74DB52C5" w14:textId="77777777" w:rsidR="006258A9" w:rsidRPr="006258A9" w:rsidRDefault="00FB7F6F" w:rsidP="00FB7F6F">
      <w:pPr>
        <w:pStyle w:val="FigureCaption"/>
        <w:rPr>
          <w:noProof/>
          <w:vanish/>
          <w:specVanish/>
        </w:rPr>
      </w:pPr>
      <w:bookmarkStart w:id="45" w:name="_Ref148522395"/>
      <w:bookmarkStart w:id="46" w:name="_Toc194577054"/>
      <w:r w:rsidRPr="00FB7F6F">
        <w:t>Figure S</w:t>
      </w:r>
      <w:r w:rsidR="00FB74F5">
        <w:rPr>
          <w:noProof/>
        </w:rPr>
        <w:t>1</w:t>
      </w:r>
      <w:bookmarkEnd w:id="45"/>
      <w:bookmarkEnd w:id="46"/>
    </w:p>
    <w:p w14:paraId="0602190C" w14:textId="50C00C17" w:rsidR="00FB7F6F" w:rsidRDefault="00FB7F6F" w:rsidP="006258A9">
      <w:pPr>
        <w:pStyle w:val="Style4"/>
        <w:rPr>
          <w:b/>
          <w:bCs/>
        </w:rPr>
      </w:pPr>
      <w:r w:rsidRPr="00FB7F6F">
        <w:t>:</w:t>
      </w:r>
      <w:r>
        <w:t xml:space="preserve"> </w:t>
      </w:r>
      <w:r w:rsidRPr="00355F17">
        <w:t xml:space="preserve">New capacity requirements by </w:t>
      </w:r>
      <w:r>
        <w:t xml:space="preserve">2050 for </w:t>
      </w:r>
      <w:proofErr w:type="gramStart"/>
      <w:r>
        <w:t>full</w:t>
      </w:r>
      <w:proofErr w:type="gramEnd"/>
      <w:r>
        <w:t xml:space="preserve"> system and each </w:t>
      </w:r>
      <w:r w:rsidRPr="00355F17">
        <w:t>country.</w:t>
      </w:r>
      <w:r w:rsidRPr="0011271A">
        <w:t xml:space="preserve"> </w:t>
      </w:r>
      <w:r>
        <w:t xml:space="preserve">Under </w:t>
      </w:r>
      <w:r>
        <w:rPr>
          <w:i/>
          <w:iCs/>
        </w:rPr>
        <w:t xml:space="preserve">Limited Coordination </w:t>
      </w:r>
      <w:r>
        <w:t xml:space="preserve">and especially with </w:t>
      </w:r>
      <w:r>
        <w:rPr>
          <w:i/>
          <w:iCs/>
        </w:rPr>
        <w:t>Fixed Solar</w:t>
      </w:r>
      <w:r>
        <w:t xml:space="preserve">, Chile begins to install wind capacity in addition to solar PV in order to meet demand as well as the </w:t>
      </w:r>
      <w:r w:rsidR="007234BC">
        <w:rPr>
          <w:i/>
          <w:iCs/>
        </w:rPr>
        <w:t xml:space="preserve">Mitigation </w:t>
      </w:r>
      <w:r w:rsidR="002976A9">
        <w:t>constraint</w:t>
      </w:r>
      <w:r>
        <w:t>.</w:t>
      </w:r>
    </w:p>
    <w:p w14:paraId="19879390" w14:textId="5EC00CB3" w:rsidR="00FB7F6F" w:rsidRDefault="00FB7F6F" w:rsidP="00FB7F6F">
      <w:pPr>
        <w:pStyle w:val="Figure"/>
      </w:pPr>
      <w:r>
        <w:lastRenderedPageBreak/>
        <w:drawing>
          <wp:inline distT="0" distB="0" distL="0" distR="0" wp14:anchorId="433F1A04" wp14:editId="57889733">
            <wp:extent cx="5943600" cy="7368540"/>
            <wp:effectExtent l="0" t="0" r="0" b="3810"/>
            <wp:docPr id="1268252496" name="Picture 5" descr="A collage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52496" name="Picture 5" descr="A collage of different colored lines&#10;&#10;Description automatically generated"/>
                    <pic:cNvPicPr>
                      <a:picLocks noChangeAspect="1" noChangeArrowheads="1"/>
                    </pic:cNvPicPr>
                  </pic:nvPicPr>
                  <pic:blipFill>
                    <a:blip r:embed="rId16" cstate="hqprint">
                      <a:extLst>
                        <a:ext uri="{28A0092B-C50C-407E-A947-70E740481C1C}">
                          <a14:useLocalDpi xmlns:a14="http://schemas.microsoft.com/office/drawing/2010/main" val="0"/>
                        </a:ext>
                      </a:extLst>
                    </a:blip>
                    <a:srcRect/>
                    <a:stretch>
                      <a:fillRect/>
                    </a:stretch>
                  </pic:blipFill>
                  <pic:spPr bwMode="auto">
                    <a:xfrm>
                      <a:off x="0" y="0"/>
                      <a:ext cx="5943600" cy="7368540"/>
                    </a:xfrm>
                    <a:prstGeom prst="rect">
                      <a:avLst/>
                    </a:prstGeom>
                    <a:noFill/>
                    <a:ln>
                      <a:noFill/>
                    </a:ln>
                  </pic:spPr>
                </pic:pic>
              </a:graphicData>
            </a:graphic>
          </wp:inline>
        </w:drawing>
      </w:r>
    </w:p>
    <w:p w14:paraId="181C6F34" w14:textId="77777777" w:rsidR="006258A9" w:rsidRPr="006258A9" w:rsidRDefault="00FB7F6F" w:rsidP="006258A9">
      <w:pPr>
        <w:pStyle w:val="FigureCaption"/>
        <w:rPr>
          <w:noProof/>
          <w:vanish/>
          <w:specVanish/>
        </w:rPr>
      </w:pPr>
      <w:bookmarkStart w:id="47" w:name="_Ref148522407"/>
      <w:bookmarkStart w:id="48" w:name="_Toc194577055"/>
      <w:r w:rsidRPr="00FB7F6F">
        <w:t>Figure S</w:t>
      </w:r>
      <w:r w:rsidR="00FB74F5">
        <w:rPr>
          <w:noProof/>
        </w:rPr>
        <w:t>2</w:t>
      </w:r>
      <w:bookmarkEnd w:id="47"/>
      <w:bookmarkEnd w:id="48"/>
    </w:p>
    <w:p w14:paraId="0134C99E" w14:textId="15E2E36D" w:rsidR="00FB7F6F" w:rsidRDefault="00FB7F6F" w:rsidP="006258A9">
      <w:pPr>
        <w:pStyle w:val="Style4"/>
        <w:rPr>
          <w:b/>
          <w:bCs/>
        </w:rPr>
      </w:pPr>
      <w:r w:rsidRPr="00FB7F6F">
        <w:t>:</w:t>
      </w:r>
      <w:r>
        <w:t xml:space="preserve"> </w:t>
      </w:r>
      <w:r w:rsidRPr="00355F17">
        <w:t>Generation mix over time for full system and each country.</w:t>
      </w:r>
      <w:r>
        <w:t xml:space="preserve"> Shaded bands show the range of outcomes within each scenario group, while each line within a shaded band represents one of 80 total model realizations.</w:t>
      </w:r>
    </w:p>
    <w:p w14:paraId="61275EC1" w14:textId="6C1FB1E1" w:rsidR="00FB7F6F" w:rsidRDefault="00FB7F6F" w:rsidP="00FB7F6F">
      <w:pPr>
        <w:pStyle w:val="Figure"/>
      </w:pPr>
      <w:r>
        <w:lastRenderedPageBreak/>
        <w:drawing>
          <wp:inline distT="0" distB="0" distL="0" distR="0" wp14:anchorId="34911987" wp14:editId="2E1D6C06">
            <wp:extent cx="5932805" cy="7166610"/>
            <wp:effectExtent l="0" t="0" r="0" b="0"/>
            <wp:docPr id="651301129" name="Picture 2" descr="A chart of different colore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301129" name="Picture 2" descr="A chart of different colored objects&#10;&#10;Description automatically generated with medium confidence"/>
                    <pic:cNvPicPr>
                      <a:picLocks noChangeAspect="1" noChangeArrowheads="1"/>
                    </pic:cNvPicPr>
                  </pic:nvPicPr>
                  <pic:blipFill>
                    <a:blip r:embed="rId17" cstate="hqprint">
                      <a:extLst>
                        <a:ext uri="{28A0092B-C50C-407E-A947-70E740481C1C}">
                          <a14:useLocalDpi xmlns:a14="http://schemas.microsoft.com/office/drawing/2010/main" val="0"/>
                        </a:ext>
                      </a:extLst>
                    </a:blip>
                    <a:srcRect/>
                    <a:stretch>
                      <a:fillRect/>
                    </a:stretch>
                  </pic:blipFill>
                  <pic:spPr bwMode="auto">
                    <a:xfrm>
                      <a:off x="0" y="0"/>
                      <a:ext cx="5932805" cy="7166610"/>
                    </a:xfrm>
                    <a:prstGeom prst="rect">
                      <a:avLst/>
                    </a:prstGeom>
                    <a:noFill/>
                    <a:ln>
                      <a:noFill/>
                    </a:ln>
                  </pic:spPr>
                </pic:pic>
              </a:graphicData>
            </a:graphic>
          </wp:inline>
        </w:drawing>
      </w:r>
    </w:p>
    <w:p w14:paraId="199F5636" w14:textId="77777777" w:rsidR="006258A9" w:rsidRPr="006258A9" w:rsidRDefault="00FB7F6F" w:rsidP="006258A9">
      <w:pPr>
        <w:pStyle w:val="FigureCaption"/>
        <w:rPr>
          <w:noProof/>
          <w:vanish/>
          <w:specVanish/>
        </w:rPr>
      </w:pPr>
      <w:bookmarkStart w:id="49" w:name="_Ref148522470"/>
      <w:bookmarkStart w:id="50" w:name="_Toc194577056"/>
      <w:r w:rsidRPr="00FB7F6F">
        <w:t>Figure S</w:t>
      </w:r>
      <w:r w:rsidR="00FB74F5">
        <w:rPr>
          <w:noProof/>
        </w:rPr>
        <w:t>3</w:t>
      </w:r>
      <w:bookmarkEnd w:id="49"/>
      <w:bookmarkEnd w:id="50"/>
    </w:p>
    <w:p w14:paraId="3E6B0056" w14:textId="10BB1097" w:rsidR="00FB7F6F" w:rsidRDefault="00FB7F6F" w:rsidP="006258A9">
      <w:pPr>
        <w:pStyle w:val="Style4"/>
      </w:pPr>
      <w:r w:rsidRPr="00FB7F6F">
        <w:t>: Components</w:t>
      </w:r>
      <w:r w:rsidRPr="00355F17">
        <w:t xml:space="preserve"> of cumulative system costs split out by country. Transmission expansion costs are assumed to be shared equally by the two countries represented by the interconnection.</w:t>
      </w:r>
      <w:r>
        <w:t xml:space="preserve"> Total costs for net exporters increase under </w:t>
      </w:r>
      <w:r>
        <w:rPr>
          <w:i/>
          <w:iCs/>
        </w:rPr>
        <w:t>Full Coordination</w:t>
      </w:r>
      <w:r>
        <w:t>, as the</w:t>
      </w:r>
      <w:r w:rsidR="00CE3DC3">
        <w:t>se costs</w:t>
      </w:r>
      <w:r>
        <w:t xml:space="preserve"> do not account for increased revenue resulting from exports.</w:t>
      </w:r>
      <w:r w:rsidR="00CE3DC3" w:rsidRPr="00CE3DC3">
        <w:t xml:space="preserve"> </w:t>
      </w:r>
      <w:r w:rsidR="00CE3DC3" w:rsidRPr="00BB0AA9">
        <w:t xml:space="preserve">Grid operation costs </w:t>
      </w:r>
      <w:r w:rsidR="00CE3DC3">
        <w:t xml:space="preserve">generally </w:t>
      </w:r>
      <w:r w:rsidR="00CE3DC3" w:rsidRPr="00BB0AA9">
        <w:t xml:space="preserve">decrease </w:t>
      </w:r>
      <w:r w:rsidR="00CE3DC3">
        <w:t>substantially</w:t>
      </w:r>
      <w:r w:rsidR="00CE3DC3" w:rsidRPr="00BB0AA9">
        <w:t xml:space="preserve"> under</w:t>
      </w:r>
      <w:r w:rsidR="00CE3DC3">
        <w:t xml:space="preserve"> </w:t>
      </w:r>
      <w:r w:rsidR="007234BC">
        <w:rPr>
          <w:i/>
          <w:iCs/>
        </w:rPr>
        <w:t xml:space="preserve">Mitigation </w:t>
      </w:r>
      <w:r w:rsidR="00CE3DC3">
        <w:t>(using less fuel)</w:t>
      </w:r>
      <w:r w:rsidR="00CE3DC3" w:rsidRPr="00BB0AA9">
        <w:t xml:space="preserve">, while capacity </w:t>
      </w:r>
      <w:r w:rsidR="00CE3DC3">
        <w:t xml:space="preserve">investments </w:t>
      </w:r>
      <w:r w:rsidR="00CE3DC3" w:rsidRPr="00BB0AA9">
        <w:t xml:space="preserve">increase </w:t>
      </w:r>
      <w:r w:rsidR="00CE3DC3">
        <w:t>(new wind and solar projects)</w:t>
      </w:r>
      <w:r w:rsidR="00CE3DC3" w:rsidRPr="00BB0AA9">
        <w:t>.</w:t>
      </w:r>
      <w:r w:rsidR="00CE3DC3">
        <w:t xml:space="preserve"> These c</w:t>
      </w:r>
      <w:r w:rsidR="00CE3DC3" w:rsidRPr="00BB0AA9">
        <w:t xml:space="preserve">apacity costs </w:t>
      </w:r>
      <w:r w:rsidR="00CE3DC3">
        <w:t xml:space="preserve">tend </w:t>
      </w:r>
      <w:r w:rsidR="00CE3DC3" w:rsidRPr="00BB0AA9">
        <w:t>to drive total costs the most.</w:t>
      </w:r>
    </w:p>
    <w:p w14:paraId="2ABDE0AF" w14:textId="77777777" w:rsidR="008B4DA8" w:rsidRDefault="008B4DA8" w:rsidP="008B4DA8">
      <w:pPr>
        <w:pStyle w:val="Figure"/>
      </w:pPr>
      <w:r>
        <w:lastRenderedPageBreak/>
        <w:drawing>
          <wp:inline distT="0" distB="0" distL="0" distR="0" wp14:anchorId="1F5F602B" wp14:editId="28F9205F">
            <wp:extent cx="5938520" cy="5415915"/>
            <wp:effectExtent l="0" t="0" r="5080" b="0"/>
            <wp:docPr id="1657962661" name="Picture 3" descr="A chart of different colored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62661" name="Picture 3" descr="A chart of different colored objects&#10;&#10;Description automatically generated with medium confidence"/>
                    <pic:cNvPicPr>
                      <a:picLocks noChangeAspect="1" noChangeArrowheads="1"/>
                    </pic:cNvPicPr>
                  </pic:nvPicPr>
                  <pic:blipFill>
                    <a:blip r:embed="rId18" cstate="hqprint">
                      <a:extLst>
                        <a:ext uri="{28A0092B-C50C-407E-A947-70E740481C1C}">
                          <a14:useLocalDpi xmlns:a14="http://schemas.microsoft.com/office/drawing/2010/main" val="0"/>
                        </a:ext>
                      </a:extLst>
                    </a:blip>
                    <a:srcRect/>
                    <a:stretch>
                      <a:fillRect/>
                    </a:stretch>
                  </pic:blipFill>
                  <pic:spPr bwMode="auto">
                    <a:xfrm>
                      <a:off x="0" y="0"/>
                      <a:ext cx="5938520" cy="5415915"/>
                    </a:xfrm>
                    <a:prstGeom prst="rect">
                      <a:avLst/>
                    </a:prstGeom>
                    <a:noFill/>
                    <a:ln>
                      <a:noFill/>
                    </a:ln>
                  </pic:spPr>
                </pic:pic>
              </a:graphicData>
            </a:graphic>
          </wp:inline>
        </w:drawing>
      </w:r>
    </w:p>
    <w:p w14:paraId="1E0DB1D1" w14:textId="77777777" w:rsidR="006258A9" w:rsidRPr="006258A9" w:rsidRDefault="008B4DA8" w:rsidP="006258A9">
      <w:pPr>
        <w:pStyle w:val="FigureCaption"/>
        <w:rPr>
          <w:noProof/>
          <w:vanish/>
          <w:specVanish/>
        </w:rPr>
      </w:pPr>
      <w:bookmarkStart w:id="51" w:name="_Ref148705450"/>
      <w:bookmarkStart w:id="52" w:name="_Toc194577057"/>
      <w:r w:rsidRPr="00FB7F6F">
        <w:t>Figure S</w:t>
      </w:r>
      <w:r w:rsidR="00FB74F5">
        <w:rPr>
          <w:noProof/>
        </w:rPr>
        <w:t>4</w:t>
      </w:r>
      <w:bookmarkEnd w:id="51"/>
      <w:bookmarkEnd w:id="52"/>
    </w:p>
    <w:p w14:paraId="3060B99C" w14:textId="0E6B6AC2" w:rsidR="008B4DA8" w:rsidRDefault="008B4DA8" w:rsidP="006258A9">
      <w:pPr>
        <w:pStyle w:val="Style4"/>
      </w:pPr>
      <w:r w:rsidRPr="00FB7F6F">
        <w:t>:</w:t>
      </w:r>
      <w:r>
        <w:t xml:space="preserve"> </w:t>
      </w:r>
      <w:r w:rsidRPr="006A3EE7">
        <w:t xml:space="preserve">Grid performance metrics (cumulative 2020-2050), </w:t>
      </w:r>
      <w:r>
        <w:t xml:space="preserve">system-wide and </w:t>
      </w:r>
      <w:r w:rsidRPr="006A3EE7">
        <w:t>split out by country.</w:t>
      </w:r>
    </w:p>
    <w:p w14:paraId="3CCE55C9" w14:textId="77777777" w:rsidR="008B4DA8" w:rsidRDefault="008B4DA8" w:rsidP="008B4DA8">
      <w:pPr>
        <w:pStyle w:val="Figure"/>
      </w:pPr>
      <w:r>
        <w:lastRenderedPageBreak/>
        <w:drawing>
          <wp:inline distT="0" distB="0" distL="0" distR="0" wp14:anchorId="29C47AD7" wp14:editId="71A95DF3">
            <wp:extent cx="5947410" cy="4429125"/>
            <wp:effectExtent l="0" t="0" r="0" b="9525"/>
            <wp:docPr id="1281030062" name="Picture 1" descr="A group of graphs showing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030062" name="Picture 1" descr="A group of graphs showing different colors&#10;&#10;Description automatically generated with medium confidence"/>
                    <pic:cNvPicPr>
                      <a:picLocks noChangeAspect="1" noChangeArrowheads="1"/>
                    </pic:cNvPicPr>
                  </pic:nvPicPr>
                  <pic:blipFill>
                    <a:blip r:embed="rId19" cstate="hqprint">
                      <a:extLst>
                        <a:ext uri="{28A0092B-C50C-407E-A947-70E740481C1C}">
                          <a14:useLocalDpi xmlns:a14="http://schemas.microsoft.com/office/drawing/2010/main" val="0"/>
                        </a:ext>
                      </a:extLst>
                    </a:blip>
                    <a:srcRect/>
                    <a:stretch>
                      <a:fillRect/>
                    </a:stretch>
                  </pic:blipFill>
                  <pic:spPr bwMode="auto">
                    <a:xfrm>
                      <a:off x="0" y="0"/>
                      <a:ext cx="5947410" cy="4429125"/>
                    </a:xfrm>
                    <a:prstGeom prst="rect">
                      <a:avLst/>
                    </a:prstGeom>
                    <a:noFill/>
                    <a:ln>
                      <a:noFill/>
                    </a:ln>
                  </pic:spPr>
                </pic:pic>
              </a:graphicData>
            </a:graphic>
          </wp:inline>
        </w:drawing>
      </w:r>
    </w:p>
    <w:p w14:paraId="0FD5797D" w14:textId="77777777" w:rsidR="006258A9" w:rsidRPr="006258A9" w:rsidRDefault="008B4DA8" w:rsidP="006258A9">
      <w:pPr>
        <w:pStyle w:val="FigureCaption"/>
        <w:rPr>
          <w:noProof/>
          <w:vanish/>
          <w:specVanish/>
        </w:rPr>
      </w:pPr>
      <w:bookmarkStart w:id="53" w:name="_Ref153804844"/>
      <w:bookmarkStart w:id="54" w:name="_Toc194577058"/>
      <w:r w:rsidRPr="00FB7F6F">
        <w:t>Figure S</w:t>
      </w:r>
      <w:r w:rsidR="00FB74F5">
        <w:rPr>
          <w:noProof/>
        </w:rPr>
        <w:t>5</w:t>
      </w:r>
      <w:bookmarkEnd w:id="53"/>
      <w:bookmarkEnd w:id="54"/>
    </w:p>
    <w:p w14:paraId="52BDE732" w14:textId="0BA26F94" w:rsidR="008B4DA8" w:rsidRPr="00FB7F6F" w:rsidRDefault="008B4DA8" w:rsidP="006258A9">
      <w:pPr>
        <w:pStyle w:val="Style4"/>
        <w:rPr>
          <w:b/>
          <w:bCs/>
        </w:rPr>
      </w:pPr>
      <w:r w:rsidRPr="00FB7F6F">
        <w:t xml:space="preserve">: Heatmaps showing seasonal and diurnal patterns of average grid battery usage and curtailment in the year 2050 for </w:t>
      </w:r>
      <w:r w:rsidRPr="007234BC">
        <w:t>(a; c; e)</w:t>
      </w:r>
      <w:r w:rsidRPr="00FB7F6F">
        <w:t xml:space="preserve"> </w:t>
      </w:r>
      <w:r w:rsidRPr="007234BC">
        <w:rPr>
          <w:i/>
          <w:iCs/>
        </w:rPr>
        <w:t>Limited Coordination</w:t>
      </w:r>
      <w:r w:rsidRPr="00FB7F6F">
        <w:t xml:space="preserve"> scenarios and </w:t>
      </w:r>
      <w:r w:rsidRPr="007234BC">
        <w:t>(b; d; f)</w:t>
      </w:r>
      <w:r w:rsidRPr="00FB7F6F">
        <w:t xml:space="preserve"> </w:t>
      </w:r>
      <w:r w:rsidRPr="007234BC">
        <w:rPr>
          <w:i/>
          <w:iCs/>
        </w:rPr>
        <w:t>Full Coordination</w:t>
      </w:r>
      <w:r w:rsidRPr="00FB7F6F">
        <w:t xml:space="preserve"> scenarios. Battery use and curtailment is higher under a limited coordination scenario. Batteries tend to charge during peak sunlight hours and discharge after sunset and overnight. Curtailment has a much stronger seasonal signal.</w:t>
      </w:r>
    </w:p>
    <w:p w14:paraId="5A5B4793" w14:textId="77777777" w:rsidR="008B4DA8" w:rsidRDefault="008B4DA8" w:rsidP="008B4DA8">
      <w:pPr>
        <w:pStyle w:val="Figure"/>
      </w:pPr>
      <w:r>
        <w:lastRenderedPageBreak/>
        <w:drawing>
          <wp:inline distT="0" distB="0" distL="0" distR="0" wp14:anchorId="098616F0" wp14:editId="782A98C6">
            <wp:extent cx="5939790" cy="5240020"/>
            <wp:effectExtent l="0" t="0" r="3810" b="0"/>
            <wp:docPr id="249022767" name="Picture 2" descr="A graph of different colors and shap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022767" name="Picture 2" descr="A graph of different colors and shapes&#10;&#10;Description automatically generated with medium confidence"/>
                    <pic:cNvPicPr>
                      <a:picLocks noChangeAspect="1" noChangeArrowheads="1"/>
                    </pic:cNvPicPr>
                  </pic:nvPicPr>
                  <pic:blipFill>
                    <a:blip r:embed="rId20" cstate="hqprint">
                      <a:extLst>
                        <a:ext uri="{28A0092B-C50C-407E-A947-70E740481C1C}">
                          <a14:useLocalDpi xmlns:a14="http://schemas.microsoft.com/office/drawing/2010/main" val="0"/>
                        </a:ext>
                      </a:extLst>
                    </a:blip>
                    <a:srcRect/>
                    <a:stretch>
                      <a:fillRect/>
                    </a:stretch>
                  </pic:blipFill>
                  <pic:spPr bwMode="auto">
                    <a:xfrm>
                      <a:off x="0" y="0"/>
                      <a:ext cx="5939790" cy="5240020"/>
                    </a:xfrm>
                    <a:prstGeom prst="rect">
                      <a:avLst/>
                    </a:prstGeom>
                    <a:noFill/>
                    <a:ln>
                      <a:noFill/>
                    </a:ln>
                  </pic:spPr>
                </pic:pic>
              </a:graphicData>
            </a:graphic>
          </wp:inline>
        </w:drawing>
      </w:r>
    </w:p>
    <w:p w14:paraId="2187808C" w14:textId="77777777" w:rsidR="006258A9" w:rsidRPr="006258A9" w:rsidRDefault="008B4DA8" w:rsidP="006258A9">
      <w:pPr>
        <w:pStyle w:val="FigureCaption"/>
        <w:rPr>
          <w:noProof/>
          <w:vanish/>
          <w:specVanish/>
        </w:rPr>
      </w:pPr>
      <w:bookmarkStart w:id="55" w:name="_Ref153804990"/>
      <w:bookmarkStart w:id="56" w:name="_Toc194577059"/>
      <w:r w:rsidRPr="00FB7F6F">
        <w:t>Figure S</w:t>
      </w:r>
      <w:r w:rsidR="00FB74F5">
        <w:rPr>
          <w:noProof/>
        </w:rPr>
        <w:t>6</w:t>
      </w:r>
      <w:bookmarkEnd w:id="55"/>
      <w:bookmarkEnd w:id="56"/>
    </w:p>
    <w:p w14:paraId="7AD5A725" w14:textId="665B3F31" w:rsidR="008B4DA8" w:rsidRPr="00FB7F6F" w:rsidRDefault="008B4DA8" w:rsidP="006258A9">
      <w:pPr>
        <w:pStyle w:val="Style4"/>
        <w:rPr>
          <w:b/>
          <w:bCs/>
        </w:rPr>
      </w:pPr>
      <w:r w:rsidRPr="00FB7F6F">
        <w:t xml:space="preserve">: Hourly dispatch system-wide in the year 2035 for three representative months and four scenario groups, averaged across the ten wind turbines in each group. All four groups are </w:t>
      </w:r>
      <w:r>
        <w:rPr>
          <w:i/>
          <w:iCs/>
        </w:rPr>
        <w:t xml:space="preserve">Mitigation </w:t>
      </w:r>
      <w:r w:rsidRPr="00FB7F6F">
        <w:t>scenarios</w:t>
      </w:r>
      <w:r>
        <w:t xml:space="preserve"> </w:t>
      </w:r>
      <w:r w:rsidRPr="00FB7F6F">
        <w:t>but differ in the level of coordination and the type of solar technology modeled. By 2035, there is little deployment of battery storage, and most curtailment occurs around the month of April. Curtailment (for wind and solar) is higher for single-axis solar scenarios, which have higher solar deployment, and for limited coordination scenarios.</w:t>
      </w:r>
    </w:p>
    <w:p w14:paraId="717A20FD" w14:textId="77777777" w:rsidR="008B4DA8" w:rsidRDefault="008B4DA8" w:rsidP="008B4DA8">
      <w:pPr>
        <w:pStyle w:val="Figure"/>
      </w:pPr>
      <w:r>
        <w:lastRenderedPageBreak/>
        <w:drawing>
          <wp:inline distT="0" distB="0" distL="0" distR="0" wp14:anchorId="1533EEDA" wp14:editId="045ECBAF">
            <wp:extent cx="5939790" cy="5240020"/>
            <wp:effectExtent l="0" t="0" r="3810" b="0"/>
            <wp:docPr id="1411991753" name="Picture 3"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91753" name="Picture 3" descr="A graph of different colored lines&#10;&#10;Description automatically generated with medium confidence"/>
                    <pic:cNvPicPr>
                      <a:picLocks noChangeAspect="1" noChangeArrowheads="1"/>
                    </pic:cNvPicPr>
                  </pic:nvPicPr>
                  <pic:blipFill>
                    <a:blip r:embed="rId21" cstate="hqprint">
                      <a:extLst>
                        <a:ext uri="{28A0092B-C50C-407E-A947-70E740481C1C}">
                          <a14:useLocalDpi xmlns:a14="http://schemas.microsoft.com/office/drawing/2010/main" val="0"/>
                        </a:ext>
                      </a:extLst>
                    </a:blip>
                    <a:srcRect/>
                    <a:stretch>
                      <a:fillRect/>
                    </a:stretch>
                  </pic:blipFill>
                  <pic:spPr bwMode="auto">
                    <a:xfrm>
                      <a:off x="0" y="0"/>
                      <a:ext cx="5939790" cy="5240020"/>
                    </a:xfrm>
                    <a:prstGeom prst="rect">
                      <a:avLst/>
                    </a:prstGeom>
                    <a:noFill/>
                    <a:ln>
                      <a:noFill/>
                    </a:ln>
                  </pic:spPr>
                </pic:pic>
              </a:graphicData>
            </a:graphic>
          </wp:inline>
        </w:drawing>
      </w:r>
    </w:p>
    <w:p w14:paraId="3AB5688A" w14:textId="77777777" w:rsidR="006258A9" w:rsidRPr="006258A9" w:rsidRDefault="008B4DA8" w:rsidP="006258A9">
      <w:pPr>
        <w:pStyle w:val="FigureCaption"/>
        <w:rPr>
          <w:noProof/>
          <w:vanish/>
          <w:specVanish/>
        </w:rPr>
      </w:pPr>
      <w:bookmarkStart w:id="57" w:name="_Ref153804993"/>
      <w:bookmarkStart w:id="58" w:name="_Toc194577060"/>
      <w:r w:rsidRPr="00FB7F6F">
        <w:t>Figure S</w:t>
      </w:r>
      <w:r w:rsidR="00FB74F5">
        <w:rPr>
          <w:noProof/>
        </w:rPr>
        <w:t>7</w:t>
      </w:r>
      <w:bookmarkEnd w:id="57"/>
      <w:bookmarkEnd w:id="58"/>
    </w:p>
    <w:p w14:paraId="601D8172" w14:textId="5C783DEA" w:rsidR="008B4DA8" w:rsidRPr="008B4DA8" w:rsidRDefault="008B4DA8" w:rsidP="006258A9">
      <w:pPr>
        <w:pStyle w:val="Style4"/>
        <w:rPr>
          <w:b/>
          <w:bCs/>
        </w:rPr>
      </w:pPr>
      <w:r w:rsidRPr="00FB7F6F">
        <w:t xml:space="preserve">: Hourly dispatch system-wide in the year 2050 for three representative months and four scenario groups, averaged across the ten wind turbines in each group. All four groups are </w:t>
      </w:r>
      <w:r>
        <w:rPr>
          <w:i/>
          <w:iCs/>
        </w:rPr>
        <w:t xml:space="preserve">Mitigation </w:t>
      </w:r>
      <w:r w:rsidRPr="00FB7F6F">
        <w:t>scenarios</w:t>
      </w:r>
      <w:r>
        <w:t xml:space="preserve"> </w:t>
      </w:r>
      <w:r w:rsidRPr="00FB7F6F">
        <w:t xml:space="preserve">but differ in the level of coordination and the type of solar technology modeled. By 2050, battery storage helps limited coordination scenarios store otherwise curtailed solar energy to be dispatched at night. Curtailment (for wind and solar) is still highest around the month of April but is now seen throughout the year (see </w:t>
      </w:r>
      <w:r w:rsidR="00FB74F5" w:rsidRPr="00FB7F6F">
        <w:t>Figure S</w:t>
      </w:r>
      <w:r w:rsidR="00FB74F5">
        <w:t>5</w:t>
      </w:r>
      <w:r w:rsidRPr="00FB7F6F">
        <w:t xml:space="preserve"> for seasonal pattern). Curtailment is higher for single-axis solar scenarios, which have higher solar deployment, and for limited coordination scenarios (consistent with </w:t>
      </w:r>
      <w:r w:rsidR="00FB74F5" w:rsidRPr="00FB74F5">
        <w:t>Figure S4</w:t>
      </w:r>
      <w:r w:rsidRPr="00FB7F6F">
        <w:t>).</w:t>
      </w:r>
    </w:p>
    <w:p w14:paraId="29F8A99A" w14:textId="367FED9B" w:rsidR="00FB7F6F" w:rsidRDefault="00FB7F6F" w:rsidP="00FB7F6F">
      <w:pPr>
        <w:pStyle w:val="Figure"/>
      </w:pPr>
      <w:r>
        <w:lastRenderedPageBreak/>
        <w:drawing>
          <wp:inline distT="0" distB="0" distL="0" distR="0" wp14:anchorId="674845EA" wp14:editId="38EA0C8A">
            <wp:extent cx="3323325" cy="2560320"/>
            <wp:effectExtent l="0" t="0" r="0" b="0"/>
            <wp:docPr id="803544765" name="Picture 1" descr="A graph of different colored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544765" name="Picture 1" descr="A graph of different colored squares&#10;&#10;Description automatically generated with medium confidence"/>
                    <pic:cNvPicPr>
                      <a:picLocks noChangeAspect="1" noChangeArrowheads="1"/>
                    </pic:cNvPicPr>
                  </pic:nvPicPr>
                  <pic:blipFill>
                    <a:blip r:embed="rId22" cstate="hqprint">
                      <a:extLst>
                        <a:ext uri="{28A0092B-C50C-407E-A947-70E740481C1C}">
                          <a14:useLocalDpi xmlns:a14="http://schemas.microsoft.com/office/drawing/2010/main" val="0"/>
                        </a:ext>
                      </a:extLst>
                    </a:blip>
                    <a:srcRect/>
                    <a:stretch>
                      <a:fillRect/>
                    </a:stretch>
                  </pic:blipFill>
                  <pic:spPr bwMode="auto">
                    <a:xfrm>
                      <a:off x="0" y="0"/>
                      <a:ext cx="3323325" cy="2560320"/>
                    </a:xfrm>
                    <a:prstGeom prst="rect">
                      <a:avLst/>
                    </a:prstGeom>
                    <a:noFill/>
                    <a:ln>
                      <a:noFill/>
                    </a:ln>
                  </pic:spPr>
                </pic:pic>
              </a:graphicData>
            </a:graphic>
          </wp:inline>
        </w:drawing>
      </w:r>
    </w:p>
    <w:p w14:paraId="670F03E1" w14:textId="77777777" w:rsidR="006258A9" w:rsidRPr="006258A9" w:rsidRDefault="00FB7F6F" w:rsidP="006258A9">
      <w:pPr>
        <w:pStyle w:val="FigureCaption"/>
        <w:rPr>
          <w:noProof/>
          <w:vanish/>
          <w:specVanish/>
        </w:rPr>
      </w:pPr>
      <w:bookmarkStart w:id="59" w:name="_Ref148619306"/>
      <w:bookmarkStart w:id="60" w:name="_Toc194577061"/>
      <w:r w:rsidRPr="00FB7F6F">
        <w:t>Figure S</w:t>
      </w:r>
      <w:r w:rsidR="00FB74F5">
        <w:rPr>
          <w:noProof/>
        </w:rPr>
        <w:t>8</w:t>
      </w:r>
      <w:bookmarkEnd w:id="59"/>
      <w:bookmarkEnd w:id="60"/>
    </w:p>
    <w:p w14:paraId="438F41ED" w14:textId="4614CD4B" w:rsidR="00FB7F6F" w:rsidRDefault="00FB7F6F" w:rsidP="006258A9">
      <w:pPr>
        <w:pStyle w:val="Style4"/>
      </w:pPr>
      <w:r w:rsidRPr="00FB7F6F">
        <w:t xml:space="preserve">: Total </w:t>
      </w:r>
      <w:r w:rsidRPr="00542B56">
        <w:t>new transmission capacity</w:t>
      </w:r>
      <w:r>
        <w:t xml:space="preserve"> from 2020-2050</w:t>
      </w:r>
      <w:r w:rsidRPr="00542B56">
        <w:t>. Interconnections which are not shown built no new transmission capacity.</w:t>
      </w:r>
    </w:p>
    <w:p w14:paraId="192AE601" w14:textId="77777777" w:rsidR="008B4DA8" w:rsidRDefault="008B4DA8" w:rsidP="008B4DA8">
      <w:pPr>
        <w:pStyle w:val="Figure"/>
      </w:pPr>
      <w:bookmarkStart w:id="61" w:name="_Ref180051720"/>
      <w:r>
        <w:lastRenderedPageBreak/>
        <w:drawing>
          <wp:inline distT="0" distB="0" distL="0" distR="0" wp14:anchorId="63BAA489" wp14:editId="0A4718E7">
            <wp:extent cx="4245753" cy="5577840"/>
            <wp:effectExtent l="0" t="0" r="2540" b="3810"/>
            <wp:docPr id="1095457462" name="Picture 2" descr="A group of colorful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57462" name="Picture 2" descr="A group of colorful graphs&#10;&#10;AI-generated content may be incorrect."/>
                    <pic:cNvPicPr>
                      <a:picLocks noChangeAspect="1" noChangeArrowheads="1"/>
                    </pic:cNvPicPr>
                  </pic:nvPicPr>
                  <pic:blipFill>
                    <a:blip r:embed="rId23" cstate="hqprint">
                      <a:extLst>
                        <a:ext uri="{28A0092B-C50C-407E-A947-70E740481C1C}">
                          <a14:useLocalDpi xmlns:a14="http://schemas.microsoft.com/office/drawing/2010/main" val="0"/>
                        </a:ext>
                      </a:extLst>
                    </a:blip>
                    <a:srcRect/>
                    <a:stretch>
                      <a:fillRect/>
                    </a:stretch>
                  </pic:blipFill>
                  <pic:spPr bwMode="auto">
                    <a:xfrm>
                      <a:off x="0" y="0"/>
                      <a:ext cx="4245753" cy="5577840"/>
                    </a:xfrm>
                    <a:prstGeom prst="rect">
                      <a:avLst/>
                    </a:prstGeom>
                    <a:noFill/>
                    <a:ln>
                      <a:noFill/>
                    </a:ln>
                  </pic:spPr>
                </pic:pic>
              </a:graphicData>
            </a:graphic>
          </wp:inline>
        </w:drawing>
      </w:r>
    </w:p>
    <w:p w14:paraId="6F6AD2B4" w14:textId="77777777" w:rsidR="006258A9" w:rsidRPr="006258A9" w:rsidRDefault="008B4DA8" w:rsidP="006258A9">
      <w:pPr>
        <w:pStyle w:val="FigureCaption"/>
        <w:rPr>
          <w:noProof/>
          <w:vanish/>
          <w:specVanish/>
        </w:rPr>
      </w:pPr>
      <w:bookmarkStart w:id="62" w:name="_Ref190857378"/>
      <w:bookmarkStart w:id="63" w:name="_Toc194577062"/>
      <w:bookmarkEnd w:id="61"/>
      <w:r>
        <w:t>Figure S</w:t>
      </w:r>
      <w:r w:rsidR="00FB74F5">
        <w:rPr>
          <w:noProof/>
        </w:rPr>
        <w:t>9</w:t>
      </w:r>
      <w:bookmarkEnd w:id="62"/>
      <w:bookmarkEnd w:id="63"/>
    </w:p>
    <w:p w14:paraId="1DC683CA" w14:textId="70222399" w:rsidR="008B4DA8" w:rsidRPr="008B4DA8" w:rsidRDefault="008B4DA8" w:rsidP="006258A9">
      <w:pPr>
        <w:pStyle w:val="Style4"/>
        <w:rPr>
          <w:b/>
          <w:bCs/>
          <w:vertAlign w:val="subscript"/>
        </w:rPr>
      </w:pPr>
      <w:r w:rsidRPr="006258A9">
        <w:t>:</w:t>
      </w:r>
      <w:r w:rsidRPr="008324EB">
        <w:t xml:space="preserve"> </w:t>
      </w:r>
      <w:r>
        <w:t>A</w:t>
      </w:r>
      <w:r w:rsidRPr="00065572">
        <w:t xml:space="preserve">dditional net electricity trade in the year 2050 when allowing </w:t>
      </w:r>
      <w:r w:rsidRPr="00065572">
        <w:rPr>
          <w:i/>
          <w:iCs/>
        </w:rPr>
        <w:t>Full Coordination</w:t>
      </w:r>
      <w:r>
        <w:t>. Panels show</w:t>
      </w:r>
      <w:r w:rsidRPr="00065572">
        <w:t xml:space="preserve"> </w:t>
      </w:r>
      <w:r>
        <w:t xml:space="preserve">seasonal and diurnal patterns of </w:t>
      </w:r>
      <w:r w:rsidR="004E4246">
        <w:t xml:space="preserve">individual </w:t>
      </w:r>
      <w:r w:rsidRPr="00065572">
        <w:t xml:space="preserve">representative </w:t>
      </w:r>
      <w:r w:rsidRPr="00065572">
        <w:rPr>
          <w:b/>
          <w:bCs/>
        </w:rPr>
        <w:t xml:space="preserve">(a) </w:t>
      </w:r>
      <w:r w:rsidRPr="00557138">
        <w:rPr>
          <w:i/>
          <w:iCs/>
        </w:rPr>
        <w:t>Reference (</w:t>
      </w:r>
      <w:r w:rsidRPr="00065572">
        <w:rPr>
          <w:i/>
          <w:iCs/>
        </w:rPr>
        <w:t>No CO</w:t>
      </w:r>
      <w:r w:rsidRPr="00065572">
        <w:rPr>
          <w:i/>
          <w:iCs/>
          <w:vertAlign w:val="subscript"/>
        </w:rPr>
        <w:t>2</w:t>
      </w:r>
      <w:r w:rsidRPr="00065572">
        <w:rPr>
          <w:i/>
          <w:iCs/>
        </w:rPr>
        <w:t xml:space="preserve"> Target</w:t>
      </w:r>
      <w:r>
        <w:rPr>
          <w:i/>
          <w:iCs/>
        </w:rPr>
        <w:t>)</w:t>
      </w:r>
      <w:r w:rsidRPr="00065572">
        <w:t xml:space="preserve"> and </w:t>
      </w:r>
      <w:r w:rsidRPr="00065572">
        <w:rPr>
          <w:b/>
          <w:bCs/>
        </w:rPr>
        <w:t xml:space="preserve">(b) </w:t>
      </w:r>
      <w:r>
        <w:rPr>
          <w:i/>
          <w:iCs/>
        </w:rPr>
        <w:t>Mitigation (</w:t>
      </w:r>
      <w:r w:rsidRPr="00065572">
        <w:rPr>
          <w:i/>
          <w:iCs/>
        </w:rPr>
        <w:t>90% CO</w:t>
      </w:r>
      <w:r w:rsidRPr="00065572">
        <w:rPr>
          <w:i/>
          <w:iCs/>
          <w:vertAlign w:val="subscript"/>
        </w:rPr>
        <w:t>2</w:t>
      </w:r>
      <w:r w:rsidRPr="00065572">
        <w:rPr>
          <w:i/>
          <w:iCs/>
        </w:rPr>
        <w:t xml:space="preserve"> Cut</w:t>
      </w:r>
      <w:r>
        <w:rPr>
          <w:i/>
          <w:iCs/>
        </w:rPr>
        <w:t>)</w:t>
      </w:r>
      <w:r w:rsidRPr="00065572">
        <w:rPr>
          <w:i/>
          <w:iCs/>
        </w:rPr>
        <w:t xml:space="preserve"> </w:t>
      </w:r>
      <w:r w:rsidRPr="00065572">
        <w:t>scenario</w:t>
      </w:r>
      <w:r>
        <w:t xml:space="preserve">s, and </w:t>
      </w:r>
      <w:r>
        <w:rPr>
          <w:b/>
          <w:bCs/>
        </w:rPr>
        <w:t xml:space="preserve">(c) </w:t>
      </w:r>
      <w:r>
        <w:t xml:space="preserve">the difference between </w:t>
      </w:r>
      <w:r>
        <w:rPr>
          <w:b/>
          <w:bCs/>
        </w:rPr>
        <w:t xml:space="preserve">(a) </w:t>
      </w:r>
      <w:r>
        <w:t xml:space="preserve">and </w:t>
      </w:r>
      <w:r>
        <w:rPr>
          <w:b/>
          <w:bCs/>
        </w:rPr>
        <w:t>(b)</w:t>
      </w:r>
      <w:r w:rsidRPr="00065572">
        <w:t>.</w:t>
      </w:r>
      <w:r w:rsidRPr="006D78F6">
        <w:t xml:space="preserve"> </w:t>
      </w:r>
      <w:r>
        <w:t>Note</w:t>
      </w:r>
      <w:r w:rsidRPr="006D78F6">
        <w:t xml:space="preserve"> the </w:t>
      </w:r>
      <w:r>
        <w:t xml:space="preserve">color </w:t>
      </w:r>
      <w:r w:rsidRPr="006D78F6">
        <w:t>scale varies across panels</w:t>
      </w:r>
      <w:r>
        <w:t xml:space="preserve">, as trade is substantially higher under </w:t>
      </w:r>
      <w:r>
        <w:rPr>
          <w:i/>
          <w:iCs/>
        </w:rPr>
        <w:t>Mitigation</w:t>
      </w:r>
      <w:r>
        <w:t>.</w:t>
      </w:r>
      <w:r w:rsidRPr="006D78F6">
        <w:t xml:space="preserve"> </w:t>
      </w:r>
      <w:r>
        <w:t xml:space="preserve">Heatmap values for </w:t>
      </w:r>
      <w:r>
        <w:rPr>
          <w:b/>
          <w:bCs/>
        </w:rPr>
        <w:t xml:space="preserve">(a) </w:t>
      </w:r>
      <w:r>
        <w:t xml:space="preserve">and </w:t>
      </w:r>
      <w:r>
        <w:rPr>
          <w:b/>
          <w:bCs/>
        </w:rPr>
        <w:t xml:space="preserve">(b) </w:t>
      </w:r>
      <w:r>
        <w:t xml:space="preserve">are computed by summing net electricity trade from all interconnections for a single </w:t>
      </w:r>
      <w:r>
        <w:rPr>
          <w:i/>
          <w:iCs/>
        </w:rPr>
        <w:t xml:space="preserve">Full Coordination </w:t>
      </w:r>
      <w:r>
        <w:t xml:space="preserve">scenario, then subtracting values computed from the corresponding </w:t>
      </w:r>
      <w:r>
        <w:rPr>
          <w:i/>
          <w:iCs/>
        </w:rPr>
        <w:t xml:space="preserve">Limited Coordination </w:t>
      </w:r>
      <w:r>
        <w:t>scenario.</w:t>
      </w:r>
      <w:r w:rsidRPr="00322F03">
        <w:t xml:space="preserve"> </w:t>
      </w:r>
      <w:r w:rsidRPr="003B3879">
        <w:t xml:space="preserve">Refer to </w:t>
      </w:r>
      <w:r w:rsidR="00FB74F5">
        <w:t>Figure S10</w:t>
      </w:r>
      <w:r w:rsidRPr="003B3879">
        <w:t xml:space="preserve"> for </w:t>
      </w:r>
      <w:proofErr w:type="gramStart"/>
      <w:r w:rsidRPr="003B3879">
        <w:t>averaged</w:t>
      </w:r>
      <w:proofErr w:type="gramEnd"/>
      <w:r w:rsidRPr="003B3879">
        <w:t xml:space="preserve"> heatmaps for </w:t>
      </w:r>
      <w:r>
        <w:t xml:space="preserve">individual </w:t>
      </w:r>
      <w:r w:rsidRPr="003B3879">
        <w:t>interconnection</w:t>
      </w:r>
      <w:r>
        <w:t>s</w:t>
      </w:r>
      <w:r w:rsidRPr="003B3879">
        <w:t xml:space="preserve"> under </w:t>
      </w:r>
      <w:r>
        <w:rPr>
          <w:i/>
          <w:iCs/>
        </w:rPr>
        <w:t xml:space="preserve">Full Coordination </w:t>
      </w:r>
      <w:r>
        <w:t xml:space="preserve">and </w:t>
      </w:r>
      <w:r>
        <w:rPr>
          <w:i/>
          <w:iCs/>
        </w:rPr>
        <w:t>Mitigation</w:t>
      </w:r>
      <w:r w:rsidRPr="003B3879">
        <w:t>.</w:t>
      </w:r>
      <w:r>
        <w:t xml:space="preserve"> Under the </w:t>
      </w:r>
      <w:r>
        <w:rPr>
          <w:i/>
          <w:iCs/>
        </w:rPr>
        <w:t xml:space="preserve">Reference </w:t>
      </w:r>
      <w:r>
        <w:t xml:space="preserve">case, trading electricity is done primarily to lower costs through balancing the grid, which remains strongly influenced by hydropower but sees increasing fossil fuel use. Under </w:t>
      </w:r>
      <w:r>
        <w:rPr>
          <w:i/>
          <w:iCs/>
        </w:rPr>
        <w:t>Mitigation</w:t>
      </w:r>
      <w:r>
        <w:t xml:space="preserve"> </w:t>
      </w:r>
      <w:r w:rsidRPr="0092181A">
        <w:rPr>
          <w:b/>
          <w:bCs/>
        </w:rPr>
        <w:t>(b)</w:t>
      </w:r>
      <w:r>
        <w:t xml:space="preserve">, however, </w:t>
      </w:r>
      <w:r>
        <w:rPr>
          <w:i/>
          <w:iCs/>
        </w:rPr>
        <w:t xml:space="preserve">Full Coordination </w:t>
      </w:r>
      <w:r>
        <w:t xml:space="preserve">also enables more strategic deployment of large amounts of wind and solar capacity, to capture the most economic and highest quality resources throughout the </w:t>
      </w:r>
      <w:r w:rsidRPr="003B3879">
        <w:t xml:space="preserve">region. Additionally, the </w:t>
      </w:r>
      <w:r>
        <w:t>impact</w:t>
      </w:r>
      <w:r w:rsidRPr="003B3879">
        <w:t xml:space="preserve"> of seasonal hydropower availability on trade patterns </w:t>
      </w:r>
      <w:r>
        <w:t xml:space="preserve">is diminished under </w:t>
      </w:r>
      <w:r>
        <w:rPr>
          <w:i/>
          <w:iCs/>
        </w:rPr>
        <w:t>Mitigation</w:t>
      </w:r>
      <w:r>
        <w:t xml:space="preserve">, as wind and solar gain prominence in the generation mix. </w:t>
      </w:r>
      <w:r w:rsidRPr="00A02EE8">
        <w:t xml:space="preserve">In both cases, </w:t>
      </w:r>
      <w:r>
        <w:t xml:space="preserve">substantially higher cross-border trade occurs overnight; panel </w:t>
      </w:r>
      <w:r>
        <w:rPr>
          <w:b/>
          <w:bCs/>
        </w:rPr>
        <w:t xml:space="preserve">(c) </w:t>
      </w:r>
      <w:r>
        <w:t xml:space="preserve">shows this effect is relatively even stronger for the </w:t>
      </w:r>
      <w:r>
        <w:rPr>
          <w:i/>
          <w:iCs/>
        </w:rPr>
        <w:t xml:space="preserve">Mitigation </w:t>
      </w:r>
      <w:r>
        <w:t xml:space="preserve">case. Further, the increase in trade is higher for the </w:t>
      </w:r>
      <w:r>
        <w:rPr>
          <w:i/>
          <w:iCs/>
        </w:rPr>
        <w:t xml:space="preserve">Mitigation </w:t>
      </w:r>
      <w:r>
        <w:t>case in every timepoint except around the month of March, a high-load, high-hydropower month for this system.</w:t>
      </w:r>
    </w:p>
    <w:p w14:paraId="5D6FB44B" w14:textId="77777777" w:rsidR="008B4DA8" w:rsidRDefault="008B4DA8" w:rsidP="00FB7F6F">
      <w:pPr>
        <w:pStyle w:val="FigureCaption"/>
      </w:pPr>
    </w:p>
    <w:p w14:paraId="69CABE47" w14:textId="77777777" w:rsidR="008B4DA8" w:rsidRPr="008324EB" w:rsidRDefault="008B4DA8" w:rsidP="008B4DA8">
      <w:pPr>
        <w:pStyle w:val="Figure"/>
      </w:pPr>
      <w:r>
        <w:drawing>
          <wp:inline distT="0" distB="0" distL="0" distR="0" wp14:anchorId="585621EE" wp14:editId="1ED54C4E">
            <wp:extent cx="5486400" cy="3807211"/>
            <wp:effectExtent l="0" t="0" r="0" b="3175"/>
            <wp:docPr id="1379672132"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03548" name="Picture 1" descr="A screenshot of a graph&#10;&#10;Description automatically generated"/>
                    <pic:cNvPicPr>
                      <a:picLocks noChangeAspect="1" noChangeArrowheads="1"/>
                    </pic:cNvPicPr>
                  </pic:nvPicPr>
                  <pic:blipFill>
                    <a:blip r:embed="rId24" cstate="hqprint">
                      <a:extLst>
                        <a:ext uri="{28A0092B-C50C-407E-A947-70E740481C1C}">
                          <a14:useLocalDpi xmlns:a14="http://schemas.microsoft.com/office/drawing/2010/main" val="0"/>
                        </a:ext>
                      </a:extLst>
                    </a:blip>
                    <a:srcRect/>
                    <a:stretch>
                      <a:fillRect/>
                    </a:stretch>
                  </pic:blipFill>
                  <pic:spPr bwMode="auto">
                    <a:xfrm>
                      <a:off x="0" y="0"/>
                      <a:ext cx="5486400" cy="3807211"/>
                    </a:xfrm>
                    <a:prstGeom prst="rect">
                      <a:avLst/>
                    </a:prstGeom>
                    <a:noFill/>
                    <a:ln>
                      <a:noFill/>
                    </a:ln>
                  </pic:spPr>
                </pic:pic>
              </a:graphicData>
            </a:graphic>
          </wp:inline>
        </w:drawing>
      </w:r>
    </w:p>
    <w:p w14:paraId="0F98F439" w14:textId="77777777" w:rsidR="006258A9" w:rsidRPr="006258A9" w:rsidRDefault="008B4DA8" w:rsidP="006258A9">
      <w:pPr>
        <w:pStyle w:val="FigureCaption"/>
        <w:rPr>
          <w:noProof/>
          <w:vanish/>
          <w:specVanish/>
        </w:rPr>
      </w:pPr>
      <w:bookmarkStart w:id="64" w:name="_Ref184123903"/>
      <w:bookmarkStart w:id="65" w:name="_Toc194577063"/>
      <w:r>
        <w:t>Figure S</w:t>
      </w:r>
      <w:r w:rsidR="00FB74F5">
        <w:rPr>
          <w:noProof/>
        </w:rPr>
        <w:t>10</w:t>
      </w:r>
      <w:bookmarkEnd w:id="64"/>
      <w:bookmarkEnd w:id="65"/>
    </w:p>
    <w:p w14:paraId="21F290F9" w14:textId="79DDF01E" w:rsidR="008B4DA8" w:rsidRDefault="008B4DA8" w:rsidP="006258A9">
      <w:pPr>
        <w:pStyle w:val="Style4"/>
      </w:pPr>
      <w:r>
        <w:t xml:space="preserve">: </w:t>
      </w:r>
      <w:r w:rsidRPr="008324EB">
        <w:t xml:space="preserve">Heatmaps showing seasonal and diurnal patterns of average net bilateral electricity trade in the year 2050 for each interconnection under </w:t>
      </w:r>
      <w:r w:rsidRPr="008324EB">
        <w:rPr>
          <w:i/>
          <w:iCs/>
        </w:rPr>
        <w:t>Full Coordination</w:t>
      </w:r>
      <w:r w:rsidRPr="008324EB">
        <w:t xml:space="preserve"> + </w:t>
      </w:r>
      <w:r>
        <w:rPr>
          <w:i/>
          <w:iCs/>
        </w:rPr>
        <w:t>Mitigation (</w:t>
      </w:r>
      <w:r w:rsidRPr="008324EB">
        <w:rPr>
          <w:i/>
          <w:iCs/>
        </w:rPr>
        <w:t>90% CO</w:t>
      </w:r>
      <w:r w:rsidRPr="008324EB">
        <w:rPr>
          <w:i/>
          <w:iCs/>
          <w:vertAlign w:val="subscript"/>
        </w:rPr>
        <w:t>2</w:t>
      </w:r>
      <w:r w:rsidRPr="008324EB">
        <w:rPr>
          <w:i/>
          <w:iCs/>
        </w:rPr>
        <w:t xml:space="preserve"> Cut</w:t>
      </w:r>
      <w:r>
        <w:rPr>
          <w:i/>
          <w:iCs/>
        </w:rPr>
        <w:t>)</w:t>
      </w:r>
      <w:r w:rsidRPr="008324EB">
        <w:t xml:space="preserve"> scenarios. All heatmap color bars are centered at zero, though the scale (magnitude) varies across panels. Each panel contains information from </w:t>
      </w:r>
      <w:proofErr w:type="gramStart"/>
      <w:r w:rsidRPr="008324EB">
        <w:t>averaging</w:t>
      </w:r>
      <w:proofErr w:type="gramEnd"/>
      <w:r w:rsidRPr="008324EB">
        <w:t xml:space="preserve"> 20 model realizations; therefore, values near zero may not suggest minimal trade, but rather equivalent amounts of electricity flowing on average in each direction during that month-hourly timepoint.</w:t>
      </w:r>
      <w:r w:rsidRPr="00C26B39">
        <w:t xml:space="preserve"> </w:t>
      </w:r>
      <w:r>
        <w:t xml:space="preserve">This figure </w:t>
      </w:r>
      <w:r w:rsidRPr="008324EB">
        <w:t xml:space="preserve">shows seasonal and diurnal patterns of average net electricity trade in 2050 for each of the six modeled interconnections under </w:t>
      </w:r>
      <w:r>
        <w:rPr>
          <w:i/>
          <w:iCs/>
        </w:rPr>
        <w:t>Mitigation</w:t>
      </w:r>
      <w:r w:rsidRPr="008324EB">
        <w:t xml:space="preserve"> and </w:t>
      </w:r>
      <w:r w:rsidRPr="008324EB">
        <w:rPr>
          <w:i/>
          <w:iCs/>
        </w:rPr>
        <w:t>Full Coordination</w:t>
      </w:r>
      <w:r w:rsidRPr="008324EB">
        <w:t>. The diurnal effect of Chile’s solar generation can be seen in</w:t>
      </w:r>
      <w:r>
        <w:t xml:space="preserve"> </w:t>
      </w:r>
      <w:r w:rsidRPr="00FF339C">
        <w:rPr>
          <w:b/>
          <w:bCs/>
        </w:rPr>
        <w:t>(b)</w:t>
      </w:r>
      <w:r w:rsidRPr="008324EB">
        <w:t>, while imports to Argentina during seasonal periods of lower wind generation can be seen i</w:t>
      </w:r>
      <w:r>
        <w:t>n</w:t>
      </w:r>
      <w:r w:rsidRPr="008324EB">
        <w:t xml:space="preserve"> </w:t>
      </w:r>
      <w:r w:rsidRPr="00FF339C">
        <w:rPr>
          <w:b/>
          <w:bCs/>
        </w:rPr>
        <w:t>(a, c)</w:t>
      </w:r>
      <w:r w:rsidRPr="008324EB">
        <w:t>. To accommodate this increased electricity trade in later years, new transmission capacity is built between Argentina-Chile and Argentina-Brazil (</w:t>
      </w:r>
      <w:r w:rsidR="00FB74F5" w:rsidRPr="00FB7F6F">
        <w:t>Figure S</w:t>
      </w:r>
      <w:r w:rsidR="00FB74F5">
        <w:t>8</w:t>
      </w:r>
      <w:r w:rsidRPr="008324EB">
        <w:t xml:space="preserve">). Under </w:t>
      </w:r>
      <w:r w:rsidRPr="008324EB">
        <w:rPr>
          <w:i/>
          <w:iCs/>
        </w:rPr>
        <w:t>Limited Coordination</w:t>
      </w:r>
      <w:r w:rsidRPr="008324EB">
        <w:t>, Chile instead relies on battery storage to integrate its solar resources (</w:t>
      </w:r>
      <w:r w:rsidR="00FB74F5" w:rsidRPr="00FB7F6F">
        <w:t>Figure S</w:t>
      </w:r>
      <w:r w:rsidR="00FB74F5">
        <w:t>4</w:t>
      </w:r>
      <w:r w:rsidRPr="008324EB">
        <w:t>), and in some cases, wind capacity (</w:t>
      </w:r>
      <w:r w:rsidR="00FB74F5" w:rsidRPr="00FB7F6F">
        <w:t>Figure S</w:t>
      </w:r>
      <w:r w:rsidR="00FB74F5">
        <w:t>1</w:t>
      </w:r>
      <w:r w:rsidRPr="008324EB">
        <w:t xml:space="preserve">). Finally, the peak daily generation of both solar (day) and wind (night) can be seen in </w:t>
      </w:r>
      <w:r w:rsidRPr="00FF339C">
        <w:rPr>
          <w:b/>
          <w:bCs/>
        </w:rPr>
        <w:t>(e)</w:t>
      </w:r>
      <w:r w:rsidRPr="008324EB">
        <w:t>, when Paraguay’s steady exports to Brazil are slightly dampened by the availability of intermittent renewables</w:t>
      </w:r>
      <w:r>
        <w:t>.</w:t>
      </w:r>
      <w:r w:rsidRPr="008324EB">
        <w:t xml:space="preserve"> </w:t>
      </w:r>
      <w:r w:rsidRPr="00FF339C">
        <w:rPr>
          <w:b/>
          <w:bCs/>
        </w:rPr>
        <w:t>(d, f)</w:t>
      </w:r>
      <w:r>
        <w:t xml:space="preserve"> show the minimal trade between Uruguay and Argentina under </w:t>
      </w:r>
      <w:r>
        <w:rPr>
          <w:i/>
          <w:iCs/>
        </w:rPr>
        <w:t>Mitigation</w:t>
      </w:r>
      <w:r>
        <w:t>, and that Uruguay instead primarily utilizes its interconnection with Brazil for balancing.</w:t>
      </w:r>
    </w:p>
    <w:p w14:paraId="67D4783F" w14:textId="77777777" w:rsidR="008B4DA8" w:rsidRPr="00BA1D00" w:rsidRDefault="008B4DA8" w:rsidP="008B4DA8">
      <w:pPr>
        <w:pStyle w:val="Figure"/>
      </w:pPr>
      <w:r w:rsidRPr="00BA1D00">
        <w:lastRenderedPageBreak/>
        <w:drawing>
          <wp:inline distT="0" distB="0" distL="0" distR="0" wp14:anchorId="1F78BB92" wp14:editId="46CDE4A3">
            <wp:extent cx="5943600" cy="4551045"/>
            <wp:effectExtent l="0" t="0" r="0" b="1905"/>
            <wp:docPr id="1898287301" name="Picture 5" descr="A graph of different types of solar and hydr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287301" name="Picture 5" descr="A graph of different types of solar and hydro&#10;&#10;AI-generated content may be incorrect."/>
                    <pic:cNvPicPr>
                      <a:picLocks noChangeAspect="1" noChangeArrowheads="1"/>
                    </pic:cNvPicPr>
                  </pic:nvPicPr>
                  <pic:blipFill>
                    <a:blip r:embed="rId25" cstate="hqprint">
                      <a:extLst>
                        <a:ext uri="{28A0092B-C50C-407E-A947-70E740481C1C}">
                          <a14:useLocalDpi xmlns:a14="http://schemas.microsoft.com/office/drawing/2010/main" val="0"/>
                        </a:ext>
                      </a:extLst>
                    </a:blip>
                    <a:srcRect/>
                    <a:stretch>
                      <a:fillRect/>
                    </a:stretch>
                  </pic:blipFill>
                  <pic:spPr bwMode="auto">
                    <a:xfrm>
                      <a:off x="0" y="0"/>
                      <a:ext cx="5943600" cy="4551045"/>
                    </a:xfrm>
                    <a:prstGeom prst="rect">
                      <a:avLst/>
                    </a:prstGeom>
                    <a:noFill/>
                    <a:ln>
                      <a:noFill/>
                    </a:ln>
                  </pic:spPr>
                </pic:pic>
              </a:graphicData>
            </a:graphic>
          </wp:inline>
        </w:drawing>
      </w:r>
    </w:p>
    <w:p w14:paraId="3F47A9C2" w14:textId="77777777" w:rsidR="006258A9" w:rsidRPr="006258A9" w:rsidRDefault="008B4DA8" w:rsidP="006258A9">
      <w:pPr>
        <w:pStyle w:val="FigureCaption"/>
        <w:rPr>
          <w:noProof/>
          <w:vanish/>
          <w:specVanish/>
        </w:rPr>
      </w:pPr>
      <w:bookmarkStart w:id="66" w:name="_Ref175572089"/>
      <w:bookmarkStart w:id="67" w:name="_Toc194577064"/>
      <w:r w:rsidRPr="00BA1D00">
        <w:t>Figure S</w:t>
      </w:r>
      <w:r w:rsidR="00FB74F5">
        <w:rPr>
          <w:noProof/>
        </w:rPr>
        <w:t>11</w:t>
      </w:r>
      <w:bookmarkEnd w:id="66"/>
      <w:bookmarkEnd w:id="67"/>
    </w:p>
    <w:p w14:paraId="5D15ECD7" w14:textId="3B4846E7" w:rsidR="008B4DA8" w:rsidRPr="00BA1D00" w:rsidRDefault="008B4DA8" w:rsidP="006258A9">
      <w:pPr>
        <w:pStyle w:val="Style4"/>
      </w:pPr>
      <w:r w:rsidRPr="00BA1D00">
        <w:t xml:space="preserve">: Same as </w:t>
      </w:r>
      <w:r w:rsidR="00FB74F5" w:rsidRPr="00FB74F5">
        <w:t>Figure 5</w:t>
      </w:r>
      <w:r w:rsidRPr="00BA1D00">
        <w:t xml:space="preserve">, but IQR ratio is computed between </w:t>
      </w:r>
      <w:r w:rsidRPr="00BA1D00">
        <w:rPr>
          <w:i/>
          <w:iCs/>
        </w:rPr>
        <w:t xml:space="preserve">Full Coordination </w:t>
      </w:r>
      <w:r w:rsidRPr="00BA1D00">
        <w:t xml:space="preserve">and </w:t>
      </w:r>
      <w:r w:rsidRPr="00BA1D00">
        <w:rPr>
          <w:i/>
          <w:iCs/>
        </w:rPr>
        <w:t>Limited Coordination</w:t>
      </w:r>
      <w:r w:rsidRPr="00BA1D00">
        <w:t xml:space="preserve"> cases. </w:t>
      </w:r>
      <w:r>
        <w:t>T</w:t>
      </w:r>
      <w:r w:rsidRPr="00BA1D00">
        <w:t>he markers</w:t>
      </w:r>
      <w:r>
        <w:t xml:space="preserve"> now show the differences between these IQR ratios for </w:t>
      </w:r>
      <w:r>
        <w:rPr>
          <w:i/>
          <w:iCs/>
        </w:rPr>
        <w:t xml:space="preserve">Reference </w:t>
      </w:r>
      <w:r>
        <w:t xml:space="preserve">and </w:t>
      </w:r>
      <w:r>
        <w:rPr>
          <w:i/>
          <w:iCs/>
        </w:rPr>
        <w:t xml:space="preserve">Mitigation </w:t>
      </w:r>
      <w:r>
        <w:t xml:space="preserve">scenarios. (By contrast, </w:t>
      </w:r>
      <w:r w:rsidR="00FB74F5" w:rsidRPr="00FB74F5">
        <w:t>Figure 5</w:t>
      </w:r>
      <w:r>
        <w:t xml:space="preserve"> computes the IQR ratios between </w:t>
      </w:r>
      <w:r>
        <w:rPr>
          <w:i/>
          <w:iCs/>
        </w:rPr>
        <w:t>Reference</w:t>
      </w:r>
      <w:r>
        <w:t xml:space="preserve"> and </w:t>
      </w:r>
      <w:r>
        <w:rPr>
          <w:i/>
          <w:iCs/>
        </w:rPr>
        <w:t>Mitigation</w:t>
      </w:r>
      <w:r>
        <w:t>, and plots by level of coordination).</w:t>
      </w:r>
    </w:p>
    <w:p w14:paraId="2D2BD9C9" w14:textId="77777777" w:rsidR="008B4DA8" w:rsidRDefault="008B4DA8" w:rsidP="008B4DA8">
      <w:pPr>
        <w:pStyle w:val="Figure"/>
      </w:pPr>
      <w:r>
        <w:lastRenderedPageBreak/>
        <w:drawing>
          <wp:inline distT="0" distB="0" distL="0" distR="0" wp14:anchorId="79F75D48" wp14:editId="63C90AB8">
            <wp:extent cx="5938520" cy="4519295"/>
            <wp:effectExtent l="0" t="0" r="5080" b="0"/>
            <wp:docPr id="2137548586" name="Picture 5" descr="A diagram of different colored map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548586" name="Picture 5" descr="A diagram of different colored maps&#10;&#10;AI-generated content may be incorrect."/>
                    <pic:cNvPicPr>
                      <a:picLocks noChangeAspect="1" noChangeArrowheads="1"/>
                    </pic:cNvPicPr>
                  </pic:nvPicPr>
                  <pic:blipFill>
                    <a:blip r:embed="rId26" cstate="hqprint">
                      <a:extLst>
                        <a:ext uri="{28A0092B-C50C-407E-A947-70E740481C1C}">
                          <a14:useLocalDpi xmlns:a14="http://schemas.microsoft.com/office/drawing/2010/main" val="0"/>
                        </a:ext>
                      </a:extLst>
                    </a:blip>
                    <a:srcRect/>
                    <a:stretch>
                      <a:fillRect/>
                    </a:stretch>
                  </pic:blipFill>
                  <pic:spPr bwMode="auto">
                    <a:xfrm>
                      <a:off x="0" y="0"/>
                      <a:ext cx="5938520" cy="4519295"/>
                    </a:xfrm>
                    <a:prstGeom prst="rect">
                      <a:avLst/>
                    </a:prstGeom>
                    <a:noFill/>
                    <a:ln>
                      <a:noFill/>
                    </a:ln>
                  </pic:spPr>
                </pic:pic>
              </a:graphicData>
            </a:graphic>
          </wp:inline>
        </w:drawing>
      </w:r>
    </w:p>
    <w:p w14:paraId="65B8A333" w14:textId="77777777" w:rsidR="006258A9" w:rsidRPr="006258A9" w:rsidRDefault="008B4DA8" w:rsidP="006258A9">
      <w:pPr>
        <w:pStyle w:val="FigureCaption"/>
        <w:rPr>
          <w:noProof/>
          <w:vanish/>
          <w:specVanish/>
        </w:rPr>
      </w:pPr>
      <w:bookmarkStart w:id="68" w:name="_Ref184123044"/>
      <w:bookmarkStart w:id="69" w:name="_Toc194577065"/>
      <w:r>
        <w:t>Figure S</w:t>
      </w:r>
      <w:r w:rsidR="00FB74F5">
        <w:rPr>
          <w:noProof/>
        </w:rPr>
        <w:t>12</w:t>
      </w:r>
      <w:bookmarkEnd w:id="68"/>
      <w:bookmarkEnd w:id="69"/>
    </w:p>
    <w:p w14:paraId="064EBA28" w14:textId="7759C998" w:rsidR="008B4DA8" w:rsidRPr="00C46C5D" w:rsidRDefault="008B4DA8" w:rsidP="006258A9">
      <w:pPr>
        <w:pStyle w:val="Style4"/>
        <w:rPr>
          <w:b/>
          <w:bCs/>
        </w:rPr>
      </w:pPr>
      <w:r>
        <w:t xml:space="preserve">: </w:t>
      </w:r>
      <w:r w:rsidRPr="001E2ECE">
        <w:t xml:space="preserve">Patterns of region-wide wind and solar deployment. Maps show sites for building new </w:t>
      </w:r>
      <w:r w:rsidRPr="00C46C5D">
        <w:rPr>
          <w:b/>
          <w:bCs/>
        </w:rPr>
        <w:t>(a)</w:t>
      </w:r>
      <w:r w:rsidRPr="001E2ECE">
        <w:t xml:space="preserve"> solar and </w:t>
      </w:r>
      <w:r w:rsidRPr="00C46C5D">
        <w:rPr>
          <w:b/>
          <w:bCs/>
        </w:rPr>
        <w:t>(b)</w:t>
      </w:r>
      <w:r w:rsidRPr="001E2ECE">
        <w:t xml:space="preserve"> wind projects (pre-processed for viability), colored by mean annual capacity factor. </w:t>
      </w:r>
      <w:r w:rsidRPr="00C46C5D">
        <w:rPr>
          <w:b/>
          <w:bCs/>
        </w:rPr>
        <w:t>(c)</w:t>
      </w:r>
      <w:r w:rsidRPr="001E2ECE">
        <w:t xml:space="preserve"> Locations of existing transmission lines, the proximity to which affects wind and solar project costs. </w:t>
      </w:r>
      <w:r w:rsidRPr="00C46C5D">
        <w:rPr>
          <w:b/>
          <w:bCs/>
        </w:rPr>
        <w:t>(d)</w:t>
      </w:r>
      <w:r w:rsidRPr="001E2ECE">
        <w:t xml:space="preserve"> Preference </w:t>
      </w:r>
      <w:r>
        <w:t xml:space="preserve">metric </w:t>
      </w:r>
      <w:r w:rsidRPr="001E2ECE">
        <w:t>for wind vs. solar PV</w:t>
      </w:r>
      <w:r>
        <w:t xml:space="preserve"> capacity</w:t>
      </w:r>
      <w:r w:rsidRPr="001E2ECE">
        <w:t xml:space="preserve">, </w:t>
      </w:r>
      <w:r w:rsidRPr="00C46C5D">
        <w:t xml:space="preserve">computed as the installed proportion of each relative to their cumulative sum in 2050. </w:t>
      </w:r>
      <w:r>
        <w:t xml:space="preserve">This metric is </w:t>
      </w:r>
      <w:r w:rsidRPr="00922D98">
        <w:t xml:space="preserve">computed as the installed proportion of </w:t>
      </w:r>
      <w:r>
        <w:t>a single technology (i.e., wind or solar PV)</w:t>
      </w:r>
      <w:r w:rsidRPr="00922D98">
        <w:t xml:space="preserve"> </w:t>
      </w:r>
      <w:r>
        <w:t xml:space="preserve">in a given model period </w:t>
      </w:r>
      <w:r w:rsidRPr="00922D98">
        <w:t xml:space="preserve">relative to </w:t>
      </w:r>
      <w:r>
        <w:t xml:space="preserve">the </w:t>
      </w:r>
      <w:r w:rsidRPr="00922D98">
        <w:t xml:space="preserve">cumulative sum </w:t>
      </w:r>
      <w:r>
        <w:t xml:space="preserve">of wind and solar PV capacity </w:t>
      </w:r>
      <w:r w:rsidRPr="00922D98">
        <w:t xml:space="preserve">in </w:t>
      </w:r>
      <w:r>
        <w:t xml:space="preserve">the same model period. </w:t>
      </w:r>
      <w:r w:rsidRPr="00C46C5D">
        <w:t xml:space="preserve">This metric can be used to assess how substitutable these technologies may become under techno-economic uncertainty. </w:t>
      </w:r>
      <w:r w:rsidRPr="00FF339C">
        <w:rPr>
          <w:b/>
          <w:bCs/>
        </w:rPr>
        <w:t>(d)</w:t>
      </w:r>
      <w:r w:rsidRPr="00C46C5D">
        <w:t xml:space="preserve"> shows that under </w:t>
      </w:r>
      <w:r>
        <w:rPr>
          <w:i/>
          <w:iCs/>
        </w:rPr>
        <w:t xml:space="preserve">Mitigation </w:t>
      </w:r>
      <w:r w:rsidRPr="00C46C5D">
        <w:t xml:space="preserve">where fossil-based generation is largely constrained, there is a preference system-wide for installing more wind capacity than solar PV. Under no such emissions target, deployment slightly favors solar PV under </w:t>
      </w:r>
      <w:r w:rsidRPr="00C46C5D">
        <w:rPr>
          <w:i/>
          <w:iCs/>
        </w:rPr>
        <w:t>1-Axis tracking</w:t>
      </w:r>
      <w:r w:rsidRPr="00C46C5D">
        <w:t xml:space="preserve"> and is roughly equal when </w:t>
      </w:r>
      <w:r w:rsidRPr="00C46C5D">
        <w:rPr>
          <w:i/>
          <w:iCs/>
        </w:rPr>
        <w:t xml:space="preserve">Fixed Solar </w:t>
      </w:r>
      <w:r w:rsidRPr="00C46C5D">
        <w:t xml:space="preserve">is deployed. The variability in this preference, which is driven by the techno-economic uncertainty across solar PV and turbine types, is greatly reduced under </w:t>
      </w:r>
      <w:r>
        <w:rPr>
          <w:i/>
          <w:iCs/>
        </w:rPr>
        <w:t>Mitigation</w:t>
      </w:r>
      <w:r w:rsidRPr="00C46C5D">
        <w:t xml:space="preserve">, and is further narrowed under </w:t>
      </w:r>
      <w:r w:rsidRPr="00C46C5D">
        <w:rPr>
          <w:i/>
          <w:iCs/>
        </w:rPr>
        <w:t>Full Coordination</w:t>
      </w:r>
      <w:r w:rsidRPr="00C46C5D">
        <w:t xml:space="preserve">. Lower absolute variability in the preference metric in </w:t>
      </w:r>
      <w:r>
        <w:rPr>
          <w:i/>
          <w:iCs/>
        </w:rPr>
        <w:t>Mitigation</w:t>
      </w:r>
      <w:r w:rsidRPr="00C46C5D">
        <w:rPr>
          <w:i/>
          <w:iCs/>
        </w:rPr>
        <w:t xml:space="preserve"> </w:t>
      </w:r>
      <w:r w:rsidRPr="00C46C5D">
        <w:t xml:space="preserve">scenarios is due in part to much higher deployment of variable renewable energy (VRE, i.e., wind and solar) under deep decarbonization. Further, differences in wind and solar deployment across scenarios which offset system-wide can still result in considerably different capacity expansion outcomes for individual countries and are dependent on the uncertain technology characteristics modeled in addition to the emissions pathway and level of coordination. </w:t>
      </w:r>
      <w:r w:rsidR="00FB74F5" w:rsidRPr="00FB7F6F">
        <w:t>Figure S</w:t>
      </w:r>
      <w:r w:rsidR="00FB74F5">
        <w:t>15</w:t>
      </w:r>
      <w:r w:rsidRPr="00C46C5D">
        <w:t xml:space="preserve"> and </w:t>
      </w:r>
      <w:r w:rsidR="00FB74F5" w:rsidRPr="00FB7F6F">
        <w:t>Figure S</w:t>
      </w:r>
      <w:r w:rsidR="00FB74F5">
        <w:t>16</w:t>
      </w:r>
      <w:r w:rsidRPr="001E2ECE">
        <w:t xml:space="preserve"> give annual capacity factors for each wind and solar technology, respectively, for each project site considered. </w:t>
      </w:r>
      <w:r w:rsidR="00FB74F5" w:rsidRPr="00FB7F6F">
        <w:t>Figure S</w:t>
      </w:r>
      <w:r w:rsidR="00FB74F5">
        <w:t>14</w:t>
      </w:r>
      <w:r w:rsidRPr="001E2ECE">
        <w:t xml:space="preserve"> shows the distance from each project site to the nearest transmission line within the same </w:t>
      </w:r>
      <w:r w:rsidRPr="00237128">
        <w:t xml:space="preserve">country. </w:t>
      </w:r>
      <w:r w:rsidR="00237128" w:rsidRPr="00237128">
        <w:t>Table S</w:t>
      </w:r>
      <w:r w:rsidR="00237128" w:rsidRPr="00237128">
        <w:rPr>
          <w:noProof/>
        </w:rPr>
        <w:t>7</w:t>
      </w:r>
      <w:r w:rsidR="00237128" w:rsidRPr="00237128">
        <w:t xml:space="preserve"> </w:t>
      </w:r>
      <w:r w:rsidRPr="00237128">
        <w:t>give</w:t>
      </w:r>
      <w:r w:rsidR="009F5BA2">
        <w:t>s</w:t>
      </w:r>
      <w:r w:rsidRPr="00237128">
        <w:t xml:space="preserve"> summary statistics for each country </w:t>
      </w:r>
      <w:r w:rsidRPr="00237128">
        <w:rPr>
          <w:color w:val="auto"/>
        </w:rPr>
        <w:t>(tota</w:t>
      </w:r>
      <w:r w:rsidRPr="001E2ECE">
        <w:rPr>
          <w:color w:val="auto"/>
        </w:rPr>
        <w:t>l res</w:t>
      </w:r>
      <w:r w:rsidRPr="001E2ECE">
        <w:t>ource potential and mean annual capacity factor).</w:t>
      </w:r>
    </w:p>
    <w:p w14:paraId="1548449C" w14:textId="77777777" w:rsidR="008B4DA8" w:rsidRDefault="008B4DA8" w:rsidP="008B4DA8">
      <w:pPr>
        <w:pStyle w:val="Figure"/>
        <w:rPr>
          <w:b/>
          <w:bCs/>
        </w:rPr>
      </w:pPr>
      <w:r>
        <w:lastRenderedPageBreak/>
        <w:drawing>
          <wp:inline distT="0" distB="0" distL="0" distR="0" wp14:anchorId="3CD62D9F" wp14:editId="7FA110B6">
            <wp:extent cx="5943600" cy="5217795"/>
            <wp:effectExtent l="0" t="0" r="0" b="1905"/>
            <wp:docPr id="1030315355" name="Picture 3"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15355" name="Picture 3" descr="A graph of different colored lines&#10;&#10;Description automatically generated"/>
                    <pic:cNvPicPr>
                      <a:picLocks noChangeAspect="1" noChangeArrowheads="1"/>
                    </pic:cNvPicPr>
                  </pic:nvPicPr>
                  <pic:blipFill>
                    <a:blip r:embed="rId27" cstate="hqprint">
                      <a:extLst>
                        <a:ext uri="{28A0092B-C50C-407E-A947-70E740481C1C}">
                          <a14:useLocalDpi xmlns:a14="http://schemas.microsoft.com/office/drawing/2010/main" val="0"/>
                        </a:ext>
                      </a:extLst>
                    </a:blip>
                    <a:srcRect/>
                    <a:stretch>
                      <a:fillRect/>
                    </a:stretch>
                  </pic:blipFill>
                  <pic:spPr bwMode="auto">
                    <a:xfrm>
                      <a:off x="0" y="0"/>
                      <a:ext cx="5943600" cy="5217795"/>
                    </a:xfrm>
                    <a:prstGeom prst="rect">
                      <a:avLst/>
                    </a:prstGeom>
                    <a:noFill/>
                    <a:ln>
                      <a:noFill/>
                    </a:ln>
                  </pic:spPr>
                </pic:pic>
              </a:graphicData>
            </a:graphic>
          </wp:inline>
        </w:drawing>
      </w:r>
    </w:p>
    <w:p w14:paraId="508ECDA1" w14:textId="77777777" w:rsidR="006258A9" w:rsidRPr="006258A9" w:rsidRDefault="008B4DA8" w:rsidP="006258A9">
      <w:pPr>
        <w:pStyle w:val="FigureCaption"/>
        <w:rPr>
          <w:noProof/>
          <w:vanish/>
          <w:specVanish/>
        </w:rPr>
      </w:pPr>
      <w:bookmarkStart w:id="70" w:name="_Ref164871814"/>
      <w:bookmarkStart w:id="71" w:name="_Toc194577066"/>
      <w:r w:rsidRPr="000A0C2C">
        <w:t>Figure S</w:t>
      </w:r>
      <w:r w:rsidR="00FB74F5">
        <w:rPr>
          <w:noProof/>
        </w:rPr>
        <w:t>13</w:t>
      </w:r>
      <w:bookmarkEnd w:id="70"/>
      <w:bookmarkEnd w:id="71"/>
    </w:p>
    <w:p w14:paraId="107CD15E" w14:textId="1173774D" w:rsidR="008B4DA8" w:rsidRPr="000A0C2C" w:rsidRDefault="008B4DA8" w:rsidP="006258A9">
      <w:pPr>
        <w:pStyle w:val="Style4"/>
      </w:pPr>
      <w:r w:rsidRPr="000A0C2C">
        <w:t>: Country-level decarbonization pathways illustrated through parallel axis plots of the relative preference for wind vs. solar PV as the primary variable renewable energy source (left vertical axes). Also shown are boxplots of the sum total capacities of wind and solar PV installed in each country (right vertical axes)</w:t>
      </w:r>
      <w:r>
        <w:t xml:space="preserve"> by 2050</w:t>
      </w:r>
      <w:r w:rsidRPr="000A0C2C">
        <w:t xml:space="preserve">. </w:t>
      </w:r>
      <w:r w:rsidRPr="00FF339C">
        <w:rPr>
          <w:b/>
          <w:bCs/>
        </w:rPr>
        <w:t>(a-d)</w:t>
      </w:r>
      <w:r w:rsidRPr="000A0C2C">
        <w:t xml:space="preserve"> split out four groups of scenarios. Each panel contains 20 lines (one for each combination of 10 turbines and 2 solar PV types), while each boxplot similarly contains 20 data points. A wide range of VRE preference in combination with a large installed VRE capacity thus illustrates high variability in installed wind vs. installed solar PV capacity within a country.</w:t>
      </w:r>
    </w:p>
    <w:p w14:paraId="70F0EA89" w14:textId="77777777" w:rsidR="008B4DA8" w:rsidRDefault="008B4DA8" w:rsidP="008B4DA8">
      <w:pPr>
        <w:pStyle w:val="Figure"/>
      </w:pPr>
      <w:r w:rsidRPr="00164830">
        <w:lastRenderedPageBreak/>
        <w:drawing>
          <wp:inline distT="0" distB="0" distL="0" distR="0" wp14:anchorId="0FBE6DEF" wp14:editId="178C13F0">
            <wp:extent cx="4178300" cy="3087988"/>
            <wp:effectExtent l="0" t="0" r="0" b="0"/>
            <wp:docPr id="5" name="Picture 4" descr="A map of the world&#10;&#10;Description automatically generated">
              <a:extLst xmlns:a="http://schemas.openxmlformats.org/drawingml/2006/main">
                <a:ext uri="{FF2B5EF4-FFF2-40B4-BE49-F238E27FC236}">
                  <a16:creationId xmlns:a16="http://schemas.microsoft.com/office/drawing/2014/main" id="{7112E941-3528-928E-55BD-D34136DF8EE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map of the world&#10;&#10;Description automatically generated">
                      <a:extLst>
                        <a:ext uri="{FF2B5EF4-FFF2-40B4-BE49-F238E27FC236}">
                          <a16:creationId xmlns:a16="http://schemas.microsoft.com/office/drawing/2014/main" id="{7112E941-3528-928E-55BD-D34136DF8EE6}"/>
                        </a:ext>
                      </a:extLst>
                    </pic:cNvPr>
                    <pic:cNvPicPr>
                      <a:picLocks noChangeAspect="1"/>
                    </pic:cNvPicPr>
                  </pic:nvPicPr>
                  <pic:blipFill rotWithShape="1">
                    <a:blip r:embed="rId28"/>
                    <a:srcRect t="8727"/>
                    <a:stretch/>
                  </pic:blipFill>
                  <pic:spPr bwMode="auto">
                    <a:xfrm>
                      <a:off x="0" y="0"/>
                      <a:ext cx="4178321" cy="3088004"/>
                    </a:xfrm>
                    <a:prstGeom prst="rect">
                      <a:avLst/>
                    </a:prstGeom>
                    <a:ln>
                      <a:noFill/>
                    </a:ln>
                    <a:extLst>
                      <a:ext uri="{53640926-AAD7-44D8-BBD7-CCE9431645EC}">
                        <a14:shadowObscured xmlns:a14="http://schemas.microsoft.com/office/drawing/2010/main"/>
                      </a:ext>
                    </a:extLst>
                  </pic:spPr>
                </pic:pic>
              </a:graphicData>
            </a:graphic>
          </wp:inline>
        </w:drawing>
      </w:r>
    </w:p>
    <w:p w14:paraId="07D8C930" w14:textId="77777777" w:rsidR="006258A9" w:rsidRPr="006258A9" w:rsidRDefault="008B4DA8" w:rsidP="006258A9">
      <w:pPr>
        <w:pStyle w:val="FigureCaption"/>
        <w:rPr>
          <w:noProof/>
          <w:vanish/>
          <w:specVanish/>
        </w:rPr>
      </w:pPr>
      <w:bookmarkStart w:id="72" w:name="_Ref165303409"/>
      <w:bookmarkStart w:id="73" w:name="_Toc194577067"/>
      <w:r w:rsidRPr="00FB7F6F">
        <w:t>Figure S</w:t>
      </w:r>
      <w:r w:rsidR="00FB74F5">
        <w:rPr>
          <w:noProof/>
        </w:rPr>
        <w:t>14</w:t>
      </w:r>
      <w:bookmarkEnd w:id="72"/>
      <w:bookmarkEnd w:id="73"/>
    </w:p>
    <w:p w14:paraId="29091842" w14:textId="22AAE306" w:rsidR="008B4DA8" w:rsidRDefault="008B4DA8" w:rsidP="006258A9">
      <w:pPr>
        <w:pStyle w:val="Style4"/>
      </w:pPr>
      <w:r w:rsidRPr="00FB7F6F">
        <w:t>: Distance (in km) from the center of each wind (left) and solar PV (right) project site to the nearest within-country transmission line.</w:t>
      </w:r>
    </w:p>
    <w:p w14:paraId="623F63E7" w14:textId="588C3656" w:rsidR="00FB7F6F" w:rsidRPr="00A02B80" w:rsidRDefault="00FB7F6F" w:rsidP="00FB7F6F">
      <w:pPr>
        <w:pStyle w:val="Figure"/>
      </w:pPr>
      <w:r>
        <w:drawing>
          <wp:inline distT="0" distB="0" distL="0" distR="0" wp14:anchorId="659E62C8" wp14:editId="39C5FC9E">
            <wp:extent cx="5932805" cy="3370580"/>
            <wp:effectExtent l="0" t="0" r="0" b="1270"/>
            <wp:docPr id="445847885" name="Picture 9" descr="A map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847885" name="Picture 9" descr="A map of different countries/regions&#10;&#10;Description automatically generated"/>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5932805" cy="3370580"/>
                    </a:xfrm>
                    <a:prstGeom prst="rect">
                      <a:avLst/>
                    </a:prstGeom>
                    <a:noFill/>
                    <a:ln>
                      <a:noFill/>
                    </a:ln>
                  </pic:spPr>
                </pic:pic>
              </a:graphicData>
            </a:graphic>
          </wp:inline>
        </w:drawing>
      </w:r>
    </w:p>
    <w:p w14:paraId="5AA632DD" w14:textId="77777777" w:rsidR="006258A9" w:rsidRPr="006258A9" w:rsidRDefault="00FB7F6F" w:rsidP="006258A9">
      <w:pPr>
        <w:pStyle w:val="FigureCaption"/>
        <w:rPr>
          <w:noProof/>
          <w:vanish/>
          <w:specVanish/>
        </w:rPr>
      </w:pPr>
      <w:bookmarkStart w:id="74" w:name="_Ref148705382"/>
      <w:bookmarkStart w:id="75" w:name="_Toc194577068"/>
      <w:r w:rsidRPr="00FB7F6F">
        <w:t>Figure S</w:t>
      </w:r>
      <w:r w:rsidR="00FB74F5">
        <w:rPr>
          <w:noProof/>
        </w:rPr>
        <w:t>15</w:t>
      </w:r>
      <w:bookmarkEnd w:id="74"/>
      <w:bookmarkEnd w:id="75"/>
    </w:p>
    <w:p w14:paraId="34E879D9" w14:textId="34FA40B2" w:rsidR="00FB7F6F" w:rsidRPr="002E4F7A" w:rsidRDefault="00FB7F6F" w:rsidP="006258A9">
      <w:pPr>
        <w:pStyle w:val="Style4"/>
        <w:rPr>
          <w:b/>
          <w:bCs/>
          <w:noProof/>
        </w:rPr>
      </w:pPr>
      <w:r w:rsidRPr="00FB7F6F">
        <w:t>:</w:t>
      </w:r>
      <w:r w:rsidRPr="00FB7F6F">
        <w:rPr>
          <w:noProof/>
        </w:rPr>
        <w:t xml:space="preserve"> Grid</w:t>
      </w:r>
      <w:r w:rsidRPr="00A02B80">
        <w:rPr>
          <w:noProof/>
        </w:rPr>
        <w:t>-scale annual average capacity factors of wind power for 10 turbine types.</w:t>
      </w:r>
    </w:p>
    <w:p w14:paraId="55974702" w14:textId="5E4E6BEA" w:rsidR="00FB7F6F" w:rsidRPr="00A02B80" w:rsidRDefault="00FB7F6F" w:rsidP="00FB7F6F">
      <w:pPr>
        <w:pStyle w:val="Figure"/>
      </w:pPr>
      <w:r>
        <w:lastRenderedPageBreak/>
        <w:drawing>
          <wp:inline distT="0" distB="0" distL="0" distR="0" wp14:anchorId="2E2CAC2B" wp14:editId="7B791C73">
            <wp:extent cx="5273675" cy="3200400"/>
            <wp:effectExtent l="0" t="0" r="3175" b="0"/>
            <wp:docPr id="208080962" name="Picture 8" descr="A map of different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80962" name="Picture 8" descr="A map of different countries/regions&#10;&#10;Description automatically generated"/>
                    <pic:cNvPicPr>
                      <a:picLocks noChangeAspect="1" noChangeArrowheads="1"/>
                    </pic:cNvPicPr>
                  </pic:nvPicPr>
                  <pic:blipFill>
                    <a:blip r:embed="rId30" cstate="hqprint">
                      <a:extLst>
                        <a:ext uri="{28A0092B-C50C-407E-A947-70E740481C1C}">
                          <a14:useLocalDpi xmlns:a14="http://schemas.microsoft.com/office/drawing/2010/main" val="0"/>
                        </a:ext>
                      </a:extLst>
                    </a:blip>
                    <a:srcRect/>
                    <a:stretch>
                      <a:fillRect/>
                    </a:stretch>
                  </pic:blipFill>
                  <pic:spPr bwMode="auto">
                    <a:xfrm>
                      <a:off x="0" y="0"/>
                      <a:ext cx="5273675" cy="3200400"/>
                    </a:xfrm>
                    <a:prstGeom prst="rect">
                      <a:avLst/>
                    </a:prstGeom>
                    <a:noFill/>
                    <a:ln>
                      <a:noFill/>
                    </a:ln>
                  </pic:spPr>
                </pic:pic>
              </a:graphicData>
            </a:graphic>
          </wp:inline>
        </w:drawing>
      </w:r>
    </w:p>
    <w:p w14:paraId="1E62CAE1" w14:textId="77777777" w:rsidR="006258A9" w:rsidRPr="006258A9" w:rsidRDefault="00FB7F6F" w:rsidP="006258A9">
      <w:pPr>
        <w:pStyle w:val="FigureCaption"/>
        <w:rPr>
          <w:noProof/>
          <w:vanish/>
          <w:specVanish/>
        </w:rPr>
      </w:pPr>
      <w:bookmarkStart w:id="76" w:name="_Ref148705387"/>
      <w:bookmarkStart w:id="77" w:name="_Toc194577069"/>
      <w:r w:rsidRPr="00FB7F6F">
        <w:t>Figure S</w:t>
      </w:r>
      <w:r w:rsidR="00FB74F5">
        <w:rPr>
          <w:noProof/>
        </w:rPr>
        <w:t>16</w:t>
      </w:r>
      <w:bookmarkEnd w:id="76"/>
      <w:bookmarkEnd w:id="77"/>
    </w:p>
    <w:p w14:paraId="278BF504" w14:textId="4F0DD215" w:rsidR="00FB7F6F" w:rsidRPr="00FB7F6F" w:rsidRDefault="00FB7F6F" w:rsidP="006258A9">
      <w:pPr>
        <w:pStyle w:val="Style4"/>
      </w:pPr>
      <w:r w:rsidRPr="00FB7F6F">
        <w:t>: Grid-scale annual average capacity factors of solar power for two PV panel types.</w:t>
      </w:r>
    </w:p>
    <w:p w14:paraId="1B04EF7A" w14:textId="12CBB5A3" w:rsidR="006F17D9" w:rsidRDefault="008B39DC" w:rsidP="005760A4">
      <w:pPr>
        <w:pStyle w:val="Appendix"/>
      </w:pPr>
      <w:bookmarkStart w:id="78" w:name="_Ref175226914"/>
      <w:bookmarkStart w:id="79" w:name="_Ref175577955"/>
      <w:bookmarkStart w:id="80" w:name="_Ref175585051"/>
      <w:bookmarkStart w:id="81" w:name="_Ref175651269"/>
      <w:bookmarkStart w:id="82" w:name="_Toc180052172"/>
      <w:bookmarkStart w:id="83" w:name="_Toc194577045"/>
      <w:r>
        <w:lastRenderedPageBreak/>
        <w:t xml:space="preserve">Stranded </w:t>
      </w:r>
      <w:bookmarkStart w:id="84" w:name="_Toc176883506"/>
      <w:r w:rsidR="006F17D9">
        <w:t>Coordination Vulnerability</w:t>
      </w:r>
      <w:bookmarkEnd w:id="78"/>
      <w:bookmarkEnd w:id="79"/>
      <w:bookmarkEnd w:id="80"/>
      <w:bookmarkEnd w:id="81"/>
      <w:bookmarkEnd w:id="82"/>
      <w:bookmarkEnd w:id="83"/>
      <w:bookmarkEnd w:id="84"/>
    </w:p>
    <w:p w14:paraId="6F699338" w14:textId="6D028E99" w:rsidR="00E335AC" w:rsidRPr="00E335AC" w:rsidRDefault="00E335AC" w:rsidP="006F17D9">
      <w:r>
        <w:t xml:space="preserve">To consider the possible regret of planning for future interconnection that does not materialize, an additional set of 40 scenarios were run through the model. This group of realizations, termed </w:t>
      </w:r>
      <w:r>
        <w:rPr>
          <w:i/>
          <w:iCs/>
        </w:rPr>
        <w:t>Stranded</w:t>
      </w:r>
      <w:r w:rsidRPr="00CF6180">
        <w:rPr>
          <w:i/>
          <w:iCs/>
        </w:rPr>
        <w:t xml:space="preserve"> </w:t>
      </w:r>
      <w:r>
        <w:rPr>
          <w:i/>
          <w:iCs/>
        </w:rPr>
        <w:t>Coordination</w:t>
      </w:r>
      <w:r>
        <w:t xml:space="preserve">, exogenously defines all capacity expansion decisions to exactly match capacity mixes found under </w:t>
      </w:r>
      <w:r>
        <w:rPr>
          <w:i/>
          <w:iCs/>
        </w:rPr>
        <w:t>Full Coordination</w:t>
      </w:r>
      <w:r>
        <w:t xml:space="preserve">. In contrast, however, the new </w:t>
      </w:r>
      <w:r w:rsidRPr="00E335AC">
        <w:rPr>
          <w:i/>
          <w:iCs/>
        </w:rPr>
        <w:t>Stranded</w:t>
      </w:r>
      <w:r w:rsidRPr="00CF6180">
        <w:rPr>
          <w:i/>
          <w:iCs/>
        </w:rPr>
        <w:t xml:space="preserve"> </w:t>
      </w:r>
      <w:r>
        <w:rPr>
          <w:i/>
          <w:iCs/>
        </w:rPr>
        <w:t xml:space="preserve">Coordination </w:t>
      </w:r>
      <w:r>
        <w:t xml:space="preserve">scenarios are otherwise configured according to </w:t>
      </w:r>
      <w:r>
        <w:rPr>
          <w:i/>
          <w:iCs/>
        </w:rPr>
        <w:t>Limited Coordination</w:t>
      </w:r>
      <w:r>
        <w:t xml:space="preserve"> assumptions; that is, transmission expansion and increased electricity trade are not allowed.</w:t>
      </w:r>
    </w:p>
    <w:p w14:paraId="50ADA134" w14:textId="3EAE9ECD" w:rsidR="005F53E9" w:rsidRPr="0079396D" w:rsidRDefault="00E335AC" w:rsidP="00CF6180">
      <w:pPr>
        <w:rPr>
          <w:sz w:val="28"/>
          <w:szCs w:val="28"/>
        </w:rPr>
      </w:pPr>
      <w:r>
        <w:t xml:space="preserve">This additional modeling exercise explores </w:t>
      </w:r>
      <w:r w:rsidR="00676B58">
        <w:t xml:space="preserve">potential consequences of optimally building new generation capacity under an </w:t>
      </w:r>
      <w:r w:rsidR="00676B58" w:rsidRPr="008F25E5">
        <w:t xml:space="preserve">assumption of future transnational transmission expansion, which is either never built or otherwise cannot be utilized. </w:t>
      </w:r>
      <w:r w:rsidR="00FB74F5" w:rsidRPr="005F53E9">
        <w:t>Figure S</w:t>
      </w:r>
      <w:r w:rsidR="00FB74F5" w:rsidRPr="00FB74F5">
        <w:t>17</w:t>
      </w:r>
      <w:r w:rsidR="00676B58" w:rsidRPr="008F25E5">
        <w:t xml:space="preserve"> illustrates a sharp increase in unmet demand with strong seasonality, especially for </w:t>
      </w:r>
      <w:r w:rsidR="007234BC">
        <w:rPr>
          <w:i/>
          <w:iCs/>
        </w:rPr>
        <w:t xml:space="preserve">Mitigation </w:t>
      </w:r>
      <w:r w:rsidR="00676B58" w:rsidRPr="008F25E5">
        <w:t xml:space="preserve">scenarios. </w:t>
      </w:r>
      <w:r w:rsidR="00AD503B" w:rsidRPr="008F25E5">
        <w:t xml:space="preserve">Because the emissions reduction constraints are binding, the model is forced to leave load unserved rather than run fossil-based generation. However, even without any emissions constraint, there remain instances of unmet demand, representing supply shortfalls. </w:t>
      </w:r>
      <w:r w:rsidR="00FB74F5" w:rsidRPr="005F53E9">
        <w:t>Figure S</w:t>
      </w:r>
      <w:r w:rsidR="00FB74F5" w:rsidRPr="00FB74F5">
        <w:t>18</w:t>
      </w:r>
      <w:r w:rsidR="00676B58" w:rsidRPr="008F25E5">
        <w:t xml:space="preserve"> </w:t>
      </w:r>
      <w:r w:rsidR="00AD503B" w:rsidRPr="008F25E5">
        <w:t xml:space="preserve">compares total system costs for the region and each country under the new scenarios. However, the cost assigned to each MWh of unmet load is a modeling choice with a substantial impact on these costs. Further, the cost of required transmission expansion is not included </w:t>
      </w:r>
      <w:r w:rsidR="00AD26D5" w:rsidRPr="008F25E5">
        <w:t>here but</w:t>
      </w:r>
      <w:r w:rsidR="00AD503B" w:rsidRPr="008F25E5">
        <w:t xml:space="preserve"> could </w:t>
      </w:r>
      <w:r w:rsidR="002E2569">
        <w:t>represent</w:t>
      </w:r>
      <w:r w:rsidR="00AD503B" w:rsidRPr="008F25E5">
        <w:t xml:space="preserve"> an added cost if the transmission was built and simply unused. </w:t>
      </w:r>
      <w:r w:rsidR="00FB74F5" w:rsidRPr="005F53E9">
        <w:t>Figure S</w:t>
      </w:r>
      <w:r w:rsidR="00FB74F5" w:rsidRPr="00FB74F5">
        <w:t>19</w:t>
      </w:r>
      <w:r w:rsidR="00676B58" w:rsidRPr="008F25E5">
        <w:t xml:space="preserve"> </w:t>
      </w:r>
      <w:r w:rsidR="00F00025" w:rsidRPr="008F25E5">
        <w:t xml:space="preserve">shows system-wide curtailment </w:t>
      </w:r>
      <w:r w:rsidR="009566A9" w:rsidRPr="008F25E5">
        <w:t xml:space="preserve">of wind and solar PV </w:t>
      </w:r>
      <w:r w:rsidR="00F00025" w:rsidRPr="008F25E5">
        <w:t xml:space="preserve">for </w:t>
      </w:r>
      <w:r w:rsidR="00F00025" w:rsidRPr="008F25E5">
        <w:rPr>
          <w:i/>
          <w:iCs/>
        </w:rPr>
        <w:t xml:space="preserve">Stranded Coordination </w:t>
      </w:r>
      <w:r w:rsidR="00F00025" w:rsidRPr="008F25E5">
        <w:t xml:space="preserve">scenarios, which increases over time and is </w:t>
      </w:r>
      <w:r w:rsidR="0079396D" w:rsidRPr="008F25E5">
        <w:t>similar in magnitude to</w:t>
      </w:r>
      <w:r w:rsidR="00F00025" w:rsidRPr="008F25E5">
        <w:t xml:space="preserve"> unmet load. </w:t>
      </w:r>
      <w:r w:rsidR="00FB74F5" w:rsidRPr="005F53E9">
        <w:t>Figure S</w:t>
      </w:r>
      <w:r w:rsidR="00FB74F5" w:rsidRPr="00FB74F5">
        <w:t>20</w:t>
      </w:r>
      <w:r w:rsidR="009566A9" w:rsidRPr="008F25E5">
        <w:t xml:space="preserve"> shows seasonal and diurnal patterns</w:t>
      </w:r>
      <w:r w:rsidR="009566A9">
        <w:t xml:space="preserve"> of unmet demand and total curtailment (including hydropower), both with (right) and without (left) </w:t>
      </w:r>
      <w:r w:rsidR="007234BC">
        <w:rPr>
          <w:i/>
          <w:iCs/>
        </w:rPr>
        <w:t>Mitigation</w:t>
      </w:r>
      <w:r w:rsidR="009566A9">
        <w:t>.</w:t>
      </w:r>
    </w:p>
    <w:p w14:paraId="01C68245" w14:textId="09D769D0" w:rsidR="00CF6180" w:rsidRPr="00CF6180" w:rsidRDefault="00843430" w:rsidP="00CF6180">
      <w:pPr>
        <w:pStyle w:val="Figure"/>
        <w:rPr>
          <w:rFonts w:eastAsiaTheme="minorHAnsi"/>
        </w:rPr>
      </w:pPr>
      <w:r>
        <w:rPr>
          <w:rFonts w:eastAsiaTheme="minorHAnsi"/>
        </w:rPr>
        <w:drawing>
          <wp:inline distT="0" distB="0" distL="0" distR="0" wp14:anchorId="760D271C" wp14:editId="45EC5293">
            <wp:extent cx="3291840" cy="2706986"/>
            <wp:effectExtent l="0" t="0" r="3810" b="0"/>
            <wp:docPr id="12123131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hqprint">
                      <a:extLst>
                        <a:ext uri="{28A0092B-C50C-407E-A947-70E740481C1C}">
                          <a14:useLocalDpi xmlns:a14="http://schemas.microsoft.com/office/drawing/2010/main" val="0"/>
                        </a:ext>
                      </a:extLst>
                    </a:blip>
                    <a:srcRect/>
                    <a:stretch>
                      <a:fillRect/>
                    </a:stretch>
                  </pic:blipFill>
                  <pic:spPr bwMode="auto">
                    <a:xfrm>
                      <a:off x="0" y="0"/>
                      <a:ext cx="3291840" cy="2706986"/>
                    </a:xfrm>
                    <a:prstGeom prst="rect">
                      <a:avLst/>
                    </a:prstGeom>
                    <a:noFill/>
                    <a:ln>
                      <a:noFill/>
                    </a:ln>
                  </pic:spPr>
                </pic:pic>
              </a:graphicData>
            </a:graphic>
          </wp:inline>
        </w:drawing>
      </w:r>
    </w:p>
    <w:p w14:paraId="5D48791B" w14:textId="77777777" w:rsidR="006258A9" w:rsidRPr="006258A9" w:rsidRDefault="005F53E9" w:rsidP="006258A9">
      <w:pPr>
        <w:pStyle w:val="FigureCaption"/>
        <w:rPr>
          <w:noProof/>
          <w:vanish/>
          <w:specVanish/>
        </w:rPr>
      </w:pPr>
      <w:bookmarkStart w:id="85" w:name="_Ref177297453"/>
      <w:bookmarkStart w:id="86" w:name="_Toc194577070"/>
      <w:r w:rsidRPr="005F53E9">
        <w:t>Figure S</w:t>
      </w:r>
      <w:r w:rsidR="00FB74F5">
        <w:rPr>
          <w:noProof/>
        </w:rPr>
        <w:t>17</w:t>
      </w:r>
      <w:bookmarkEnd w:id="85"/>
      <w:bookmarkEnd w:id="86"/>
    </w:p>
    <w:p w14:paraId="62EC4B62" w14:textId="405AF519" w:rsidR="00CF6180" w:rsidRPr="0079396D" w:rsidRDefault="00CF6180" w:rsidP="006258A9">
      <w:pPr>
        <w:pStyle w:val="Style4"/>
        <w:rPr>
          <w:rFonts w:eastAsiaTheme="minorHAnsi"/>
          <w:b/>
          <w:bCs/>
        </w:rPr>
      </w:pPr>
      <w:r w:rsidRPr="005F53E9">
        <w:rPr>
          <w:rFonts w:eastAsiaTheme="minorHAnsi"/>
        </w:rPr>
        <w:t xml:space="preserve">: </w:t>
      </w:r>
      <w:r w:rsidR="00BC17A7">
        <w:rPr>
          <w:rFonts w:eastAsiaTheme="minorHAnsi"/>
        </w:rPr>
        <w:t xml:space="preserve">Monthly summed levels of unmet demand under </w:t>
      </w:r>
      <w:r w:rsidR="00BC17A7">
        <w:rPr>
          <w:rFonts w:eastAsiaTheme="minorHAnsi"/>
          <w:i/>
          <w:iCs/>
        </w:rPr>
        <w:t xml:space="preserve">Stranded Coordination. </w:t>
      </w:r>
      <w:r w:rsidRPr="005F53E9">
        <w:rPr>
          <w:rFonts w:eastAsiaTheme="minorHAnsi"/>
        </w:rPr>
        <w:t xml:space="preserve">The new scenario configuration results in significant unmet demand due to the lack of new transmission capacity and stranded renewable energy located across borders. Unmet demand is higher under </w:t>
      </w:r>
      <w:r w:rsidR="007234BC">
        <w:rPr>
          <w:rFonts w:eastAsiaTheme="minorHAnsi"/>
          <w:i/>
          <w:iCs/>
        </w:rPr>
        <w:t xml:space="preserve">Mitigation </w:t>
      </w:r>
      <w:r w:rsidRPr="005F53E9">
        <w:rPr>
          <w:rFonts w:eastAsiaTheme="minorHAnsi"/>
        </w:rPr>
        <w:t xml:space="preserve">as the model is unable to dispatch fossil fuels to meet demand. </w:t>
      </w:r>
      <w:r w:rsidR="0079396D">
        <w:rPr>
          <w:rFonts w:eastAsiaTheme="minorHAnsi"/>
        </w:rPr>
        <w:t>R</w:t>
      </w:r>
      <w:r w:rsidRPr="005F53E9">
        <w:rPr>
          <w:rFonts w:eastAsiaTheme="minorHAnsi"/>
        </w:rPr>
        <w:t xml:space="preserve">ather than </w:t>
      </w:r>
      <w:r w:rsidR="0079396D">
        <w:rPr>
          <w:rFonts w:eastAsiaTheme="minorHAnsi"/>
        </w:rPr>
        <w:t>simply</w:t>
      </w:r>
      <w:r w:rsidRPr="005F53E9">
        <w:rPr>
          <w:rFonts w:eastAsiaTheme="minorHAnsi"/>
        </w:rPr>
        <w:t xml:space="preserve"> a supply shortfall, th</w:t>
      </w:r>
      <w:r w:rsidR="0079396D">
        <w:rPr>
          <w:rFonts w:eastAsiaTheme="minorHAnsi"/>
        </w:rPr>
        <w:t>e</w:t>
      </w:r>
      <w:r w:rsidRPr="005F53E9">
        <w:rPr>
          <w:rFonts w:eastAsiaTheme="minorHAnsi"/>
        </w:rPr>
        <w:t xml:space="preserve"> unmet demand</w:t>
      </w:r>
      <w:r w:rsidR="0079396D">
        <w:rPr>
          <w:rFonts w:eastAsiaTheme="minorHAnsi"/>
        </w:rPr>
        <w:t xml:space="preserve"> here</w:t>
      </w:r>
      <w:r w:rsidRPr="005F53E9">
        <w:rPr>
          <w:rFonts w:eastAsiaTheme="minorHAnsi"/>
        </w:rPr>
        <w:t xml:space="preserve"> can also be interpreted as an inability to meet the emissions reduction goals when capacity decisions are coordinated but cross-border transmission is not utilized and expanded.</w:t>
      </w:r>
      <w:r w:rsidR="00CE0570">
        <w:rPr>
          <w:rFonts w:eastAsiaTheme="minorHAnsi"/>
        </w:rPr>
        <w:t xml:space="preserve"> </w:t>
      </w:r>
      <w:r w:rsidR="0079396D">
        <w:rPr>
          <w:rFonts w:eastAsiaTheme="minorHAnsi"/>
        </w:rPr>
        <w:t xml:space="preserve">Unmet demand in the absence of emissions constraints represents a supply shortfall. </w:t>
      </w:r>
      <w:r w:rsidR="00CE0570">
        <w:rPr>
          <w:rFonts w:eastAsiaTheme="minorHAnsi"/>
        </w:rPr>
        <w:t>Unmet demand primarily occurs in Brazil and Chile.</w:t>
      </w:r>
    </w:p>
    <w:p w14:paraId="724E0840" w14:textId="1087BF93" w:rsidR="006F17D9" w:rsidRDefault="00843430" w:rsidP="00CF6180">
      <w:pPr>
        <w:pStyle w:val="Figure"/>
        <w:rPr>
          <w:rFonts w:eastAsiaTheme="minorHAnsi"/>
        </w:rPr>
      </w:pPr>
      <w:r>
        <w:rPr>
          <w:rFonts w:eastAsiaTheme="minorHAnsi"/>
        </w:rPr>
        <w:lastRenderedPageBreak/>
        <w:drawing>
          <wp:inline distT="0" distB="0" distL="0" distR="0" wp14:anchorId="11746E7D" wp14:editId="312A7C39">
            <wp:extent cx="5943600" cy="5447030"/>
            <wp:effectExtent l="0" t="0" r="0" b="1270"/>
            <wp:docPr id="2323375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hqprint">
                      <a:extLst>
                        <a:ext uri="{28A0092B-C50C-407E-A947-70E740481C1C}">
                          <a14:useLocalDpi xmlns:a14="http://schemas.microsoft.com/office/drawing/2010/main" val="0"/>
                        </a:ext>
                      </a:extLst>
                    </a:blip>
                    <a:srcRect/>
                    <a:stretch>
                      <a:fillRect/>
                    </a:stretch>
                  </pic:blipFill>
                  <pic:spPr bwMode="auto">
                    <a:xfrm>
                      <a:off x="0" y="0"/>
                      <a:ext cx="5943600" cy="5447030"/>
                    </a:xfrm>
                    <a:prstGeom prst="rect">
                      <a:avLst/>
                    </a:prstGeom>
                    <a:noFill/>
                    <a:ln>
                      <a:noFill/>
                    </a:ln>
                  </pic:spPr>
                </pic:pic>
              </a:graphicData>
            </a:graphic>
          </wp:inline>
        </w:drawing>
      </w:r>
    </w:p>
    <w:p w14:paraId="3405181D" w14:textId="77777777" w:rsidR="006258A9" w:rsidRPr="006258A9" w:rsidRDefault="005F53E9" w:rsidP="006258A9">
      <w:pPr>
        <w:pStyle w:val="FigureCaption"/>
        <w:rPr>
          <w:noProof/>
          <w:vanish/>
          <w:specVanish/>
        </w:rPr>
      </w:pPr>
      <w:bookmarkStart w:id="87" w:name="_Ref177297456"/>
      <w:bookmarkStart w:id="88" w:name="_Toc194577071"/>
      <w:r w:rsidRPr="005F53E9">
        <w:t>Figure S</w:t>
      </w:r>
      <w:r w:rsidR="00FB74F5">
        <w:rPr>
          <w:noProof/>
        </w:rPr>
        <w:t>18</w:t>
      </w:r>
      <w:bookmarkEnd w:id="87"/>
      <w:bookmarkEnd w:id="88"/>
    </w:p>
    <w:p w14:paraId="67FCE128" w14:textId="427AE235" w:rsidR="00CF6180" w:rsidRPr="005F53E9" w:rsidRDefault="00CF6180" w:rsidP="006258A9">
      <w:pPr>
        <w:pStyle w:val="Style4"/>
        <w:rPr>
          <w:rFonts w:eastAsiaTheme="minorHAnsi"/>
          <w:b/>
          <w:bCs/>
        </w:rPr>
      </w:pPr>
      <w:r w:rsidRPr="005F53E9">
        <w:rPr>
          <w:rFonts w:eastAsiaTheme="minorHAnsi"/>
        </w:rPr>
        <w:t xml:space="preserve">: </w:t>
      </w:r>
      <w:r w:rsidR="00EF5E90" w:rsidRPr="005F53E9">
        <w:rPr>
          <w:rFonts w:eastAsiaTheme="minorHAnsi"/>
        </w:rPr>
        <w:t xml:space="preserve">Total costs system-wide and by country. </w:t>
      </w:r>
      <w:r w:rsidR="0079396D">
        <w:rPr>
          <w:rFonts w:eastAsiaTheme="minorHAnsi"/>
        </w:rPr>
        <w:t>The t</w:t>
      </w:r>
      <w:r w:rsidR="00EF5E90" w:rsidRPr="005F53E9">
        <w:rPr>
          <w:rFonts w:eastAsiaTheme="minorHAnsi"/>
        </w:rPr>
        <w:t xml:space="preserve">op </w:t>
      </w:r>
      <w:r w:rsidR="0079396D">
        <w:rPr>
          <w:rFonts w:eastAsiaTheme="minorHAnsi"/>
        </w:rPr>
        <w:t>row</w:t>
      </w:r>
      <w:r w:rsidR="00EF5E90" w:rsidRPr="005F53E9">
        <w:rPr>
          <w:rFonts w:eastAsiaTheme="minorHAnsi"/>
        </w:rPr>
        <w:t xml:space="preserve"> reproduces part of </w:t>
      </w:r>
      <w:r w:rsidR="002E2569" w:rsidRPr="002E2569">
        <w:t>Figure S3</w:t>
      </w:r>
      <w:r w:rsidR="00EF5E90" w:rsidRPr="005F53E9">
        <w:rPr>
          <w:rFonts w:eastAsiaTheme="minorHAnsi"/>
        </w:rPr>
        <w:t xml:space="preserve">, while the bottom </w:t>
      </w:r>
      <w:r w:rsidR="0079396D">
        <w:rPr>
          <w:rFonts w:eastAsiaTheme="minorHAnsi"/>
        </w:rPr>
        <w:t>row</w:t>
      </w:r>
      <w:r w:rsidR="00EF5E90" w:rsidRPr="005F53E9">
        <w:rPr>
          <w:rFonts w:eastAsiaTheme="minorHAnsi"/>
        </w:rPr>
        <w:t xml:space="preserve"> shows the </w:t>
      </w:r>
      <w:r w:rsidR="00E335AC" w:rsidRPr="00E335AC">
        <w:rPr>
          <w:i/>
          <w:iCs/>
        </w:rPr>
        <w:t>Stranded</w:t>
      </w:r>
      <w:r w:rsidR="00E335AC" w:rsidRPr="00CF6180">
        <w:rPr>
          <w:i/>
          <w:iCs/>
        </w:rPr>
        <w:t xml:space="preserve"> </w:t>
      </w:r>
      <w:r w:rsidR="00EF5E90" w:rsidRPr="005F53E9">
        <w:rPr>
          <w:rFonts w:eastAsiaTheme="minorHAnsi"/>
          <w:i/>
          <w:iCs/>
        </w:rPr>
        <w:t xml:space="preserve">Coordination </w:t>
      </w:r>
      <w:r w:rsidR="00EF5E90" w:rsidRPr="005F53E9">
        <w:rPr>
          <w:rFonts w:eastAsiaTheme="minorHAnsi"/>
        </w:rPr>
        <w:t xml:space="preserve">scenarios. </w:t>
      </w:r>
      <w:r w:rsidRPr="005F53E9">
        <w:rPr>
          <w:rFonts w:eastAsiaTheme="minorHAnsi"/>
        </w:rPr>
        <w:t>The new configuration</w:t>
      </w:r>
      <w:r w:rsidR="00EF5E90" w:rsidRPr="005F53E9">
        <w:rPr>
          <w:rFonts w:eastAsiaTheme="minorHAnsi"/>
        </w:rPr>
        <w:t xml:space="preserve"> (bottom)</w:t>
      </w:r>
      <w:r w:rsidRPr="005F53E9">
        <w:rPr>
          <w:rFonts w:eastAsiaTheme="minorHAnsi"/>
        </w:rPr>
        <w:t>, though having identical capacity costs, has much higher operational costs as more fossil fuels</w:t>
      </w:r>
      <w:r w:rsidR="00677CB4">
        <w:rPr>
          <w:rFonts w:eastAsiaTheme="minorHAnsi"/>
        </w:rPr>
        <w:t xml:space="preserve"> </w:t>
      </w:r>
      <w:proofErr w:type="gramStart"/>
      <w:r w:rsidRPr="005F53E9">
        <w:rPr>
          <w:rFonts w:eastAsiaTheme="minorHAnsi"/>
        </w:rPr>
        <w:t>are</w:t>
      </w:r>
      <w:proofErr w:type="gramEnd"/>
      <w:r w:rsidRPr="005F53E9">
        <w:rPr>
          <w:rFonts w:eastAsiaTheme="minorHAnsi"/>
        </w:rPr>
        <w:t xml:space="preserve"> needed to meet demand (when there is no emissions cut requirement). Under </w:t>
      </w:r>
      <w:r w:rsidR="007234BC">
        <w:rPr>
          <w:rFonts w:eastAsiaTheme="minorHAnsi"/>
          <w:i/>
          <w:iCs/>
        </w:rPr>
        <w:t>Mitigation</w:t>
      </w:r>
      <w:r w:rsidRPr="005F53E9">
        <w:rPr>
          <w:rFonts w:eastAsiaTheme="minorHAnsi"/>
        </w:rPr>
        <w:t>, operational costs do not increase as much, as the model is not able to dispatch additional CO</w:t>
      </w:r>
      <w:r w:rsidRPr="00D06838">
        <w:rPr>
          <w:rFonts w:eastAsiaTheme="minorHAnsi"/>
          <w:vertAlign w:val="subscript"/>
        </w:rPr>
        <w:t>2</w:t>
      </w:r>
      <w:r w:rsidRPr="005F53E9">
        <w:rPr>
          <w:rFonts w:eastAsiaTheme="minorHAnsi"/>
        </w:rPr>
        <w:t>-emitting energy</w:t>
      </w:r>
      <w:r w:rsidR="0079396D">
        <w:rPr>
          <w:rFonts w:eastAsiaTheme="minorHAnsi"/>
        </w:rPr>
        <w:t xml:space="preserve"> which would violate the emissions constraint</w:t>
      </w:r>
      <w:r w:rsidRPr="005F53E9">
        <w:rPr>
          <w:rFonts w:eastAsiaTheme="minorHAnsi"/>
        </w:rPr>
        <w:t xml:space="preserve">. Here, the increase in costs mainly comes from a </w:t>
      </w:r>
      <w:r w:rsidR="0079396D">
        <w:rPr>
          <w:rFonts w:eastAsiaTheme="minorHAnsi"/>
        </w:rPr>
        <w:t xml:space="preserve">penalty </w:t>
      </w:r>
      <w:r w:rsidRPr="005F53E9">
        <w:rPr>
          <w:rFonts w:eastAsiaTheme="minorHAnsi"/>
        </w:rPr>
        <w:t>associated with unmet demand</w:t>
      </w:r>
      <w:r w:rsidR="0079396D">
        <w:rPr>
          <w:rFonts w:eastAsiaTheme="minorHAnsi"/>
        </w:rPr>
        <w:t xml:space="preserve"> in the model</w:t>
      </w:r>
      <w:r w:rsidRPr="005F53E9">
        <w:rPr>
          <w:rFonts w:eastAsiaTheme="minorHAnsi"/>
        </w:rPr>
        <w:t xml:space="preserve">. Here, the most expensive marginal generator is used as a proxy </w:t>
      </w:r>
      <w:r w:rsidR="009844D2" w:rsidRPr="005F53E9">
        <w:rPr>
          <w:rFonts w:eastAsiaTheme="minorHAnsi"/>
        </w:rPr>
        <w:t xml:space="preserve">for this cost, though this amount </w:t>
      </w:r>
      <w:r w:rsidR="0079396D">
        <w:rPr>
          <w:rFonts w:eastAsiaTheme="minorHAnsi"/>
        </w:rPr>
        <w:t>is likely</w:t>
      </w:r>
      <w:r w:rsidR="009844D2" w:rsidRPr="005F53E9">
        <w:rPr>
          <w:rFonts w:eastAsiaTheme="minorHAnsi"/>
        </w:rPr>
        <w:t xml:space="preserve"> a conservative lower bound for the actual </w:t>
      </w:r>
      <w:r w:rsidR="00EF5E90" w:rsidRPr="005F53E9">
        <w:rPr>
          <w:rFonts w:eastAsiaTheme="minorHAnsi"/>
        </w:rPr>
        <w:t>cost of unmet demand</w:t>
      </w:r>
      <w:r w:rsidR="009844D2" w:rsidRPr="005F53E9">
        <w:rPr>
          <w:rFonts w:eastAsiaTheme="minorHAnsi"/>
        </w:rPr>
        <w:t>.</w:t>
      </w:r>
      <w:r w:rsidR="00EF5E90" w:rsidRPr="005F53E9">
        <w:rPr>
          <w:rFonts w:eastAsiaTheme="minorHAnsi"/>
        </w:rPr>
        <w:t xml:space="preserve"> This lower bound causes the distribution of</w:t>
      </w:r>
      <w:r w:rsidR="005F53E9" w:rsidRPr="005F53E9">
        <w:rPr>
          <w:rFonts w:eastAsiaTheme="minorHAnsi"/>
        </w:rPr>
        <w:t xml:space="preserve"> system-wide</w:t>
      </w:r>
      <w:r w:rsidR="00EF5E90" w:rsidRPr="005F53E9">
        <w:rPr>
          <w:rFonts w:eastAsiaTheme="minorHAnsi"/>
        </w:rPr>
        <w:t xml:space="preserve"> costs for </w:t>
      </w:r>
      <w:r w:rsidR="007234BC">
        <w:rPr>
          <w:rFonts w:eastAsiaTheme="minorHAnsi"/>
          <w:i/>
          <w:iCs/>
        </w:rPr>
        <w:t xml:space="preserve">Mitigation </w:t>
      </w:r>
      <w:r w:rsidR="00EF5E90" w:rsidRPr="005F53E9">
        <w:rPr>
          <w:rFonts w:eastAsiaTheme="minorHAnsi"/>
        </w:rPr>
        <w:t xml:space="preserve">cases (teal boxplots, bottom row) to </w:t>
      </w:r>
      <w:r w:rsidR="005F53E9">
        <w:rPr>
          <w:rFonts w:eastAsiaTheme="minorHAnsi"/>
        </w:rPr>
        <w:t>roughly match</w:t>
      </w:r>
      <w:r w:rsidR="00EF5E90" w:rsidRPr="005F53E9">
        <w:rPr>
          <w:rFonts w:eastAsiaTheme="minorHAnsi"/>
        </w:rPr>
        <w:t xml:space="preserve"> the costs of the </w:t>
      </w:r>
      <w:r w:rsidR="00EF5E90" w:rsidRPr="005F53E9">
        <w:rPr>
          <w:rFonts w:eastAsiaTheme="minorHAnsi"/>
          <w:i/>
          <w:iCs/>
        </w:rPr>
        <w:t xml:space="preserve">Limited Coordination </w:t>
      </w:r>
      <w:r w:rsidR="00EF5E90" w:rsidRPr="005F53E9">
        <w:rPr>
          <w:rFonts w:eastAsiaTheme="minorHAnsi"/>
        </w:rPr>
        <w:t>cases (yellow boxplots, top row).</w:t>
      </w:r>
      <w:r w:rsidR="005F53E9" w:rsidRPr="005F53E9">
        <w:rPr>
          <w:rFonts w:eastAsiaTheme="minorHAnsi"/>
        </w:rPr>
        <w:t xml:space="preserve"> However, the choice of the cost of unmet demand </w:t>
      </w:r>
      <w:r w:rsidR="0079396D">
        <w:rPr>
          <w:rFonts w:eastAsiaTheme="minorHAnsi"/>
        </w:rPr>
        <w:t>would</w:t>
      </w:r>
      <w:r w:rsidR="005F53E9" w:rsidRPr="005F53E9">
        <w:rPr>
          <w:rFonts w:eastAsiaTheme="minorHAnsi"/>
        </w:rPr>
        <w:t xml:space="preserve"> </w:t>
      </w:r>
      <w:proofErr w:type="gramStart"/>
      <w:r w:rsidR="0079396D">
        <w:rPr>
          <w:rFonts w:eastAsiaTheme="minorHAnsi"/>
        </w:rPr>
        <w:t>impact</w:t>
      </w:r>
      <w:proofErr w:type="gramEnd"/>
      <w:r w:rsidR="0079396D">
        <w:rPr>
          <w:rFonts w:eastAsiaTheme="minorHAnsi"/>
        </w:rPr>
        <w:t xml:space="preserve"> </w:t>
      </w:r>
      <w:r w:rsidR="005F53E9" w:rsidRPr="005F53E9">
        <w:rPr>
          <w:rFonts w:eastAsiaTheme="minorHAnsi"/>
        </w:rPr>
        <w:t>the total system costs.</w:t>
      </w:r>
    </w:p>
    <w:p w14:paraId="588C1CFD" w14:textId="7B704434" w:rsidR="00CF6180" w:rsidRDefault="00843430" w:rsidP="009844D2">
      <w:pPr>
        <w:pStyle w:val="Figure"/>
        <w:rPr>
          <w:rStyle w:val="FigureCaptionChar"/>
          <w:rFonts w:eastAsiaTheme="minorHAnsi"/>
        </w:rPr>
      </w:pPr>
      <w:r>
        <w:rPr>
          <w:rFonts w:eastAsiaTheme="minorHAnsi"/>
        </w:rPr>
        <w:lastRenderedPageBreak/>
        <w:drawing>
          <wp:inline distT="0" distB="0" distL="0" distR="0" wp14:anchorId="6C7E458C" wp14:editId="7EAC4044">
            <wp:extent cx="3291840" cy="2706986"/>
            <wp:effectExtent l="0" t="0" r="3810" b="0"/>
            <wp:docPr id="14837748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hqprint">
                      <a:extLst>
                        <a:ext uri="{28A0092B-C50C-407E-A947-70E740481C1C}">
                          <a14:useLocalDpi xmlns:a14="http://schemas.microsoft.com/office/drawing/2010/main" val="0"/>
                        </a:ext>
                      </a:extLst>
                    </a:blip>
                    <a:srcRect/>
                    <a:stretch>
                      <a:fillRect/>
                    </a:stretch>
                  </pic:blipFill>
                  <pic:spPr bwMode="auto">
                    <a:xfrm>
                      <a:off x="0" y="0"/>
                      <a:ext cx="3291840" cy="2706986"/>
                    </a:xfrm>
                    <a:prstGeom prst="rect">
                      <a:avLst/>
                    </a:prstGeom>
                    <a:noFill/>
                    <a:ln>
                      <a:noFill/>
                    </a:ln>
                  </pic:spPr>
                </pic:pic>
              </a:graphicData>
            </a:graphic>
          </wp:inline>
        </w:drawing>
      </w:r>
    </w:p>
    <w:p w14:paraId="4A9073D2" w14:textId="77777777" w:rsidR="006258A9" w:rsidRPr="006258A9" w:rsidRDefault="005F53E9" w:rsidP="006258A9">
      <w:pPr>
        <w:pStyle w:val="FigureCaption"/>
        <w:rPr>
          <w:noProof/>
          <w:vanish/>
          <w:specVanish/>
        </w:rPr>
      </w:pPr>
      <w:bookmarkStart w:id="89" w:name="_Ref177297457"/>
      <w:bookmarkStart w:id="90" w:name="_Toc194577072"/>
      <w:r w:rsidRPr="005F53E9">
        <w:t>Figure S</w:t>
      </w:r>
      <w:r w:rsidR="00FB74F5">
        <w:rPr>
          <w:noProof/>
        </w:rPr>
        <w:t>19</w:t>
      </w:r>
      <w:bookmarkEnd w:id="89"/>
      <w:bookmarkEnd w:id="90"/>
    </w:p>
    <w:p w14:paraId="00A1977F" w14:textId="22B8178F" w:rsidR="005F53E9" w:rsidRPr="005F53E9" w:rsidRDefault="009844D2" w:rsidP="006258A9">
      <w:pPr>
        <w:pStyle w:val="Style4"/>
        <w:rPr>
          <w:rFonts w:eastAsiaTheme="minorHAnsi"/>
        </w:rPr>
      </w:pPr>
      <w:r w:rsidRPr="005F53E9">
        <w:rPr>
          <w:rFonts w:eastAsiaTheme="minorHAnsi"/>
        </w:rPr>
        <w:t xml:space="preserve">: </w:t>
      </w:r>
      <w:r w:rsidR="00F00025">
        <w:rPr>
          <w:rFonts w:eastAsiaTheme="minorHAnsi"/>
        </w:rPr>
        <w:t xml:space="preserve">System-wide curtailment </w:t>
      </w:r>
      <w:r w:rsidR="008210B2">
        <w:rPr>
          <w:rFonts w:eastAsiaTheme="minorHAnsi"/>
        </w:rPr>
        <w:t xml:space="preserve">of intermittent renewables (wind and solar) </w:t>
      </w:r>
      <w:r w:rsidR="00F00025">
        <w:rPr>
          <w:rFonts w:eastAsiaTheme="minorHAnsi"/>
        </w:rPr>
        <w:t xml:space="preserve">under </w:t>
      </w:r>
      <w:r w:rsidR="00F00025">
        <w:rPr>
          <w:rFonts w:eastAsiaTheme="minorHAnsi"/>
          <w:i/>
          <w:iCs/>
        </w:rPr>
        <w:t xml:space="preserve">Stranded Coordination </w:t>
      </w:r>
      <w:r w:rsidR="00F00025">
        <w:rPr>
          <w:rFonts w:eastAsiaTheme="minorHAnsi"/>
        </w:rPr>
        <w:t xml:space="preserve">over time. </w:t>
      </w:r>
      <w:r w:rsidR="0079396D">
        <w:rPr>
          <w:rFonts w:eastAsiaTheme="minorHAnsi"/>
        </w:rPr>
        <w:t>T</w:t>
      </w:r>
      <w:r w:rsidRPr="005F53E9">
        <w:rPr>
          <w:rFonts w:eastAsiaTheme="minorHAnsi"/>
        </w:rPr>
        <w:t xml:space="preserve">here is </w:t>
      </w:r>
      <w:r w:rsidR="002E2569">
        <w:rPr>
          <w:rFonts w:eastAsiaTheme="minorHAnsi"/>
        </w:rPr>
        <w:t>substantially</w:t>
      </w:r>
      <w:r w:rsidRPr="005F53E9">
        <w:rPr>
          <w:rFonts w:eastAsiaTheme="minorHAnsi"/>
        </w:rPr>
        <w:t xml:space="preserve"> </w:t>
      </w:r>
      <w:r w:rsidR="00F00025">
        <w:rPr>
          <w:rFonts w:eastAsiaTheme="minorHAnsi"/>
        </w:rPr>
        <w:t xml:space="preserve">increased </w:t>
      </w:r>
      <w:r w:rsidRPr="005F53E9">
        <w:rPr>
          <w:rFonts w:eastAsiaTheme="minorHAnsi"/>
        </w:rPr>
        <w:t>curtailment of wind and solar associated with this configuration</w:t>
      </w:r>
      <w:r w:rsidR="0079396D">
        <w:rPr>
          <w:rFonts w:eastAsiaTheme="minorHAnsi"/>
        </w:rPr>
        <w:t xml:space="preserve"> (beyond that of other scenarios)</w:t>
      </w:r>
      <w:r w:rsidR="00F00025">
        <w:rPr>
          <w:rFonts w:eastAsiaTheme="minorHAnsi"/>
        </w:rPr>
        <w:t xml:space="preserve">; </w:t>
      </w:r>
      <w:r w:rsidRPr="005F53E9">
        <w:rPr>
          <w:rFonts w:eastAsiaTheme="minorHAnsi"/>
        </w:rPr>
        <w:t xml:space="preserve">curtailment is </w:t>
      </w:r>
      <w:r w:rsidR="0079396D">
        <w:rPr>
          <w:rFonts w:eastAsiaTheme="minorHAnsi"/>
        </w:rPr>
        <w:t xml:space="preserve">similar in </w:t>
      </w:r>
      <w:r w:rsidRPr="005F53E9">
        <w:rPr>
          <w:rFonts w:eastAsiaTheme="minorHAnsi"/>
        </w:rPr>
        <w:t xml:space="preserve">magnitude </w:t>
      </w:r>
      <w:r w:rsidR="0079396D">
        <w:rPr>
          <w:rFonts w:eastAsiaTheme="minorHAnsi"/>
        </w:rPr>
        <w:t>to</w:t>
      </w:r>
      <w:r w:rsidRPr="005F53E9">
        <w:rPr>
          <w:rFonts w:eastAsiaTheme="minorHAnsi"/>
        </w:rPr>
        <w:t xml:space="preserve"> unmet demand.</w:t>
      </w:r>
    </w:p>
    <w:p w14:paraId="3DD4EACA" w14:textId="278764EF" w:rsidR="006F17D9" w:rsidRDefault="00843430" w:rsidP="009844D2">
      <w:pPr>
        <w:pStyle w:val="Figure"/>
        <w:rPr>
          <w:rFonts w:eastAsiaTheme="minorHAnsi"/>
        </w:rPr>
      </w:pPr>
      <w:r>
        <w:rPr>
          <w:rFonts w:eastAsiaTheme="minorHAnsi"/>
        </w:rPr>
        <w:drawing>
          <wp:inline distT="0" distB="0" distL="0" distR="0" wp14:anchorId="48FBAFD7" wp14:editId="5A40AFFC">
            <wp:extent cx="5943600" cy="3488055"/>
            <wp:effectExtent l="0" t="0" r="0" b="0"/>
            <wp:docPr id="15223705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hqprint">
                      <a:extLst>
                        <a:ext uri="{28A0092B-C50C-407E-A947-70E740481C1C}">
                          <a14:useLocalDpi xmlns:a14="http://schemas.microsoft.com/office/drawing/2010/main" val="0"/>
                        </a:ext>
                      </a:extLst>
                    </a:blip>
                    <a:srcRect/>
                    <a:stretch>
                      <a:fillRect/>
                    </a:stretch>
                  </pic:blipFill>
                  <pic:spPr bwMode="auto">
                    <a:xfrm>
                      <a:off x="0" y="0"/>
                      <a:ext cx="5943600" cy="3488055"/>
                    </a:xfrm>
                    <a:prstGeom prst="rect">
                      <a:avLst/>
                    </a:prstGeom>
                    <a:noFill/>
                    <a:ln>
                      <a:noFill/>
                    </a:ln>
                  </pic:spPr>
                </pic:pic>
              </a:graphicData>
            </a:graphic>
          </wp:inline>
        </w:drawing>
      </w:r>
    </w:p>
    <w:p w14:paraId="2C095D66" w14:textId="77777777" w:rsidR="006258A9" w:rsidRPr="006258A9" w:rsidRDefault="005F53E9" w:rsidP="006258A9">
      <w:pPr>
        <w:pStyle w:val="FigureCaption"/>
        <w:rPr>
          <w:noProof/>
          <w:vanish/>
          <w:specVanish/>
        </w:rPr>
      </w:pPr>
      <w:bookmarkStart w:id="91" w:name="_Ref177297458"/>
      <w:bookmarkStart w:id="92" w:name="_Toc194577073"/>
      <w:r w:rsidRPr="005F53E9">
        <w:t>Figure S</w:t>
      </w:r>
      <w:r w:rsidR="00FB74F5">
        <w:rPr>
          <w:noProof/>
        </w:rPr>
        <w:t>20</w:t>
      </w:r>
      <w:bookmarkEnd w:id="91"/>
      <w:bookmarkEnd w:id="92"/>
    </w:p>
    <w:p w14:paraId="33B0B50A" w14:textId="7E50CC6C" w:rsidR="009844D2" w:rsidRDefault="009844D2" w:rsidP="006258A9">
      <w:pPr>
        <w:pStyle w:val="Style4"/>
        <w:rPr>
          <w:rFonts w:eastAsiaTheme="minorHAnsi"/>
          <w:b/>
          <w:bCs/>
        </w:rPr>
      </w:pPr>
      <w:r w:rsidRPr="005F53E9">
        <w:rPr>
          <w:rFonts w:eastAsiaTheme="minorHAnsi"/>
        </w:rPr>
        <w:t xml:space="preserve">: Seasonal and diurnal patterns of average unmet demand and average total curtailment (including hydro) in 2050 for the </w:t>
      </w:r>
      <w:r w:rsidR="00E335AC" w:rsidRPr="00E335AC">
        <w:rPr>
          <w:i/>
          <w:iCs/>
        </w:rPr>
        <w:t>Stranded</w:t>
      </w:r>
      <w:r w:rsidR="00E335AC" w:rsidRPr="00CF6180">
        <w:rPr>
          <w:i/>
          <w:iCs/>
        </w:rPr>
        <w:t xml:space="preserve"> </w:t>
      </w:r>
      <w:r w:rsidRPr="005F53E9">
        <w:rPr>
          <w:rFonts w:eastAsiaTheme="minorHAnsi"/>
          <w:i/>
          <w:iCs/>
        </w:rPr>
        <w:t xml:space="preserve">Coordination </w:t>
      </w:r>
      <w:r w:rsidRPr="005F53E9">
        <w:rPr>
          <w:rFonts w:eastAsiaTheme="minorHAnsi"/>
        </w:rPr>
        <w:t>scenarios. Note the differing scales of the color bars</w:t>
      </w:r>
      <w:r w:rsidR="00094536">
        <w:rPr>
          <w:rFonts w:eastAsiaTheme="minorHAnsi"/>
        </w:rPr>
        <w:t xml:space="preserve"> (order of magnitude increases from left to right)</w:t>
      </w:r>
      <w:r w:rsidRPr="005F53E9">
        <w:rPr>
          <w:rFonts w:eastAsiaTheme="minorHAnsi"/>
        </w:rPr>
        <w:t xml:space="preserve">. There is much more unmet demand and curtailment for </w:t>
      </w:r>
      <w:r w:rsidR="007234BC">
        <w:rPr>
          <w:rFonts w:eastAsiaTheme="minorHAnsi"/>
          <w:i/>
          <w:iCs/>
        </w:rPr>
        <w:t>Mitigation</w:t>
      </w:r>
      <w:r w:rsidR="00AD26D5">
        <w:rPr>
          <w:rFonts w:eastAsiaTheme="minorHAnsi"/>
          <w:i/>
          <w:iCs/>
        </w:rPr>
        <w:t xml:space="preserve"> </w:t>
      </w:r>
      <w:r w:rsidRPr="005F53E9">
        <w:rPr>
          <w:rFonts w:eastAsiaTheme="minorHAnsi"/>
        </w:rPr>
        <w:t>cases than for scenarios with no such emissions constraint. Unmet demand is lowest in the winter months and during hours in which solar power is available.</w:t>
      </w:r>
      <w:r w:rsidR="00677CB4">
        <w:rPr>
          <w:rFonts w:eastAsiaTheme="minorHAnsi"/>
        </w:rPr>
        <w:t xml:space="preserve"> </w:t>
      </w:r>
      <w:r w:rsidR="00677CB4" w:rsidRPr="00E335AC">
        <w:rPr>
          <w:i/>
          <w:iCs/>
        </w:rPr>
        <w:t>Stranded</w:t>
      </w:r>
      <w:r w:rsidR="00677CB4" w:rsidRPr="00CF6180">
        <w:rPr>
          <w:i/>
          <w:iCs/>
        </w:rPr>
        <w:t xml:space="preserve"> </w:t>
      </w:r>
      <w:r w:rsidR="00677CB4" w:rsidRPr="005F53E9">
        <w:rPr>
          <w:rFonts w:eastAsiaTheme="minorHAnsi"/>
          <w:i/>
          <w:iCs/>
        </w:rPr>
        <w:t xml:space="preserve">Coordination </w:t>
      </w:r>
      <w:r w:rsidR="00677CB4">
        <w:rPr>
          <w:rFonts w:eastAsiaTheme="minorHAnsi"/>
        </w:rPr>
        <w:t>scenarios, as constructed here, represent an extreme case in which no adaptive decisions are made over the model horizon.</w:t>
      </w:r>
    </w:p>
    <w:p w14:paraId="58B98E13" w14:textId="65CDE74A" w:rsidR="00F263CE" w:rsidRDefault="00F263CE" w:rsidP="00F263CE">
      <w:pPr>
        <w:pStyle w:val="BackMatter"/>
      </w:pPr>
      <w:bookmarkStart w:id="93" w:name="_Toc176883497"/>
      <w:bookmarkStart w:id="94" w:name="_Toc180052162"/>
      <w:bookmarkStart w:id="95" w:name="_Toc194577046"/>
      <w:r>
        <w:lastRenderedPageBreak/>
        <w:t>References</w:t>
      </w:r>
      <w:bookmarkEnd w:id="93"/>
      <w:bookmarkEnd w:id="94"/>
      <w:r>
        <w:t xml:space="preserve"> for Supplemental Information</w:t>
      </w:r>
      <w:bookmarkEnd w:id="95"/>
    </w:p>
    <w:p w14:paraId="138B6091" w14:textId="3509AD84" w:rsidR="00F263CE" w:rsidRPr="00F35942" w:rsidRDefault="00F263CE" w:rsidP="00F263CE">
      <w:pPr>
        <w:pStyle w:val="Bibliography"/>
        <w:rPr>
          <w:sz w:val="22"/>
          <w:szCs w:val="22"/>
        </w:rPr>
      </w:pPr>
      <w:r>
        <w:t>1.</w:t>
      </w:r>
      <w:r>
        <w:tab/>
      </w:r>
      <w:r w:rsidRPr="00F35942">
        <w:rPr>
          <w:sz w:val="22"/>
          <w:szCs w:val="22"/>
        </w:rPr>
        <w:t xml:space="preserve">McCalley, J. &amp; Zhang, Q. </w:t>
      </w:r>
      <w:r w:rsidRPr="00F35942">
        <w:rPr>
          <w:i/>
          <w:iCs/>
          <w:sz w:val="22"/>
          <w:szCs w:val="22"/>
        </w:rPr>
        <w:t>Macro Grids in the Mainstream: An International Survey of Plans and Progress</w:t>
      </w:r>
      <w:r w:rsidRPr="00F35942">
        <w:rPr>
          <w:sz w:val="22"/>
          <w:szCs w:val="22"/>
        </w:rPr>
        <w:t xml:space="preserve">. </w:t>
      </w:r>
      <w:proofErr w:type="spellStart"/>
      <w:r w:rsidRPr="00F35942">
        <w:rPr>
          <w:sz w:val="22"/>
          <w:szCs w:val="22"/>
        </w:rPr>
        <w:t>elabb</w:t>
      </w:r>
      <w:proofErr w:type="spellEnd"/>
      <w:r w:rsidRPr="00F35942">
        <w:rPr>
          <w:sz w:val="22"/>
          <w:szCs w:val="22"/>
        </w:rPr>
        <w:t xml:space="preserve"> (2020).</w:t>
      </w:r>
    </w:p>
    <w:p w14:paraId="650443E2" w14:textId="77777777" w:rsidR="00F263CE" w:rsidRPr="00F35942" w:rsidRDefault="00F263CE" w:rsidP="00F263CE">
      <w:pPr>
        <w:pStyle w:val="Bibliography"/>
        <w:rPr>
          <w:sz w:val="22"/>
          <w:szCs w:val="22"/>
        </w:rPr>
      </w:pPr>
      <w:r w:rsidRPr="00F35942">
        <w:rPr>
          <w:sz w:val="22"/>
          <w:szCs w:val="22"/>
        </w:rPr>
        <w:t>2.</w:t>
      </w:r>
      <w:r w:rsidRPr="00F35942">
        <w:rPr>
          <w:sz w:val="22"/>
          <w:szCs w:val="22"/>
        </w:rPr>
        <w:tab/>
        <w:t xml:space="preserve">Elabbas, M. A. E., de Vries, L. &amp; Correljé, A. African power pools and regional electricity market design: Taking stock of regional integration in energy sectors. </w:t>
      </w:r>
      <w:r w:rsidRPr="00F35942">
        <w:rPr>
          <w:i/>
          <w:iCs/>
          <w:sz w:val="22"/>
          <w:szCs w:val="22"/>
        </w:rPr>
        <w:t>Energy Research &amp; Social Science</w:t>
      </w:r>
      <w:r w:rsidRPr="00F35942">
        <w:rPr>
          <w:sz w:val="22"/>
          <w:szCs w:val="22"/>
        </w:rPr>
        <w:t xml:space="preserve"> </w:t>
      </w:r>
      <w:r w:rsidRPr="00F35942">
        <w:rPr>
          <w:b/>
          <w:bCs/>
          <w:sz w:val="22"/>
          <w:szCs w:val="22"/>
        </w:rPr>
        <w:t>105</w:t>
      </w:r>
      <w:r w:rsidRPr="00F35942">
        <w:rPr>
          <w:sz w:val="22"/>
          <w:szCs w:val="22"/>
        </w:rPr>
        <w:t>, 103291 (2023).</w:t>
      </w:r>
    </w:p>
    <w:p w14:paraId="6FAD318E" w14:textId="77777777" w:rsidR="00F263CE" w:rsidRPr="00F35942" w:rsidRDefault="00F263CE" w:rsidP="00F263CE">
      <w:pPr>
        <w:pStyle w:val="Bibliography"/>
        <w:rPr>
          <w:sz w:val="22"/>
          <w:szCs w:val="22"/>
        </w:rPr>
      </w:pPr>
      <w:r w:rsidRPr="00F35942">
        <w:rPr>
          <w:sz w:val="22"/>
          <w:szCs w:val="22"/>
        </w:rPr>
        <w:t>3.</w:t>
      </w:r>
      <w:r w:rsidRPr="00F35942">
        <w:rPr>
          <w:sz w:val="22"/>
          <w:szCs w:val="22"/>
        </w:rPr>
        <w:tab/>
        <w:t xml:space="preserve">Ahmed, T. </w:t>
      </w:r>
      <w:r w:rsidRPr="00F35942">
        <w:rPr>
          <w:i/>
          <w:iCs/>
          <w:sz w:val="22"/>
          <w:szCs w:val="22"/>
        </w:rPr>
        <w:t>et al.</w:t>
      </w:r>
      <w:r w:rsidRPr="00F35942">
        <w:rPr>
          <w:sz w:val="22"/>
          <w:szCs w:val="22"/>
        </w:rPr>
        <w:t xml:space="preserve"> ASEAN power grid: A secure transmission infrastructure for clean and sustainable energy for South-East Asia. </w:t>
      </w:r>
      <w:r w:rsidRPr="00F35942">
        <w:rPr>
          <w:i/>
          <w:iCs/>
          <w:sz w:val="22"/>
          <w:szCs w:val="22"/>
        </w:rPr>
        <w:t>Renewable and Sustainable Energy Reviews</w:t>
      </w:r>
      <w:r w:rsidRPr="00F35942">
        <w:rPr>
          <w:sz w:val="22"/>
          <w:szCs w:val="22"/>
        </w:rPr>
        <w:t xml:space="preserve"> </w:t>
      </w:r>
      <w:r w:rsidRPr="00F35942">
        <w:rPr>
          <w:b/>
          <w:bCs/>
          <w:sz w:val="22"/>
          <w:szCs w:val="22"/>
        </w:rPr>
        <w:t>67</w:t>
      </w:r>
      <w:r w:rsidRPr="00F35942">
        <w:rPr>
          <w:sz w:val="22"/>
          <w:szCs w:val="22"/>
        </w:rPr>
        <w:t>, 1420–1435 (2017).</w:t>
      </w:r>
    </w:p>
    <w:p w14:paraId="62530979" w14:textId="77777777" w:rsidR="00F263CE" w:rsidRPr="00F35942" w:rsidRDefault="00F263CE" w:rsidP="00F263CE">
      <w:pPr>
        <w:pStyle w:val="Bibliography"/>
        <w:rPr>
          <w:sz w:val="22"/>
          <w:szCs w:val="22"/>
        </w:rPr>
      </w:pPr>
      <w:r w:rsidRPr="00F35942">
        <w:rPr>
          <w:sz w:val="22"/>
          <w:szCs w:val="22"/>
        </w:rPr>
        <w:t>4.</w:t>
      </w:r>
      <w:r w:rsidRPr="00F35942">
        <w:rPr>
          <w:sz w:val="22"/>
          <w:szCs w:val="22"/>
        </w:rPr>
        <w:tab/>
        <w:t xml:space="preserve">Hirth, L., Mühlenpfordt, J. &amp; Bulkeley, M. The ENTSO-E Transparency Platform – A review of Europe’s most ambitious electricity data platform. </w:t>
      </w:r>
      <w:r w:rsidRPr="00F35942">
        <w:rPr>
          <w:i/>
          <w:iCs/>
          <w:sz w:val="22"/>
          <w:szCs w:val="22"/>
        </w:rPr>
        <w:t>Applied Energy</w:t>
      </w:r>
      <w:r w:rsidRPr="00F35942">
        <w:rPr>
          <w:sz w:val="22"/>
          <w:szCs w:val="22"/>
        </w:rPr>
        <w:t xml:space="preserve"> </w:t>
      </w:r>
      <w:r w:rsidRPr="00F35942">
        <w:rPr>
          <w:b/>
          <w:bCs/>
          <w:sz w:val="22"/>
          <w:szCs w:val="22"/>
        </w:rPr>
        <w:t>225</w:t>
      </w:r>
      <w:r w:rsidRPr="00F35942">
        <w:rPr>
          <w:sz w:val="22"/>
          <w:szCs w:val="22"/>
        </w:rPr>
        <w:t>, 1054–1067 (2018).</w:t>
      </w:r>
    </w:p>
    <w:p w14:paraId="269F4E96" w14:textId="77777777" w:rsidR="00F263CE" w:rsidRPr="00F35942" w:rsidRDefault="00F263CE" w:rsidP="00F263CE">
      <w:pPr>
        <w:pStyle w:val="Bibliography"/>
        <w:rPr>
          <w:sz w:val="22"/>
          <w:szCs w:val="22"/>
        </w:rPr>
      </w:pPr>
      <w:r w:rsidRPr="00F35942">
        <w:rPr>
          <w:sz w:val="22"/>
          <w:szCs w:val="22"/>
        </w:rPr>
        <w:t>5.</w:t>
      </w:r>
      <w:r w:rsidRPr="00F35942">
        <w:rPr>
          <w:sz w:val="22"/>
          <w:szCs w:val="22"/>
        </w:rPr>
        <w:tab/>
        <w:t xml:space="preserve">Brown, P. R. &amp; Botterud, A. The Value of Inter-Regional Coordination and Transmission in Decarbonizing the US Electricity System. </w:t>
      </w:r>
      <w:r w:rsidRPr="00F35942">
        <w:rPr>
          <w:i/>
          <w:iCs/>
          <w:sz w:val="22"/>
          <w:szCs w:val="22"/>
        </w:rPr>
        <w:t>Joule</w:t>
      </w:r>
      <w:r w:rsidRPr="00F35942">
        <w:rPr>
          <w:sz w:val="22"/>
          <w:szCs w:val="22"/>
        </w:rPr>
        <w:t xml:space="preserve"> </w:t>
      </w:r>
      <w:r w:rsidRPr="00F35942">
        <w:rPr>
          <w:b/>
          <w:bCs/>
          <w:sz w:val="22"/>
          <w:szCs w:val="22"/>
        </w:rPr>
        <w:t>5</w:t>
      </w:r>
      <w:r w:rsidRPr="00F35942">
        <w:rPr>
          <w:sz w:val="22"/>
          <w:szCs w:val="22"/>
        </w:rPr>
        <w:t>, 115–134 (2021).</w:t>
      </w:r>
    </w:p>
    <w:p w14:paraId="48968BFC" w14:textId="77777777" w:rsidR="00F263CE" w:rsidRPr="00F35942" w:rsidRDefault="00F263CE" w:rsidP="00F263CE">
      <w:pPr>
        <w:pStyle w:val="Bibliography"/>
        <w:rPr>
          <w:sz w:val="22"/>
          <w:szCs w:val="22"/>
        </w:rPr>
      </w:pPr>
      <w:r w:rsidRPr="00F35942">
        <w:rPr>
          <w:sz w:val="22"/>
          <w:szCs w:val="22"/>
        </w:rPr>
        <w:t>6.</w:t>
      </w:r>
      <w:r w:rsidRPr="00F35942">
        <w:rPr>
          <w:sz w:val="22"/>
          <w:szCs w:val="22"/>
        </w:rPr>
        <w:tab/>
        <w:t xml:space="preserve">Bloom, A. </w:t>
      </w:r>
      <w:r w:rsidRPr="00F35942">
        <w:rPr>
          <w:i/>
          <w:iCs/>
          <w:sz w:val="22"/>
          <w:szCs w:val="22"/>
        </w:rPr>
        <w:t>et al.</w:t>
      </w:r>
      <w:r w:rsidRPr="00F35942">
        <w:rPr>
          <w:sz w:val="22"/>
          <w:szCs w:val="22"/>
        </w:rPr>
        <w:t xml:space="preserve"> The Value of Increased HVDC Capacity Between Eastern and Western U.S. Grids: The Interconnections Seam Study. </w:t>
      </w:r>
      <w:r w:rsidRPr="00F35942">
        <w:rPr>
          <w:i/>
          <w:iCs/>
          <w:sz w:val="22"/>
          <w:szCs w:val="22"/>
        </w:rPr>
        <w:t>IEEE Transactions on Power Systems</w:t>
      </w:r>
      <w:r w:rsidRPr="00F35942">
        <w:rPr>
          <w:sz w:val="22"/>
          <w:szCs w:val="22"/>
        </w:rPr>
        <w:t xml:space="preserve"> </w:t>
      </w:r>
      <w:r w:rsidRPr="00F35942">
        <w:rPr>
          <w:b/>
          <w:bCs/>
          <w:sz w:val="22"/>
          <w:szCs w:val="22"/>
        </w:rPr>
        <w:t>37</w:t>
      </w:r>
      <w:r w:rsidRPr="00F35942">
        <w:rPr>
          <w:sz w:val="22"/>
          <w:szCs w:val="22"/>
        </w:rPr>
        <w:t>, 1760–1769 (2022).</w:t>
      </w:r>
    </w:p>
    <w:p w14:paraId="528524ED" w14:textId="77777777" w:rsidR="00F263CE" w:rsidRPr="00F35942" w:rsidRDefault="00F263CE" w:rsidP="00F263CE">
      <w:pPr>
        <w:pStyle w:val="Bibliography"/>
        <w:rPr>
          <w:sz w:val="22"/>
          <w:szCs w:val="22"/>
        </w:rPr>
      </w:pPr>
      <w:r w:rsidRPr="00F35942">
        <w:rPr>
          <w:sz w:val="22"/>
          <w:szCs w:val="22"/>
        </w:rPr>
        <w:t>7.</w:t>
      </w:r>
      <w:r w:rsidRPr="00F35942">
        <w:rPr>
          <w:sz w:val="22"/>
          <w:szCs w:val="22"/>
        </w:rPr>
        <w:tab/>
        <w:t xml:space="preserve">Azarpour, A., Mohammadzadeh, O., Rezaei, N. &amp; Zendehboudi, S. Current status and future prospects of renewable and sustainable energy in North America: Progress and challenges. </w:t>
      </w:r>
      <w:r w:rsidRPr="00F35942">
        <w:rPr>
          <w:i/>
          <w:iCs/>
          <w:sz w:val="22"/>
          <w:szCs w:val="22"/>
        </w:rPr>
        <w:t>Energy Conversion and Management</w:t>
      </w:r>
      <w:r w:rsidRPr="00F35942">
        <w:rPr>
          <w:sz w:val="22"/>
          <w:szCs w:val="22"/>
        </w:rPr>
        <w:t xml:space="preserve"> </w:t>
      </w:r>
      <w:r w:rsidRPr="00F35942">
        <w:rPr>
          <w:b/>
          <w:bCs/>
          <w:sz w:val="22"/>
          <w:szCs w:val="22"/>
        </w:rPr>
        <w:t>269</w:t>
      </w:r>
      <w:r w:rsidRPr="00F35942">
        <w:rPr>
          <w:sz w:val="22"/>
          <w:szCs w:val="22"/>
        </w:rPr>
        <w:t>, 115945 (2022).</w:t>
      </w:r>
    </w:p>
    <w:p w14:paraId="58E684E4" w14:textId="77777777" w:rsidR="00F263CE" w:rsidRPr="00F35942" w:rsidRDefault="00F263CE" w:rsidP="00F263CE">
      <w:pPr>
        <w:pStyle w:val="Bibliography"/>
        <w:rPr>
          <w:sz w:val="22"/>
          <w:szCs w:val="22"/>
        </w:rPr>
      </w:pPr>
      <w:r w:rsidRPr="00F35942">
        <w:rPr>
          <w:sz w:val="22"/>
          <w:szCs w:val="22"/>
        </w:rPr>
        <w:t>8.</w:t>
      </w:r>
      <w:r w:rsidRPr="00F35942">
        <w:rPr>
          <w:sz w:val="22"/>
          <w:szCs w:val="22"/>
        </w:rPr>
        <w:tab/>
        <w:t xml:space="preserve">Rodríguez-Sarasty, J. A., Debia, S. &amp; Pineau, P.-O. Deep decarbonization in Northeastern North America: The value of electricity market integration and hydropower. </w:t>
      </w:r>
      <w:r w:rsidRPr="00F35942">
        <w:rPr>
          <w:i/>
          <w:iCs/>
          <w:sz w:val="22"/>
          <w:szCs w:val="22"/>
        </w:rPr>
        <w:t>Energy Policy</w:t>
      </w:r>
      <w:r w:rsidRPr="00F35942">
        <w:rPr>
          <w:sz w:val="22"/>
          <w:szCs w:val="22"/>
        </w:rPr>
        <w:t xml:space="preserve"> </w:t>
      </w:r>
      <w:r w:rsidRPr="00F35942">
        <w:rPr>
          <w:b/>
          <w:bCs/>
          <w:sz w:val="22"/>
          <w:szCs w:val="22"/>
        </w:rPr>
        <w:t>152</w:t>
      </w:r>
      <w:r w:rsidRPr="00F35942">
        <w:rPr>
          <w:sz w:val="22"/>
          <w:szCs w:val="22"/>
        </w:rPr>
        <w:t>, 112210 (2021).</w:t>
      </w:r>
    </w:p>
    <w:p w14:paraId="1E851524" w14:textId="77777777" w:rsidR="00F263CE" w:rsidRPr="00F35942" w:rsidRDefault="00F263CE" w:rsidP="00F263CE">
      <w:pPr>
        <w:pStyle w:val="Bibliography"/>
        <w:rPr>
          <w:sz w:val="22"/>
          <w:szCs w:val="22"/>
        </w:rPr>
      </w:pPr>
      <w:r w:rsidRPr="00F35942">
        <w:rPr>
          <w:sz w:val="22"/>
          <w:szCs w:val="22"/>
        </w:rPr>
        <w:t>9.</w:t>
      </w:r>
      <w:r w:rsidRPr="00F35942">
        <w:rPr>
          <w:sz w:val="22"/>
          <w:szCs w:val="22"/>
        </w:rPr>
        <w:tab/>
        <w:t xml:space="preserve">Guo, F. </w:t>
      </w:r>
      <w:r w:rsidRPr="00F35942">
        <w:rPr>
          <w:i/>
          <w:iCs/>
          <w:sz w:val="22"/>
          <w:szCs w:val="22"/>
        </w:rPr>
        <w:t>et al.</w:t>
      </w:r>
      <w:r w:rsidRPr="00F35942">
        <w:rPr>
          <w:sz w:val="22"/>
          <w:szCs w:val="22"/>
        </w:rPr>
        <w:t xml:space="preserve"> Implications of intercontinental renewable electricity trade for energy systems and emissions. </w:t>
      </w:r>
      <w:r w:rsidRPr="00F35942">
        <w:rPr>
          <w:i/>
          <w:iCs/>
          <w:sz w:val="22"/>
          <w:szCs w:val="22"/>
        </w:rPr>
        <w:t>Nat Energy</w:t>
      </w:r>
      <w:r w:rsidRPr="00F35942">
        <w:rPr>
          <w:sz w:val="22"/>
          <w:szCs w:val="22"/>
        </w:rPr>
        <w:t xml:space="preserve"> </w:t>
      </w:r>
      <w:r w:rsidRPr="00F35942">
        <w:rPr>
          <w:b/>
          <w:bCs/>
          <w:sz w:val="22"/>
          <w:szCs w:val="22"/>
        </w:rPr>
        <w:t>7</w:t>
      </w:r>
      <w:r w:rsidRPr="00F35942">
        <w:rPr>
          <w:sz w:val="22"/>
          <w:szCs w:val="22"/>
        </w:rPr>
        <w:t>, 1144–1156 (2022).</w:t>
      </w:r>
    </w:p>
    <w:p w14:paraId="7288D8A5" w14:textId="77777777" w:rsidR="00F263CE" w:rsidRPr="00F35942" w:rsidRDefault="00F263CE" w:rsidP="00F263CE">
      <w:pPr>
        <w:pStyle w:val="Bibliography"/>
        <w:rPr>
          <w:sz w:val="22"/>
          <w:szCs w:val="22"/>
        </w:rPr>
      </w:pPr>
      <w:r w:rsidRPr="00F35942">
        <w:rPr>
          <w:sz w:val="22"/>
          <w:szCs w:val="22"/>
        </w:rPr>
        <w:t>10.</w:t>
      </w:r>
      <w:r w:rsidRPr="00F35942">
        <w:rPr>
          <w:sz w:val="22"/>
          <w:szCs w:val="22"/>
        </w:rPr>
        <w:tab/>
        <w:t xml:space="preserve">Yang, H., Deshmukh, R. &amp; Suh, S. Global transcontinental power pools for low-carbon electricity. </w:t>
      </w:r>
      <w:r w:rsidRPr="00F35942">
        <w:rPr>
          <w:i/>
          <w:iCs/>
          <w:sz w:val="22"/>
          <w:szCs w:val="22"/>
        </w:rPr>
        <w:t>Nat Commun</w:t>
      </w:r>
      <w:r w:rsidRPr="00F35942">
        <w:rPr>
          <w:sz w:val="22"/>
          <w:szCs w:val="22"/>
        </w:rPr>
        <w:t xml:space="preserve"> </w:t>
      </w:r>
      <w:r w:rsidRPr="00F35942">
        <w:rPr>
          <w:b/>
          <w:bCs/>
          <w:sz w:val="22"/>
          <w:szCs w:val="22"/>
        </w:rPr>
        <w:t>14</w:t>
      </w:r>
      <w:r w:rsidRPr="00F35942">
        <w:rPr>
          <w:sz w:val="22"/>
          <w:szCs w:val="22"/>
        </w:rPr>
        <w:t>, 8350 (2023).</w:t>
      </w:r>
    </w:p>
    <w:p w14:paraId="06EC3897" w14:textId="77777777" w:rsidR="00F263CE" w:rsidRPr="00F35942" w:rsidRDefault="00F263CE" w:rsidP="00F263CE">
      <w:pPr>
        <w:pStyle w:val="Bibliography"/>
        <w:rPr>
          <w:sz w:val="22"/>
          <w:szCs w:val="22"/>
        </w:rPr>
      </w:pPr>
      <w:r w:rsidRPr="00F35942">
        <w:rPr>
          <w:sz w:val="22"/>
          <w:szCs w:val="22"/>
        </w:rPr>
        <w:t>11.</w:t>
      </w:r>
      <w:r w:rsidRPr="00F35942">
        <w:rPr>
          <w:sz w:val="22"/>
          <w:szCs w:val="22"/>
        </w:rPr>
        <w:tab/>
        <w:t xml:space="preserve">Haller, M., Ludig, S. &amp; Bauer, N. Decarbonization scenarios for the EU and MENA power system: Considering spatial distribution and </w:t>
      </w:r>
      <w:proofErr w:type="gramStart"/>
      <w:r w:rsidRPr="00F35942">
        <w:rPr>
          <w:sz w:val="22"/>
          <w:szCs w:val="22"/>
        </w:rPr>
        <w:t>short term</w:t>
      </w:r>
      <w:proofErr w:type="gramEnd"/>
      <w:r w:rsidRPr="00F35942">
        <w:rPr>
          <w:sz w:val="22"/>
          <w:szCs w:val="22"/>
        </w:rPr>
        <w:t xml:space="preserve"> dynamics of renewable generation. </w:t>
      </w:r>
      <w:r w:rsidRPr="00F35942">
        <w:rPr>
          <w:i/>
          <w:iCs/>
          <w:sz w:val="22"/>
          <w:szCs w:val="22"/>
        </w:rPr>
        <w:t>Energy Policy</w:t>
      </w:r>
      <w:r w:rsidRPr="00F35942">
        <w:rPr>
          <w:sz w:val="22"/>
          <w:szCs w:val="22"/>
        </w:rPr>
        <w:t xml:space="preserve"> </w:t>
      </w:r>
      <w:r w:rsidRPr="00F35942">
        <w:rPr>
          <w:b/>
          <w:bCs/>
          <w:sz w:val="22"/>
          <w:szCs w:val="22"/>
        </w:rPr>
        <w:t>47</w:t>
      </w:r>
      <w:r w:rsidRPr="00F35942">
        <w:rPr>
          <w:sz w:val="22"/>
          <w:szCs w:val="22"/>
        </w:rPr>
        <w:t>, 282–290 (2012).</w:t>
      </w:r>
    </w:p>
    <w:p w14:paraId="2F43BC11" w14:textId="77777777" w:rsidR="00F263CE" w:rsidRPr="00F35942" w:rsidRDefault="00F263CE" w:rsidP="00F263CE">
      <w:pPr>
        <w:pStyle w:val="Bibliography"/>
        <w:rPr>
          <w:sz w:val="22"/>
          <w:szCs w:val="22"/>
        </w:rPr>
      </w:pPr>
      <w:r w:rsidRPr="00F35942">
        <w:rPr>
          <w:sz w:val="22"/>
          <w:szCs w:val="22"/>
        </w:rPr>
        <w:t>12.</w:t>
      </w:r>
      <w:r w:rsidRPr="00F35942">
        <w:rPr>
          <w:sz w:val="22"/>
          <w:szCs w:val="22"/>
        </w:rPr>
        <w:tab/>
        <w:t xml:space="preserve">Timilsina, G., Deluque Curiel, I. &amp; Chattopadhyay, D. </w:t>
      </w:r>
      <w:r w:rsidRPr="00F35942">
        <w:rPr>
          <w:i/>
          <w:iCs/>
          <w:sz w:val="22"/>
          <w:szCs w:val="22"/>
        </w:rPr>
        <w:t>How Much Does Latin America Gain from Enhanced Cross-Border Electricity Trade in the Short Run ?</w:t>
      </w:r>
      <w:r w:rsidRPr="00F35942">
        <w:rPr>
          <w:sz w:val="22"/>
          <w:szCs w:val="22"/>
        </w:rPr>
        <w:t xml:space="preserve"> (The World Bank, 2021). doi:10.1596/1813-9450-9692.</w:t>
      </w:r>
    </w:p>
    <w:p w14:paraId="5492AF64" w14:textId="77777777" w:rsidR="00F263CE" w:rsidRPr="00F35942" w:rsidRDefault="00F263CE" w:rsidP="00F263CE">
      <w:pPr>
        <w:pStyle w:val="Bibliography"/>
        <w:rPr>
          <w:sz w:val="22"/>
          <w:szCs w:val="22"/>
        </w:rPr>
      </w:pPr>
      <w:r w:rsidRPr="00F35942">
        <w:rPr>
          <w:sz w:val="22"/>
          <w:szCs w:val="22"/>
        </w:rPr>
        <w:t>13.</w:t>
      </w:r>
      <w:r w:rsidRPr="00F35942">
        <w:rPr>
          <w:sz w:val="22"/>
          <w:szCs w:val="22"/>
        </w:rPr>
        <w:tab/>
        <w:t xml:space="preserve">Wu, G. C. </w:t>
      </w:r>
      <w:r w:rsidRPr="00F35942">
        <w:rPr>
          <w:i/>
          <w:iCs/>
          <w:sz w:val="22"/>
          <w:szCs w:val="22"/>
        </w:rPr>
        <w:t>et al.</w:t>
      </w:r>
      <w:r w:rsidRPr="00F35942">
        <w:rPr>
          <w:sz w:val="22"/>
          <w:szCs w:val="22"/>
        </w:rPr>
        <w:t xml:space="preserve"> Strategic siting and regional grid interconnections key to low-carbon futures in African countries. </w:t>
      </w:r>
      <w:r w:rsidRPr="00F35942">
        <w:rPr>
          <w:i/>
          <w:iCs/>
          <w:sz w:val="22"/>
          <w:szCs w:val="22"/>
        </w:rPr>
        <w:t>Proceedings of the National Academy of Sciences</w:t>
      </w:r>
      <w:r w:rsidRPr="00F35942">
        <w:rPr>
          <w:sz w:val="22"/>
          <w:szCs w:val="22"/>
        </w:rPr>
        <w:t xml:space="preserve"> </w:t>
      </w:r>
      <w:r w:rsidRPr="00F35942">
        <w:rPr>
          <w:b/>
          <w:bCs/>
          <w:sz w:val="22"/>
          <w:szCs w:val="22"/>
        </w:rPr>
        <w:t>114</w:t>
      </w:r>
      <w:r w:rsidRPr="00F35942">
        <w:rPr>
          <w:sz w:val="22"/>
          <w:szCs w:val="22"/>
        </w:rPr>
        <w:t>, E3004–E3012 (2017).</w:t>
      </w:r>
    </w:p>
    <w:p w14:paraId="1A5F79A7" w14:textId="77777777" w:rsidR="00F263CE" w:rsidRPr="00F35942" w:rsidRDefault="00F263CE" w:rsidP="00F263CE">
      <w:pPr>
        <w:pStyle w:val="Bibliography"/>
        <w:rPr>
          <w:sz w:val="22"/>
          <w:szCs w:val="22"/>
        </w:rPr>
      </w:pPr>
      <w:r w:rsidRPr="00F35942">
        <w:rPr>
          <w:sz w:val="22"/>
          <w:szCs w:val="22"/>
        </w:rPr>
        <w:t>14.</w:t>
      </w:r>
      <w:r w:rsidRPr="00F35942">
        <w:rPr>
          <w:sz w:val="22"/>
          <w:szCs w:val="22"/>
        </w:rPr>
        <w:tab/>
        <w:t xml:space="preserve">Tröndle, T., Lilliestam, J., Marelli, S. &amp; Pfenninger, S. Trade-Offs between Geographic Scale, Cost, and Infrastructure Requirements for Fully Renewable Electricity in Europe. </w:t>
      </w:r>
      <w:r w:rsidRPr="00F35942">
        <w:rPr>
          <w:i/>
          <w:iCs/>
          <w:sz w:val="22"/>
          <w:szCs w:val="22"/>
        </w:rPr>
        <w:t>Joule</w:t>
      </w:r>
      <w:r w:rsidRPr="00F35942">
        <w:rPr>
          <w:sz w:val="22"/>
          <w:szCs w:val="22"/>
        </w:rPr>
        <w:t xml:space="preserve"> </w:t>
      </w:r>
      <w:r w:rsidRPr="00F35942">
        <w:rPr>
          <w:b/>
          <w:bCs/>
          <w:sz w:val="22"/>
          <w:szCs w:val="22"/>
        </w:rPr>
        <w:t>4</w:t>
      </w:r>
      <w:r w:rsidRPr="00F35942">
        <w:rPr>
          <w:sz w:val="22"/>
          <w:szCs w:val="22"/>
        </w:rPr>
        <w:t>, 1929–1948 (2020).</w:t>
      </w:r>
    </w:p>
    <w:p w14:paraId="5BCACBD7" w14:textId="77777777" w:rsidR="00F263CE" w:rsidRPr="00F35942" w:rsidRDefault="00F263CE" w:rsidP="00F263CE">
      <w:pPr>
        <w:pStyle w:val="Bibliography"/>
        <w:rPr>
          <w:sz w:val="22"/>
          <w:szCs w:val="22"/>
        </w:rPr>
      </w:pPr>
      <w:r w:rsidRPr="00F35942">
        <w:rPr>
          <w:sz w:val="22"/>
          <w:szCs w:val="22"/>
        </w:rPr>
        <w:lastRenderedPageBreak/>
        <w:t>15.</w:t>
      </w:r>
      <w:r w:rsidRPr="00F35942">
        <w:rPr>
          <w:sz w:val="22"/>
          <w:szCs w:val="22"/>
        </w:rPr>
        <w:tab/>
        <w:t xml:space="preserve">Bowen, B. H., Sparrow, F. T. &amp; Yu, Z. Modeling electricity trade policy for the twelve nations of the Southern African Power Pool (SAPP). </w:t>
      </w:r>
      <w:r w:rsidRPr="00F35942">
        <w:rPr>
          <w:i/>
          <w:iCs/>
          <w:sz w:val="22"/>
          <w:szCs w:val="22"/>
        </w:rPr>
        <w:t>Utilities Policy</w:t>
      </w:r>
      <w:r w:rsidRPr="00F35942">
        <w:rPr>
          <w:sz w:val="22"/>
          <w:szCs w:val="22"/>
        </w:rPr>
        <w:t xml:space="preserve"> </w:t>
      </w:r>
      <w:r w:rsidRPr="00F35942">
        <w:rPr>
          <w:b/>
          <w:bCs/>
          <w:sz w:val="22"/>
          <w:szCs w:val="22"/>
        </w:rPr>
        <w:t>8</w:t>
      </w:r>
      <w:r w:rsidRPr="00F35942">
        <w:rPr>
          <w:sz w:val="22"/>
          <w:szCs w:val="22"/>
        </w:rPr>
        <w:t>, 183–197 (1999).</w:t>
      </w:r>
    </w:p>
    <w:p w14:paraId="0DFADE96" w14:textId="77777777" w:rsidR="00F263CE" w:rsidRPr="00F35942" w:rsidRDefault="00F263CE" w:rsidP="00F263CE">
      <w:pPr>
        <w:pStyle w:val="Bibliography"/>
        <w:rPr>
          <w:sz w:val="22"/>
          <w:szCs w:val="22"/>
        </w:rPr>
      </w:pPr>
      <w:r w:rsidRPr="00F35942">
        <w:rPr>
          <w:sz w:val="22"/>
          <w:szCs w:val="22"/>
        </w:rPr>
        <w:t>16.</w:t>
      </w:r>
      <w:r w:rsidRPr="00F35942">
        <w:rPr>
          <w:sz w:val="22"/>
          <w:szCs w:val="22"/>
        </w:rPr>
        <w:tab/>
        <w:t xml:space="preserve">Remy, T. &amp; Chattopadhyay, D. Promoting better economics, renewables and CO2 reduction through trade: A case study for the Eastern Africa Power Pool. </w:t>
      </w:r>
      <w:r w:rsidRPr="00F35942">
        <w:rPr>
          <w:i/>
          <w:iCs/>
          <w:sz w:val="22"/>
          <w:szCs w:val="22"/>
        </w:rPr>
        <w:t>Energy for Sustainable Development</w:t>
      </w:r>
      <w:r w:rsidRPr="00F35942">
        <w:rPr>
          <w:sz w:val="22"/>
          <w:szCs w:val="22"/>
        </w:rPr>
        <w:t xml:space="preserve"> </w:t>
      </w:r>
      <w:r w:rsidRPr="00F35942">
        <w:rPr>
          <w:b/>
          <w:bCs/>
          <w:sz w:val="22"/>
          <w:szCs w:val="22"/>
        </w:rPr>
        <w:t>57</w:t>
      </w:r>
      <w:r w:rsidRPr="00F35942">
        <w:rPr>
          <w:sz w:val="22"/>
          <w:szCs w:val="22"/>
        </w:rPr>
        <w:t>, 81–97 (2020).</w:t>
      </w:r>
    </w:p>
    <w:p w14:paraId="6C39CE0C" w14:textId="77777777" w:rsidR="00F263CE" w:rsidRPr="00F35942" w:rsidRDefault="00F263CE" w:rsidP="00F263CE">
      <w:pPr>
        <w:pStyle w:val="Bibliography"/>
        <w:rPr>
          <w:sz w:val="22"/>
          <w:szCs w:val="22"/>
        </w:rPr>
      </w:pPr>
      <w:r w:rsidRPr="00F35942">
        <w:rPr>
          <w:sz w:val="22"/>
          <w:szCs w:val="22"/>
        </w:rPr>
        <w:t>17.</w:t>
      </w:r>
      <w:r w:rsidRPr="00F35942">
        <w:rPr>
          <w:sz w:val="22"/>
          <w:szCs w:val="22"/>
        </w:rPr>
        <w:tab/>
        <w:t xml:space="preserve">Fürsch, M. </w:t>
      </w:r>
      <w:r w:rsidRPr="00F35942">
        <w:rPr>
          <w:i/>
          <w:iCs/>
          <w:sz w:val="22"/>
          <w:szCs w:val="22"/>
        </w:rPr>
        <w:t>et al.</w:t>
      </w:r>
      <w:r w:rsidRPr="00F35942">
        <w:rPr>
          <w:sz w:val="22"/>
          <w:szCs w:val="22"/>
        </w:rPr>
        <w:t xml:space="preserve"> The role of grid extensions in a cost-efficient transformation of the European electricity system until 2050. </w:t>
      </w:r>
      <w:r w:rsidRPr="00F35942">
        <w:rPr>
          <w:i/>
          <w:iCs/>
          <w:sz w:val="22"/>
          <w:szCs w:val="22"/>
        </w:rPr>
        <w:t>Applied Energy</w:t>
      </w:r>
      <w:r w:rsidRPr="00F35942">
        <w:rPr>
          <w:sz w:val="22"/>
          <w:szCs w:val="22"/>
        </w:rPr>
        <w:t xml:space="preserve"> </w:t>
      </w:r>
      <w:r w:rsidRPr="00F35942">
        <w:rPr>
          <w:b/>
          <w:bCs/>
          <w:sz w:val="22"/>
          <w:szCs w:val="22"/>
        </w:rPr>
        <w:t>104</w:t>
      </w:r>
      <w:r w:rsidRPr="00F35942">
        <w:rPr>
          <w:sz w:val="22"/>
          <w:szCs w:val="22"/>
        </w:rPr>
        <w:t>, 642–652 (2013).</w:t>
      </w:r>
    </w:p>
    <w:p w14:paraId="00A28CFD" w14:textId="77777777" w:rsidR="00F263CE" w:rsidRPr="00F35942" w:rsidRDefault="00F263CE" w:rsidP="00F263CE">
      <w:pPr>
        <w:pStyle w:val="Bibliography"/>
        <w:rPr>
          <w:sz w:val="22"/>
          <w:szCs w:val="22"/>
        </w:rPr>
      </w:pPr>
      <w:r w:rsidRPr="00F35942">
        <w:rPr>
          <w:sz w:val="22"/>
          <w:szCs w:val="22"/>
        </w:rPr>
        <w:t>18.</w:t>
      </w:r>
      <w:r w:rsidRPr="00F35942">
        <w:rPr>
          <w:sz w:val="22"/>
          <w:szCs w:val="22"/>
        </w:rPr>
        <w:tab/>
        <w:t xml:space="preserve">Esteves, F., Molina-Perez, E., Kalra, N., Syme, J. &amp; Vogt-Schilb, A. Job creation and decarbonization synergies in Latin America: a simulation-based exploratory modeling analysis. </w:t>
      </w:r>
      <w:r w:rsidRPr="00F35942">
        <w:rPr>
          <w:i/>
          <w:iCs/>
          <w:sz w:val="22"/>
          <w:szCs w:val="22"/>
        </w:rPr>
        <w:t>Front. Clim.</w:t>
      </w:r>
      <w:r w:rsidRPr="00F35942">
        <w:rPr>
          <w:sz w:val="22"/>
          <w:szCs w:val="22"/>
        </w:rPr>
        <w:t xml:space="preserve"> </w:t>
      </w:r>
      <w:r w:rsidRPr="00F35942">
        <w:rPr>
          <w:b/>
          <w:bCs/>
          <w:sz w:val="22"/>
          <w:szCs w:val="22"/>
        </w:rPr>
        <w:t>6</w:t>
      </w:r>
      <w:r w:rsidRPr="00F35942">
        <w:rPr>
          <w:sz w:val="22"/>
          <w:szCs w:val="22"/>
        </w:rPr>
        <w:t>, (2024).</w:t>
      </w:r>
    </w:p>
    <w:p w14:paraId="7707654D" w14:textId="77777777" w:rsidR="00F263CE" w:rsidRPr="00F35942" w:rsidRDefault="00F263CE" w:rsidP="00F263CE">
      <w:pPr>
        <w:pStyle w:val="Bibliography"/>
        <w:rPr>
          <w:sz w:val="22"/>
          <w:szCs w:val="22"/>
        </w:rPr>
      </w:pPr>
      <w:r w:rsidRPr="00F35942">
        <w:rPr>
          <w:sz w:val="22"/>
          <w:szCs w:val="22"/>
        </w:rPr>
        <w:t>19.</w:t>
      </w:r>
      <w:r w:rsidRPr="00F35942">
        <w:rPr>
          <w:sz w:val="22"/>
          <w:szCs w:val="22"/>
        </w:rPr>
        <w:tab/>
        <w:t xml:space="preserve">Mulugetta, Y. </w:t>
      </w:r>
      <w:r w:rsidRPr="00F35942">
        <w:rPr>
          <w:i/>
          <w:iCs/>
          <w:sz w:val="22"/>
          <w:szCs w:val="22"/>
        </w:rPr>
        <w:t>et al.</w:t>
      </w:r>
      <w:r w:rsidRPr="00F35942">
        <w:rPr>
          <w:sz w:val="22"/>
          <w:szCs w:val="22"/>
        </w:rPr>
        <w:t xml:space="preserve"> Africa needs context-relevant evidence to shape its clean energy future. </w:t>
      </w:r>
      <w:r w:rsidRPr="00F35942">
        <w:rPr>
          <w:i/>
          <w:iCs/>
          <w:sz w:val="22"/>
          <w:szCs w:val="22"/>
        </w:rPr>
        <w:t>Nat Energy</w:t>
      </w:r>
      <w:r w:rsidRPr="00F35942">
        <w:rPr>
          <w:sz w:val="22"/>
          <w:szCs w:val="22"/>
        </w:rPr>
        <w:t xml:space="preserve"> </w:t>
      </w:r>
      <w:r w:rsidRPr="00F35942">
        <w:rPr>
          <w:b/>
          <w:bCs/>
          <w:sz w:val="22"/>
          <w:szCs w:val="22"/>
        </w:rPr>
        <w:t>7</w:t>
      </w:r>
      <w:r w:rsidRPr="00F35942">
        <w:rPr>
          <w:sz w:val="22"/>
          <w:szCs w:val="22"/>
        </w:rPr>
        <w:t>, 1015–1022 (2022).</w:t>
      </w:r>
    </w:p>
    <w:p w14:paraId="71C63F4B" w14:textId="77777777" w:rsidR="00F263CE" w:rsidRPr="00F35942" w:rsidRDefault="00F263CE" w:rsidP="00F263CE">
      <w:pPr>
        <w:pStyle w:val="Bibliography"/>
        <w:rPr>
          <w:sz w:val="22"/>
          <w:szCs w:val="22"/>
        </w:rPr>
      </w:pPr>
      <w:r w:rsidRPr="00F35942">
        <w:rPr>
          <w:sz w:val="22"/>
          <w:szCs w:val="22"/>
        </w:rPr>
        <w:t>20.</w:t>
      </w:r>
      <w:r w:rsidRPr="00F35942">
        <w:rPr>
          <w:sz w:val="22"/>
          <w:szCs w:val="22"/>
        </w:rPr>
        <w:tab/>
        <w:t xml:space="preserve">Sasse, J.-P. &amp; Trutnevyte, E. A low-carbon electricity sector in Europe risks sustaining regional inequalities in benefits and vulnerabilities. </w:t>
      </w:r>
      <w:r w:rsidRPr="00F35942">
        <w:rPr>
          <w:i/>
          <w:iCs/>
          <w:sz w:val="22"/>
          <w:szCs w:val="22"/>
        </w:rPr>
        <w:t>Nat Commun</w:t>
      </w:r>
      <w:r w:rsidRPr="00F35942">
        <w:rPr>
          <w:sz w:val="22"/>
          <w:szCs w:val="22"/>
        </w:rPr>
        <w:t xml:space="preserve"> </w:t>
      </w:r>
      <w:r w:rsidRPr="00F35942">
        <w:rPr>
          <w:b/>
          <w:bCs/>
          <w:sz w:val="22"/>
          <w:szCs w:val="22"/>
        </w:rPr>
        <w:t>14</w:t>
      </w:r>
      <w:r w:rsidRPr="00F35942">
        <w:rPr>
          <w:sz w:val="22"/>
          <w:szCs w:val="22"/>
        </w:rPr>
        <w:t>, 2205 (2023).</w:t>
      </w:r>
    </w:p>
    <w:p w14:paraId="5D772372" w14:textId="77777777" w:rsidR="00F263CE" w:rsidRPr="00F35942" w:rsidRDefault="00F263CE" w:rsidP="00F263CE">
      <w:pPr>
        <w:pStyle w:val="Bibliography"/>
        <w:rPr>
          <w:sz w:val="22"/>
          <w:szCs w:val="22"/>
        </w:rPr>
      </w:pPr>
      <w:r w:rsidRPr="00F35942">
        <w:rPr>
          <w:sz w:val="22"/>
          <w:szCs w:val="22"/>
        </w:rPr>
        <w:t>21.</w:t>
      </w:r>
      <w:r w:rsidRPr="00F35942">
        <w:rPr>
          <w:sz w:val="22"/>
          <w:szCs w:val="22"/>
        </w:rPr>
        <w:tab/>
        <w:t xml:space="preserve">de Moura, G. N. P., Legey, L. F. L. &amp; Howells, M. A Brazilian perspective of power systems integration using OSeMOSYS SAMBA – South America Model Base – and the bargaining power of neighbouring countries: A cooperative games approach. </w:t>
      </w:r>
      <w:r w:rsidRPr="00F35942">
        <w:rPr>
          <w:i/>
          <w:iCs/>
          <w:sz w:val="22"/>
          <w:szCs w:val="22"/>
        </w:rPr>
        <w:t>Energy Policy</w:t>
      </w:r>
      <w:r w:rsidRPr="00F35942">
        <w:rPr>
          <w:sz w:val="22"/>
          <w:szCs w:val="22"/>
        </w:rPr>
        <w:t xml:space="preserve"> </w:t>
      </w:r>
      <w:r w:rsidRPr="00F35942">
        <w:rPr>
          <w:b/>
          <w:bCs/>
          <w:sz w:val="22"/>
          <w:szCs w:val="22"/>
        </w:rPr>
        <w:t>115</w:t>
      </w:r>
      <w:r w:rsidRPr="00F35942">
        <w:rPr>
          <w:sz w:val="22"/>
          <w:szCs w:val="22"/>
        </w:rPr>
        <w:t>, 470–485 (2018).</w:t>
      </w:r>
    </w:p>
    <w:p w14:paraId="3E97A85A" w14:textId="77777777" w:rsidR="00F263CE" w:rsidRPr="00F35942" w:rsidRDefault="00F263CE" w:rsidP="00F263CE">
      <w:pPr>
        <w:pStyle w:val="Bibliography"/>
        <w:rPr>
          <w:sz w:val="22"/>
          <w:szCs w:val="22"/>
        </w:rPr>
      </w:pPr>
      <w:r w:rsidRPr="00F35942">
        <w:rPr>
          <w:sz w:val="22"/>
          <w:szCs w:val="22"/>
        </w:rPr>
        <w:t>22.</w:t>
      </w:r>
      <w:r w:rsidRPr="00F35942">
        <w:rPr>
          <w:sz w:val="22"/>
          <w:szCs w:val="22"/>
        </w:rPr>
        <w:tab/>
        <w:t xml:space="preserve">Ochoa, C., Dyner, I. &amp; Franco, C. J. Simulating power integration in Latin America to assess challenges, opportunities, and threats. </w:t>
      </w:r>
      <w:r w:rsidRPr="00F35942">
        <w:rPr>
          <w:i/>
          <w:iCs/>
          <w:sz w:val="22"/>
          <w:szCs w:val="22"/>
        </w:rPr>
        <w:t>Energy Policy</w:t>
      </w:r>
      <w:r w:rsidRPr="00F35942">
        <w:rPr>
          <w:sz w:val="22"/>
          <w:szCs w:val="22"/>
        </w:rPr>
        <w:t xml:space="preserve"> </w:t>
      </w:r>
      <w:r w:rsidRPr="00F35942">
        <w:rPr>
          <w:b/>
          <w:bCs/>
          <w:sz w:val="22"/>
          <w:szCs w:val="22"/>
        </w:rPr>
        <w:t>61</w:t>
      </w:r>
      <w:r w:rsidRPr="00F35942">
        <w:rPr>
          <w:sz w:val="22"/>
          <w:szCs w:val="22"/>
        </w:rPr>
        <w:t>, 267–273 (2013).</w:t>
      </w:r>
    </w:p>
    <w:p w14:paraId="5B2259AA" w14:textId="77777777" w:rsidR="00F263CE" w:rsidRPr="00F35942" w:rsidRDefault="00F263CE" w:rsidP="00F263CE">
      <w:pPr>
        <w:pStyle w:val="Bibliography"/>
        <w:rPr>
          <w:sz w:val="22"/>
          <w:szCs w:val="22"/>
        </w:rPr>
      </w:pPr>
      <w:r w:rsidRPr="00F35942">
        <w:rPr>
          <w:sz w:val="22"/>
          <w:szCs w:val="22"/>
        </w:rPr>
        <w:t>23.</w:t>
      </w:r>
      <w:r w:rsidRPr="00F35942">
        <w:rPr>
          <w:sz w:val="22"/>
          <w:szCs w:val="22"/>
        </w:rPr>
        <w:tab/>
        <w:t xml:space="preserve">Agostini, C. A., Guzmán, A. M., Nasirov, S. &amp; Silva, C. A surplus based framework for cross-border electricity trade in South America. </w:t>
      </w:r>
      <w:r w:rsidRPr="00F35942">
        <w:rPr>
          <w:i/>
          <w:iCs/>
          <w:sz w:val="22"/>
          <w:szCs w:val="22"/>
        </w:rPr>
        <w:t>Energy Policy</w:t>
      </w:r>
      <w:r w:rsidRPr="00F35942">
        <w:rPr>
          <w:sz w:val="22"/>
          <w:szCs w:val="22"/>
        </w:rPr>
        <w:t xml:space="preserve"> </w:t>
      </w:r>
      <w:r w:rsidRPr="00F35942">
        <w:rPr>
          <w:b/>
          <w:bCs/>
          <w:sz w:val="22"/>
          <w:szCs w:val="22"/>
        </w:rPr>
        <w:t>128</w:t>
      </w:r>
      <w:r w:rsidRPr="00F35942">
        <w:rPr>
          <w:sz w:val="22"/>
          <w:szCs w:val="22"/>
        </w:rPr>
        <w:t>, 673–684 (2019).</w:t>
      </w:r>
    </w:p>
    <w:p w14:paraId="4FD6A7D9" w14:textId="77777777" w:rsidR="00F263CE" w:rsidRPr="00F35942" w:rsidRDefault="00F263CE" w:rsidP="00F263CE">
      <w:pPr>
        <w:pStyle w:val="Bibliography"/>
        <w:rPr>
          <w:sz w:val="22"/>
          <w:szCs w:val="22"/>
        </w:rPr>
      </w:pPr>
      <w:r w:rsidRPr="00F35942">
        <w:rPr>
          <w:sz w:val="22"/>
          <w:szCs w:val="22"/>
        </w:rPr>
        <w:t>24.</w:t>
      </w:r>
      <w:r w:rsidRPr="00F35942">
        <w:rPr>
          <w:sz w:val="22"/>
          <w:szCs w:val="22"/>
        </w:rPr>
        <w:tab/>
        <w:t xml:space="preserve">De Oliveira-De Jesus, P. M., González De León, M. &amp; Melán, R. A. A mitigation scenario for Latin American power-related carbon dioxide emissions. </w:t>
      </w:r>
      <w:r w:rsidRPr="00F35942">
        <w:rPr>
          <w:i/>
          <w:iCs/>
          <w:sz w:val="22"/>
          <w:szCs w:val="22"/>
        </w:rPr>
        <w:t>Energy Sources, Part B: Economics, Planning, and Policy</w:t>
      </w:r>
      <w:r w:rsidRPr="00F35942">
        <w:rPr>
          <w:sz w:val="22"/>
          <w:szCs w:val="22"/>
        </w:rPr>
        <w:t xml:space="preserve"> </w:t>
      </w:r>
      <w:r w:rsidRPr="00F35942">
        <w:rPr>
          <w:b/>
          <w:bCs/>
          <w:sz w:val="22"/>
          <w:szCs w:val="22"/>
        </w:rPr>
        <w:t>15</w:t>
      </w:r>
      <w:r w:rsidRPr="00F35942">
        <w:rPr>
          <w:sz w:val="22"/>
          <w:szCs w:val="22"/>
        </w:rPr>
        <w:t>, 492–512 (2020).</w:t>
      </w:r>
    </w:p>
    <w:p w14:paraId="78F2088B" w14:textId="77777777" w:rsidR="00F263CE" w:rsidRPr="00F35942" w:rsidRDefault="00F263CE" w:rsidP="00F263CE">
      <w:pPr>
        <w:pStyle w:val="Bibliography"/>
        <w:rPr>
          <w:sz w:val="22"/>
          <w:szCs w:val="22"/>
        </w:rPr>
      </w:pPr>
      <w:r w:rsidRPr="00F35942">
        <w:rPr>
          <w:sz w:val="22"/>
          <w:szCs w:val="22"/>
        </w:rPr>
        <w:t>25.</w:t>
      </w:r>
      <w:r w:rsidRPr="00F35942">
        <w:rPr>
          <w:sz w:val="22"/>
          <w:szCs w:val="22"/>
        </w:rPr>
        <w:tab/>
        <w:t xml:space="preserve">Barbosa, L. de S. N. S., Bogdanov, D., Vainikka, P. &amp; Breyer, C. Hydro, wind and solar power as a base for a 100% renewable energy supply for South and Central America. </w:t>
      </w:r>
      <w:r w:rsidRPr="00F35942">
        <w:rPr>
          <w:i/>
          <w:iCs/>
          <w:sz w:val="22"/>
          <w:szCs w:val="22"/>
        </w:rPr>
        <w:t>PLOS ONE</w:t>
      </w:r>
      <w:r w:rsidRPr="00F35942">
        <w:rPr>
          <w:sz w:val="22"/>
          <w:szCs w:val="22"/>
        </w:rPr>
        <w:t xml:space="preserve"> </w:t>
      </w:r>
      <w:r w:rsidRPr="00F35942">
        <w:rPr>
          <w:b/>
          <w:bCs/>
          <w:sz w:val="22"/>
          <w:szCs w:val="22"/>
        </w:rPr>
        <w:t>12</w:t>
      </w:r>
      <w:r w:rsidRPr="00F35942">
        <w:rPr>
          <w:sz w:val="22"/>
          <w:szCs w:val="22"/>
        </w:rPr>
        <w:t>, e0173820 (2017).</w:t>
      </w:r>
    </w:p>
    <w:p w14:paraId="783EBF18" w14:textId="77777777" w:rsidR="00F263CE" w:rsidRPr="00F35942" w:rsidRDefault="00F263CE" w:rsidP="00F263CE">
      <w:pPr>
        <w:pStyle w:val="Bibliography"/>
        <w:rPr>
          <w:sz w:val="22"/>
          <w:szCs w:val="22"/>
        </w:rPr>
      </w:pPr>
      <w:r w:rsidRPr="00F35942">
        <w:rPr>
          <w:sz w:val="22"/>
          <w:szCs w:val="22"/>
        </w:rPr>
        <w:t>26.</w:t>
      </w:r>
      <w:r w:rsidRPr="00F35942">
        <w:rPr>
          <w:sz w:val="22"/>
          <w:szCs w:val="22"/>
        </w:rPr>
        <w:tab/>
        <w:t xml:space="preserve">Vera, N. A. &amp; Ríos, M. A. Planning a Latin America SuperGrid: A First Approach. in </w:t>
      </w:r>
      <w:r w:rsidRPr="00F35942">
        <w:rPr>
          <w:i/>
          <w:iCs/>
          <w:sz w:val="22"/>
          <w:szCs w:val="22"/>
        </w:rPr>
        <w:t>2018 IEEE ANDESCON</w:t>
      </w:r>
      <w:r w:rsidRPr="00F35942">
        <w:rPr>
          <w:sz w:val="22"/>
          <w:szCs w:val="22"/>
        </w:rPr>
        <w:t xml:space="preserve"> 1–5 (2018). doi:10.1109/ANDESCON.2018.8564578.</w:t>
      </w:r>
    </w:p>
    <w:p w14:paraId="1A35ECA3" w14:textId="77777777" w:rsidR="00F263CE" w:rsidRPr="00F35942" w:rsidRDefault="00F263CE" w:rsidP="00F263CE">
      <w:pPr>
        <w:pStyle w:val="Bibliography"/>
        <w:rPr>
          <w:sz w:val="22"/>
          <w:szCs w:val="22"/>
        </w:rPr>
      </w:pPr>
      <w:r w:rsidRPr="00F35942">
        <w:rPr>
          <w:sz w:val="22"/>
          <w:szCs w:val="22"/>
        </w:rPr>
        <w:t>27.</w:t>
      </w:r>
      <w:r w:rsidRPr="00F35942">
        <w:rPr>
          <w:sz w:val="22"/>
          <w:szCs w:val="22"/>
        </w:rPr>
        <w:tab/>
        <w:t xml:space="preserve">Itiki, R., Manjrekar, M. &amp; Di Santo, S. G. Comparative Evaluation of Super Grid Topologies proposed for Europe and Latin America. in </w:t>
      </w:r>
      <w:r w:rsidRPr="00F35942">
        <w:rPr>
          <w:i/>
          <w:iCs/>
          <w:sz w:val="22"/>
          <w:szCs w:val="22"/>
        </w:rPr>
        <w:t>2019 North American Power Symposium (NAPS)</w:t>
      </w:r>
      <w:r w:rsidRPr="00F35942">
        <w:rPr>
          <w:sz w:val="22"/>
          <w:szCs w:val="22"/>
        </w:rPr>
        <w:t xml:space="preserve"> 1–6 (2019). doi:10.1109/NAPS46351.2019.9000193.</w:t>
      </w:r>
    </w:p>
    <w:p w14:paraId="21C3F8DE" w14:textId="77777777" w:rsidR="00F263CE" w:rsidRPr="00F35942" w:rsidRDefault="00F263CE" w:rsidP="00F263CE">
      <w:pPr>
        <w:pStyle w:val="Bibliography"/>
        <w:rPr>
          <w:sz w:val="22"/>
          <w:szCs w:val="22"/>
        </w:rPr>
      </w:pPr>
      <w:r w:rsidRPr="00F35942">
        <w:rPr>
          <w:sz w:val="22"/>
          <w:szCs w:val="22"/>
        </w:rPr>
        <w:t>28.</w:t>
      </w:r>
      <w:r w:rsidRPr="00F35942">
        <w:rPr>
          <w:sz w:val="22"/>
          <w:szCs w:val="22"/>
        </w:rPr>
        <w:tab/>
        <w:t xml:space="preserve">Sterl, S. </w:t>
      </w:r>
      <w:r w:rsidRPr="00F35942">
        <w:rPr>
          <w:i/>
          <w:iCs/>
          <w:sz w:val="22"/>
          <w:szCs w:val="22"/>
        </w:rPr>
        <w:t>et al.</w:t>
      </w:r>
      <w:r w:rsidRPr="00F35942">
        <w:rPr>
          <w:sz w:val="22"/>
          <w:szCs w:val="22"/>
        </w:rPr>
        <w:t xml:space="preserve"> Smart renewable electricity portfolios in West Africa. </w:t>
      </w:r>
      <w:r w:rsidRPr="00F35942">
        <w:rPr>
          <w:i/>
          <w:iCs/>
          <w:sz w:val="22"/>
          <w:szCs w:val="22"/>
        </w:rPr>
        <w:t>Nat Sustain</w:t>
      </w:r>
      <w:r w:rsidRPr="00F35942">
        <w:rPr>
          <w:sz w:val="22"/>
          <w:szCs w:val="22"/>
        </w:rPr>
        <w:t xml:space="preserve"> </w:t>
      </w:r>
      <w:r w:rsidRPr="00F35942">
        <w:rPr>
          <w:b/>
          <w:bCs/>
          <w:sz w:val="22"/>
          <w:szCs w:val="22"/>
        </w:rPr>
        <w:t>3</w:t>
      </w:r>
      <w:r w:rsidRPr="00F35942">
        <w:rPr>
          <w:sz w:val="22"/>
          <w:szCs w:val="22"/>
        </w:rPr>
        <w:t>, 710–719 (2020).</w:t>
      </w:r>
    </w:p>
    <w:p w14:paraId="762F1358" w14:textId="77777777" w:rsidR="00F263CE" w:rsidRPr="00F35942" w:rsidRDefault="00F263CE" w:rsidP="00F263CE">
      <w:pPr>
        <w:pStyle w:val="Bibliography"/>
        <w:rPr>
          <w:sz w:val="22"/>
          <w:szCs w:val="22"/>
        </w:rPr>
      </w:pPr>
      <w:r w:rsidRPr="00F35942">
        <w:rPr>
          <w:sz w:val="22"/>
          <w:szCs w:val="22"/>
        </w:rPr>
        <w:t>29.</w:t>
      </w:r>
      <w:r w:rsidRPr="00F35942">
        <w:rPr>
          <w:sz w:val="22"/>
          <w:szCs w:val="22"/>
        </w:rPr>
        <w:tab/>
        <w:t xml:space="preserve">Chowdhury, A. F. M. K. </w:t>
      </w:r>
      <w:r w:rsidRPr="00F35942">
        <w:rPr>
          <w:i/>
          <w:iCs/>
          <w:sz w:val="22"/>
          <w:szCs w:val="22"/>
        </w:rPr>
        <w:t>et al.</w:t>
      </w:r>
      <w:r w:rsidRPr="00F35942">
        <w:rPr>
          <w:sz w:val="22"/>
          <w:szCs w:val="22"/>
        </w:rPr>
        <w:t xml:space="preserve"> Enabling a low-carbon electricity system for Southern Africa. </w:t>
      </w:r>
      <w:r w:rsidRPr="00F35942">
        <w:rPr>
          <w:i/>
          <w:iCs/>
          <w:sz w:val="22"/>
          <w:szCs w:val="22"/>
        </w:rPr>
        <w:t>Joule</w:t>
      </w:r>
      <w:r w:rsidRPr="00F35942">
        <w:rPr>
          <w:sz w:val="22"/>
          <w:szCs w:val="22"/>
        </w:rPr>
        <w:t xml:space="preserve"> </w:t>
      </w:r>
      <w:r w:rsidRPr="00F35942">
        <w:rPr>
          <w:b/>
          <w:bCs/>
          <w:sz w:val="22"/>
          <w:szCs w:val="22"/>
        </w:rPr>
        <w:t>6</w:t>
      </w:r>
      <w:r w:rsidRPr="00F35942">
        <w:rPr>
          <w:sz w:val="22"/>
          <w:szCs w:val="22"/>
        </w:rPr>
        <w:t>, 1826–1844 (2022).</w:t>
      </w:r>
    </w:p>
    <w:p w14:paraId="070607BD" w14:textId="77777777" w:rsidR="00F263CE" w:rsidRPr="00F35942" w:rsidRDefault="00F263CE" w:rsidP="00F263CE">
      <w:pPr>
        <w:pStyle w:val="Bibliography"/>
        <w:rPr>
          <w:sz w:val="22"/>
          <w:szCs w:val="22"/>
        </w:rPr>
      </w:pPr>
      <w:r w:rsidRPr="00F35942">
        <w:rPr>
          <w:sz w:val="22"/>
          <w:szCs w:val="22"/>
        </w:rPr>
        <w:lastRenderedPageBreak/>
        <w:t>30.</w:t>
      </w:r>
      <w:r w:rsidRPr="00F35942">
        <w:rPr>
          <w:sz w:val="22"/>
          <w:szCs w:val="22"/>
        </w:rPr>
        <w:tab/>
        <w:t xml:space="preserve">Siala, K., Chowdhury, A. K., Dang, T. D. &amp; Galelli, S. Solar energy and regional coordination as a feasible alternative to large hydropower in Southeast Asia. </w:t>
      </w:r>
      <w:r w:rsidRPr="00F35942">
        <w:rPr>
          <w:i/>
          <w:iCs/>
          <w:sz w:val="22"/>
          <w:szCs w:val="22"/>
        </w:rPr>
        <w:t>Nat Commun</w:t>
      </w:r>
      <w:r w:rsidRPr="00F35942">
        <w:rPr>
          <w:sz w:val="22"/>
          <w:szCs w:val="22"/>
        </w:rPr>
        <w:t xml:space="preserve"> </w:t>
      </w:r>
      <w:r w:rsidRPr="00F35942">
        <w:rPr>
          <w:b/>
          <w:bCs/>
          <w:sz w:val="22"/>
          <w:szCs w:val="22"/>
        </w:rPr>
        <w:t>12</w:t>
      </w:r>
      <w:r w:rsidRPr="00F35942">
        <w:rPr>
          <w:sz w:val="22"/>
          <w:szCs w:val="22"/>
        </w:rPr>
        <w:t>, 4159 (2021).</w:t>
      </w:r>
    </w:p>
    <w:p w14:paraId="0D639F60" w14:textId="77777777" w:rsidR="00F263CE" w:rsidRPr="00F35942" w:rsidRDefault="00F263CE" w:rsidP="00F263CE">
      <w:pPr>
        <w:pStyle w:val="Bibliography"/>
        <w:rPr>
          <w:sz w:val="22"/>
          <w:szCs w:val="22"/>
        </w:rPr>
      </w:pPr>
      <w:r w:rsidRPr="00F35942">
        <w:rPr>
          <w:sz w:val="22"/>
          <w:szCs w:val="22"/>
        </w:rPr>
        <w:t>31.</w:t>
      </w:r>
      <w:r w:rsidRPr="00F35942">
        <w:rPr>
          <w:sz w:val="22"/>
          <w:szCs w:val="22"/>
        </w:rPr>
        <w:tab/>
        <w:t xml:space="preserve">Egerer, J., Lorenz, C. &amp; Gerbaulet, C. European electricity grid infrastructure expansion in a 2050 context. in </w:t>
      </w:r>
      <w:r w:rsidRPr="00F35942">
        <w:rPr>
          <w:i/>
          <w:iCs/>
          <w:sz w:val="22"/>
          <w:szCs w:val="22"/>
        </w:rPr>
        <w:t>2013 10th International Conference on the European Energy Market (EEM)</w:t>
      </w:r>
      <w:r w:rsidRPr="00F35942">
        <w:rPr>
          <w:sz w:val="22"/>
          <w:szCs w:val="22"/>
        </w:rPr>
        <w:t xml:space="preserve"> 1–7 (2013). doi:10.1109/EEM.2013.6607408.</w:t>
      </w:r>
    </w:p>
    <w:p w14:paraId="41E5E4D1" w14:textId="77777777" w:rsidR="00F263CE" w:rsidRPr="00F35942" w:rsidRDefault="00F263CE" w:rsidP="00F263CE">
      <w:pPr>
        <w:pStyle w:val="Bibliography"/>
        <w:rPr>
          <w:sz w:val="22"/>
          <w:szCs w:val="22"/>
        </w:rPr>
      </w:pPr>
      <w:r w:rsidRPr="00F35942">
        <w:rPr>
          <w:sz w:val="22"/>
          <w:szCs w:val="22"/>
        </w:rPr>
        <w:t>32.</w:t>
      </w:r>
      <w:r w:rsidRPr="00F35942">
        <w:rPr>
          <w:sz w:val="22"/>
          <w:szCs w:val="22"/>
        </w:rPr>
        <w:tab/>
        <w:t xml:space="preserve">Stoilov, D., Dimitrov, Y. &amp; François, B. Challenges facing the European power transmission tariffs: The case of inter-TSO compensation. </w:t>
      </w:r>
      <w:r w:rsidRPr="00F35942">
        <w:rPr>
          <w:i/>
          <w:iCs/>
          <w:sz w:val="22"/>
          <w:szCs w:val="22"/>
        </w:rPr>
        <w:t>Energy Policy</w:t>
      </w:r>
      <w:r w:rsidRPr="00F35942">
        <w:rPr>
          <w:sz w:val="22"/>
          <w:szCs w:val="22"/>
        </w:rPr>
        <w:t xml:space="preserve"> </w:t>
      </w:r>
      <w:r w:rsidRPr="00F35942">
        <w:rPr>
          <w:b/>
          <w:bCs/>
          <w:sz w:val="22"/>
          <w:szCs w:val="22"/>
        </w:rPr>
        <w:t>39</w:t>
      </w:r>
      <w:r w:rsidRPr="00F35942">
        <w:rPr>
          <w:sz w:val="22"/>
          <w:szCs w:val="22"/>
        </w:rPr>
        <w:t>, 5203–5210 (2011).</w:t>
      </w:r>
    </w:p>
    <w:p w14:paraId="2B87EF95" w14:textId="77777777" w:rsidR="00F263CE" w:rsidRPr="00F35942" w:rsidRDefault="00F263CE" w:rsidP="00F263CE">
      <w:pPr>
        <w:pStyle w:val="Bibliography"/>
        <w:rPr>
          <w:sz w:val="22"/>
          <w:szCs w:val="22"/>
        </w:rPr>
      </w:pPr>
      <w:r w:rsidRPr="00F35942">
        <w:rPr>
          <w:sz w:val="22"/>
          <w:szCs w:val="22"/>
        </w:rPr>
        <w:t>33.</w:t>
      </w:r>
      <w:r w:rsidRPr="00F35942">
        <w:rPr>
          <w:sz w:val="22"/>
          <w:szCs w:val="22"/>
        </w:rPr>
        <w:tab/>
        <w:t xml:space="preserve">Stoilov, D. &amp; Stoilov, L. Improving inter-transmission compensation in </w:t>
      </w:r>
      <w:proofErr w:type="gramStart"/>
      <w:r w:rsidRPr="00F35942">
        <w:rPr>
          <w:sz w:val="22"/>
          <w:szCs w:val="22"/>
        </w:rPr>
        <w:t>EU</w:t>
      </w:r>
      <w:proofErr w:type="gramEnd"/>
      <w:r w:rsidRPr="00F35942">
        <w:rPr>
          <w:sz w:val="22"/>
          <w:szCs w:val="22"/>
        </w:rPr>
        <w:t xml:space="preserve">. </w:t>
      </w:r>
      <w:r w:rsidRPr="00F35942">
        <w:rPr>
          <w:i/>
          <w:iCs/>
          <w:sz w:val="22"/>
          <w:szCs w:val="22"/>
        </w:rPr>
        <w:t>Energy Policy</w:t>
      </w:r>
      <w:r w:rsidRPr="00F35942">
        <w:rPr>
          <w:sz w:val="22"/>
          <w:szCs w:val="22"/>
        </w:rPr>
        <w:t xml:space="preserve"> </w:t>
      </w:r>
      <w:r w:rsidRPr="00F35942">
        <w:rPr>
          <w:b/>
          <w:bCs/>
          <w:sz w:val="22"/>
          <w:szCs w:val="22"/>
        </w:rPr>
        <w:t>62</w:t>
      </w:r>
      <w:r w:rsidRPr="00F35942">
        <w:rPr>
          <w:sz w:val="22"/>
          <w:szCs w:val="22"/>
        </w:rPr>
        <w:t>, 282–291 (2013).</w:t>
      </w:r>
    </w:p>
    <w:p w14:paraId="18FEEFD0" w14:textId="77777777" w:rsidR="00F263CE" w:rsidRPr="00F35942" w:rsidRDefault="00F263CE" w:rsidP="00F263CE">
      <w:pPr>
        <w:pStyle w:val="Bibliography"/>
        <w:rPr>
          <w:sz w:val="22"/>
          <w:szCs w:val="22"/>
        </w:rPr>
      </w:pPr>
      <w:r w:rsidRPr="00F35942">
        <w:rPr>
          <w:sz w:val="22"/>
          <w:szCs w:val="22"/>
        </w:rPr>
        <w:t>34.</w:t>
      </w:r>
      <w:r w:rsidRPr="00F35942">
        <w:rPr>
          <w:sz w:val="22"/>
          <w:szCs w:val="22"/>
        </w:rPr>
        <w:tab/>
        <w:t xml:space="preserve">Jayadev, G., Leibowicz, B. D. &amp; Kutanoglu, E. U.S. electricity infrastructure of the future: Generation and transmission pathways through 2050. </w:t>
      </w:r>
      <w:r w:rsidRPr="00F35942">
        <w:rPr>
          <w:i/>
          <w:iCs/>
          <w:sz w:val="22"/>
          <w:szCs w:val="22"/>
        </w:rPr>
        <w:t>Applied Energy</w:t>
      </w:r>
      <w:r w:rsidRPr="00F35942">
        <w:rPr>
          <w:sz w:val="22"/>
          <w:szCs w:val="22"/>
        </w:rPr>
        <w:t xml:space="preserve"> </w:t>
      </w:r>
      <w:r w:rsidRPr="00F35942">
        <w:rPr>
          <w:b/>
          <w:bCs/>
          <w:sz w:val="22"/>
          <w:szCs w:val="22"/>
        </w:rPr>
        <w:t>260</w:t>
      </w:r>
      <w:r w:rsidRPr="00F35942">
        <w:rPr>
          <w:sz w:val="22"/>
          <w:szCs w:val="22"/>
        </w:rPr>
        <w:t>, 114267 (2020).</w:t>
      </w:r>
    </w:p>
    <w:p w14:paraId="0742B963" w14:textId="77777777" w:rsidR="00F263CE" w:rsidRPr="00F35942" w:rsidRDefault="00F263CE" w:rsidP="00F263CE">
      <w:pPr>
        <w:pStyle w:val="Bibliography"/>
        <w:rPr>
          <w:sz w:val="22"/>
          <w:szCs w:val="22"/>
        </w:rPr>
      </w:pPr>
      <w:r w:rsidRPr="00F35942">
        <w:rPr>
          <w:sz w:val="22"/>
          <w:szCs w:val="22"/>
        </w:rPr>
        <w:t>35.</w:t>
      </w:r>
      <w:r w:rsidRPr="00F35942">
        <w:rPr>
          <w:sz w:val="22"/>
          <w:szCs w:val="22"/>
        </w:rPr>
        <w:tab/>
        <w:t xml:space="preserve">Paredes-Vergara, M., Palma-Behnke, R. &amp; Haas, J. Characterizing decision making under deep uncertainty for model-based energy transitions. </w:t>
      </w:r>
      <w:r w:rsidRPr="00F35942">
        <w:rPr>
          <w:i/>
          <w:iCs/>
          <w:sz w:val="22"/>
          <w:szCs w:val="22"/>
        </w:rPr>
        <w:t>Renewable and Sustainable Energy Reviews</w:t>
      </w:r>
      <w:r w:rsidRPr="00F35942">
        <w:rPr>
          <w:sz w:val="22"/>
          <w:szCs w:val="22"/>
        </w:rPr>
        <w:t xml:space="preserve"> </w:t>
      </w:r>
      <w:r w:rsidRPr="00F35942">
        <w:rPr>
          <w:b/>
          <w:bCs/>
          <w:sz w:val="22"/>
          <w:szCs w:val="22"/>
        </w:rPr>
        <w:t>192</w:t>
      </w:r>
      <w:r w:rsidRPr="00F35942">
        <w:rPr>
          <w:sz w:val="22"/>
          <w:szCs w:val="22"/>
        </w:rPr>
        <w:t>, 114233 (2024).</w:t>
      </w:r>
    </w:p>
    <w:p w14:paraId="25CEAEA2" w14:textId="77777777" w:rsidR="00F263CE" w:rsidRPr="00F35942" w:rsidRDefault="00F263CE" w:rsidP="00F263CE">
      <w:pPr>
        <w:pStyle w:val="Bibliography"/>
        <w:rPr>
          <w:sz w:val="22"/>
          <w:szCs w:val="22"/>
        </w:rPr>
      </w:pPr>
      <w:r w:rsidRPr="00F35942">
        <w:rPr>
          <w:sz w:val="22"/>
          <w:szCs w:val="22"/>
        </w:rPr>
        <w:t>36.</w:t>
      </w:r>
      <w:r w:rsidRPr="00F35942">
        <w:rPr>
          <w:sz w:val="22"/>
          <w:szCs w:val="22"/>
        </w:rPr>
        <w:tab/>
        <w:t xml:space="preserve">Walker, W. E., Lempert, R. J. &amp; Kwakkel, J. H. Deep Uncertainty. in </w:t>
      </w:r>
      <w:r w:rsidRPr="00F35942">
        <w:rPr>
          <w:i/>
          <w:iCs/>
          <w:sz w:val="22"/>
          <w:szCs w:val="22"/>
        </w:rPr>
        <w:t>Encyclopedia of Operations Research and Management Science</w:t>
      </w:r>
      <w:r w:rsidRPr="00F35942">
        <w:rPr>
          <w:sz w:val="22"/>
          <w:szCs w:val="22"/>
        </w:rPr>
        <w:t xml:space="preserve"> (eds. Gass, S. I. &amp; Fu, M. C.) 395–402 (Springer US, Boston, MA, 2013). doi:10.1007/978-1-4419-1153-7_1140.</w:t>
      </w:r>
    </w:p>
    <w:p w14:paraId="050E4204" w14:textId="77777777" w:rsidR="00F263CE" w:rsidRPr="00F35942" w:rsidRDefault="00F263CE" w:rsidP="00F263CE">
      <w:pPr>
        <w:pStyle w:val="Bibliography"/>
        <w:rPr>
          <w:sz w:val="22"/>
          <w:szCs w:val="22"/>
        </w:rPr>
      </w:pPr>
      <w:r w:rsidRPr="00F35942">
        <w:rPr>
          <w:sz w:val="22"/>
          <w:szCs w:val="22"/>
        </w:rPr>
        <w:t>37.</w:t>
      </w:r>
      <w:r w:rsidRPr="00F35942">
        <w:rPr>
          <w:sz w:val="22"/>
          <w:szCs w:val="22"/>
        </w:rPr>
        <w:tab/>
        <w:t xml:space="preserve">Lempert, R. J. Robust Decision Making (RDM). in </w:t>
      </w:r>
      <w:r w:rsidRPr="00F35942">
        <w:rPr>
          <w:i/>
          <w:iCs/>
          <w:sz w:val="22"/>
          <w:szCs w:val="22"/>
        </w:rPr>
        <w:t>Decision Making under Deep Uncertainty: From Theory to Practice</w:t>
      </w:r>
      <w:r w:rsidRPr="00F35942">
        <w:rPr>
          <w:sz w:val="22"/>
          <w:szCs w:val="22"/>
        </w:rPr>
        <w:t xml:space="preserve"> (eds. Marchau, V. A. W. J., Walker, W. E., Bloemen, P. J. T. M. &amp; Popper, S. W.) 23–51 (Springer International Publishing, Cham, 2019). doi:10.1007/978-3-030-05252-2_2.</w:t>
      </w:r>
    </w:p>
    <w:p w14:paraId="0F0739AB" w14:textId="77777777" w:rsidR="00F263CE" w:rsidRPr="00F35942" w:rsidRDefault="00F263CE" w:rsidP="00F263CE">
      <w:pPr>
        <w:pStyle w:val="Bibliography"/>
        <w:rPr>
          <w:sz w:val="22"/>
          <w:szCs w:val="22"/>
        </w:rPr>
      </w:pPr>
      <w:r w:rsidRPr="00F35942">
        <w:rPr>
          <w:sz w:val="22"/>
          <w:szCs w:val="22"/>
        </w:rPr>
        <w:t>38.</w:t>
      </w:r>
      <w:r w:rsidRPr="00F35942">
        <w:rPr>
          <w:sz w:val="22"/>
          <w:szCs w:val="22"/>
        </w:rPr>
        <w:tab/>
        <w:t xml:space="preserve">DeCarolis, J. </w:t>
      </w:r>
      <w:r w:rsidRPr="00F35942">
        <w:rPr>
          <w:i/>
          <w:iCs/>
          <w:sz w:val="22"/>
          <w:szCs w:val="22"/>
        </w:rPr>
        <w:t>et al.</w:t>
      </w:r>
      <w:r w:rsidRPr="00F35942">
        <w:rPr>
          <w:sz w:val="22"/>
          <w:szCs w:val="22"/>
        </w:rPr>
        <w:t xml:space="preserve"> Formalizing best practice for energy system optimization modelling. </w:t>
      </w:r>
      <w:r w:rsidRPr="00F35942">
        <w:rPr>
          <w:i/>
          <w:iCs/>
          <w:sz w:val="22"/>
          <w:szCs w:val="22"/>
        </w:rPr>
        <w:t>Applied Energy</w:t>
      </w:r>
      <w:r w:rsidRPr="00F35942">
        <w:rPr>
          <w:sz w:val="22"/>
          <w:szCs w:val="22"/>
        </w:rPr>
        <w:t xml:space="preserve"> </w:t>
      </w:r>
      <w:r w:rsidRPr="00F35942">
        <w:rPr>
          <w:b/>
          <w:bCs/>
          <w:sz w:val="22"/>
          <w:szCs w:val="22"/>
        </w:rPr>
        <w:t>194</w:t>
      </w:r>
      <w:r w:rsidRPr="00F35942">
        <w:rPr>
          <w:sz w:val="22"/>
          <w:szCs w:val="22"/>
        </w:rPr>
        <w:t>, 184–198 (2017).</w:t>
      </w:r>
    </w:p>
    <w:p w14:paraId="233C2107" w14:textId="77777777" w:rsidR="00F263CE" w:rsidRPr="00F35942" w:rsidRDefault="00F263CE" w:rsidP="00F263CE">
      <w:pPr>
        <w:pStyle w:val="Bibliography"/>
        <w:rPr>
          <w:sz w:val="22"/>
          <w:szCs w:val="22"/>
        </w:rPr>
      </w:pPr>
      <w:r w:rsidRPr="00F35942">
        <w:rPr>
          <w:sz w:val="22"/>
          <w:szCs w:val="22"/>
        </w:rPr>
        <w:t>39.</w:t>
      </w:r>
      <w:r w:rsidRPr="00F35942">
        <w:rPr>
          <w:sz w:val="22"/>
          <w:szCs w:val="22"/>
        </w:rPr>
        <w:tab/>
        <w:t xml:space="preserve">Blair, N., Zhou, E. &amp; Getman, D. </w:t>
      </w:r>
      <w:r w:rsidRPr="00F35942">
        <w:rPr>
          <w:i/>
          <w:iCs/>
          <w:sz w:val="22"/>
          <w:szCs w:val="22"/>
        </w:rPr>
        <w:t>Electricity Capacity Expansion Modeling, Analysis, and Visualization: A Summary of Selected High-Renewable Modeling Experiences</w:t>
      </w:r>
      <w:r w:rsidRPr="00F35942">
        <w:rPr>
          <w:sz w:val="22"/>
          <w:szCs w:val="22"/>
        </w:rPr>
        <w:t>. https://www.nrel.gov/docs/fy16osti/64831.pdf (2015).</w:t>
      </w:r>
    </w:p>
    <w:p w14:paraId="54CBBD18" w14:textId="77777777" w:rsidR="00F263CE" w:rsidRPr="00F35942" w:rsidRDefault="00F263CE" w:rsidP="00F263CE">
      <w:pPr>
        <w:pStyle w:val="Bibliography"/>
        <w:rPr>
          <w:sz w:val="22"/>
          <w:szCs w:val="22"/>
        </w:rPr>
      </w:pPr>
      <w:r w:rsidRPr="00F35942">
        <w:rPr>
          <w:sz w:val="22"/>
          <w:szCs w:val="22"/>
        </w:rPr>
        <w:t>40.</w:t>
      </w:r>
      <w:r w:rsidRPr="00F35942">
        <w:rPr>
          <w:sz w:val="22"/>
          <w:szCs w:val="22"/>
        </w:rPr>
        <w:tab/>
        <w:t xml:space="preserve">Fodstad, M. </w:t>
      </w:r>
      <w:r w:rsidRPr="00F35942">
        <w:rPr>
          <w:i/>
          <w:iCs/>
          <w:sz w:val="22"/>
          <w:szCs w:val="22"/>
        </w:rPr>
        <w:t>et al.</w:t>
      </w:r>
      <w:r w:rsidRPr="00F35942">
        <w:rPr>
          <w:sz w:val="22"/>
          <w:szCs w:val="22"/>
        </w:rPr>
        <w:t xml:space="preserve"> Next frontiers in energy system modelling: A review on challenges and the state of the art. </w:t>
      </w:r>
      <w:r w:rsidRPr="00F35942">
        <w:rPr>
          <w:i/>
          <w:iCs/>
          <w:sz w:val="22"/>
          <w:szCs w:val="22"/>
        </w:rPr>
        <w:t>Renewable and Sustainable Energy Reviews</w:t>
      </w:r>
      <w:r w:rsidRPr="00F35942">
        <w:rPr>
          <w:sz w:val="22"/>
          <w:szCs w:val="22"/>
        </w:rPr>
        <w:t xml:space="preserve"> </w:t>
      </w:r>
      <w:r w:rsidRPr="00F35942">
        <w:rPr>
          <w:b/>
          <w:bCs/>
          <w:sz w:val="22"/>
          <w:szCs w:val="22"/>
        </w:rPr>
        <w:t>160</w:t>
      </w:r>
      <w:r w:rsidRPr="00F35942">
        <w:rPr>
          <w:sz w:val="22"/>
          <w:szCs w:val="22"/>
        </w:rPr>
        <w:t>, 112246 (2022).</w:t>
      </w:r>
    </w:p>
    <w:p w14:paraId="27221A5C" w14:textId="77777777" w:rsidR="00F263CE" w:rsidRPr="00F35942" w:rsidRDefault="00F263CE" w:rsidP="00F263CE">
      <w:pPr>
        <w:pStyle w:val="Bibliography"/>
        <w:rPr>
          <w:sz w:val="22"/>
          <w:szCs w:val="22"/>
        </w:rPr>
      </w:pPr>
      <w:r w:rsidRPr="00F35942">
        <w:rPr>
          <w:sz w:val="22"/>
          <w:szCs w:val="22"/>
        </w:rPr>
        <w:t>41.</w:t>
      </w:r>
      <w:r w:rsidRPr="00F35942">
        <w:rPr>
          <w:sz w:val="22"/>
          <w:szCs w:val="22"/>
        </w:rPr>
        <w:tab/>
        <w:t xml:space="preserve">Gargiulo, M. &amp; Gallachóir, B. Ó. Long-term energy models: Principles, characteristics, focus, and limitations. </w:t>
      </w:r>
      <w:r w:rsidRPr="00F35942">
        <w:rPr>
          <w:i/>
          <w:iCs/>
          <w:sz w:val="22"/>
          <w:szCs w:val="22"/>
        </w:rPr>
        <w:t>WIREs Energy and Environment</w:t>
      </w:r>
      <w:r w:rsidRPr="00F35942">
        <w:rPr>
          <w:sz w:val="22"/>
          <w:szCs w:val="22"/>
        </w:rPr>
        <w:t xml:space="preserve"> </w:t>
      </w:r>
      <w:r w:rsidRPr="00F35942">
        <w:rPr>
          <w:b/>
          <w:bCs/>
          <w:sz w:val="22"/>
          <w:szCs w:val="22"/>
        </w:rPr>
        <w:t>2</w:t>
      </w:r>
      <w:r w:rsidRPr="00F35942">
        <w:rPr>
          <w:sz w:val="22"/>
          <w:szCs w:val="22"/>
        </w:rPr>
        <w:t>, 158–177 (2013).</w:t>
      </w:r>
    </w:p>
    <w:p w14:paraId="625A10B0" w14:textId="77777777" w:rsidR="00F263CE" w:rsidRPr="00F35942" w:rsidRDefault="00F263CE" w:rsidP="00F263CE">
      <w:pPr>
        <w:pStyle w:val="Bibliography"/>
        <w:rPr>
          <w:sz w:val="22"/>
          <w:szCs w:val="22"/>
        </w:rPr>
      </w:pPr>
      <w:r w:rsidRPr="00F35942">
        <w:rPr>
          <w:sz w:val="22"/>
          <w:szCs w:val="22"/>
        </w:rPr>
        <w:t>42.</w:t>
      </w:r>
      <w:r w:rsidRPr="00F35942">
        <w:rPr>
          <w:sz w:val="22"/>
          <w:szCs w:val="22"/>
        </w:rPr>
        <w:tab/>
        <w:t xml:space="preserve">Ibrahim, H. A. </w:t>
      </w:r>
      <w:r w:rsidRPr="00F35942">
        <w:rPr>
          <w:i/>
          <w:iCs/>
          <w:sz w:val="22"/>
          <w:szCs w:val="22"/>
        </w:rPr>
        <w:t>et al.</w:t>
      </w:r>
      <w:r w:rsidRPr="00F35942">
        <w:rPr>
          <w:sz w:val="22"/>
          <w:szCs w:val="22"/>
        </w:rPr>
        <w:t xml:space="preserve"> Sustainability of power generation for developing economies: A systematic review of power sources mix. </w:t>
      </w:r>
      <w:r w:rsidRPr="00F35942">
        <w:rPr>
          <w:i/>
          <w:iCs/>
          <w:sz w:val="22"/>
          <w:szCs w:val="22"/>
        </w:rPr>
        <w:t>Energy Strategy Reviews</w:t>
      </w:r>
      <w:r w:rsidRPr="00F35942">
        <w:rPr>
          <w:sz w:val="22"/>
          <w:szCs w:val="22"/>
        </w:rPr>
        <w:t xml:space="preserve"> </w:t>
      </w:r>
      <w:r w:rsidRPr="00F35942">
        <w:rPr>
          <w:b/>
          <w:bCs/>
          <w:sz w:val="22"/>
          <w:szCs w:val="22"/>
        </w:rPr>
        <w:t>47</w:t>
      </w:r>
      <w:r w:rsidRPr="00F35942">
        <w:rPr>
          <w:sz w:val="22"/>
          <w:szCs w:val="22"/>
        </w:rPr>
        <w:t>, 101085 (2023).</w:t>
      </w:r>
    </w:p>
    <w:p w14:paraId="343F24E7" w14:textId="77777777" w:rsidR="00F263CE" w:rsidRPr="00F35942" w:rsidRDefault="00F263CE" w:rsidP="00F263CE">
      <w:pPr>
        <w:pStyle w:val="Bibliography"/>
        <w:rPr>
          <w:sz w:val="22"/>
          <w:szCs w:val="22"/>
        </w:rPr>
      </w:pPr>
      <w:r w:rsidRPr="00F35942">
        <w:rPr>
          <w:sz w:val="22"/>
          <w:szCs w:val="22"/>
        </w:rPr>
        <w:t>43.</w:t>
      </w:r>
      <w:r w:rsidRPr="00F35942">
        <w:rPr>
          <w:sz w:val="22"/>
          <w:szCs w:val="22"/>
        </w:rPr>
        <w:tab/>
        <w:t xml:space="preserve">Ioannou, A., Angus, A. &amp; Brennan, F. Risk-based methods for sustainable energy system planning: A review. </w:t>
      </w:r>
      <w:r w:rsidRPr="00F35942">
        <w:rPr>
          <w:i/>
          <w:iCs/>
          <w:sz w:val="22"/>
          <w:szCs w:val="22"/>
        </w:rPr>
        <w:t>Renewable and Sustainable Energy Reviews</w:t>
      </w:r>
      <w:r w:rsidRPr="00F35942">
        <w:rPr>
          <w:sz w:val="22"/>
          <w:szCs w:val="22"/>
        </w:rPr>
        <w:t xml:space="preserve"> </w:t>
      </w:r>
      <w:r w:rsidRPr="00F35942">
        <w:rPr>
          <w:b/>
          <w:bCs/>
          <w:sz w:val="22"/>
          <w:szCs w:val="22"/>
        </w:rPr>
        <w:t>74</w:t>
      </w:r>
      <w:r w:rsidRPr="00F35942">
        <w:rPr>
          <w:sz w:val="22"/>
          <w:szCs w:val="22"/>
        </w:rPr>
        <w:t>, 602–615 (2017).</w:t>
      </w:r>
    </w:p>
    <w:p w14:paraId="75777A25" w14:textId="77777777" w:rsidR="00F263CE" w:rsidRPr="00F35942" w:rsidRDefault="00F263CE" w:rsidP="00F263CE">
      <w:pPr>
        <w:pStyle w:val="Bibliography"/>
        <w:rPr>
          <w:sz w:val="22"/>
          <w:szCs w:val="22"/>
        </w:rPr>
      </w:pPr>
      <w:r w:rsidRPr="00F35942">
        <w:rPr>
          <w:sz w:val="22"/>
          <w:szCs w:val="22"/>
        </w:rPr>
        <w:t>44.</w:t>
      </w:r>
      <w:r w:rsidRPr="00F35942">
        <w:rPr>
          <w:sz w:val="22"/>
          <w:szCs w:val="22"/>
        </w:rPr>
        <w:tab/>
        <w:t xml:space="preserve">Moglen, R. </w:t>
      </w:r>
      <w:r w:rsidRPr="00F35942">
        <w:rPr>
          <w:i/>
          <w:iCs/>
          <w:sz w:val="22"/>
          <w:szCs w:val="22"/>
        </w:rPr>
        <w:t>et al.</w:t>
      </w:r>
      <w:r w:rsidRPr="00F35942">
        <w:rPr>
          <w:sz w:val="22"/>
          <w:szCs w:val="22"/>
        </w:rPr>
        <w:t xml:space="preserve"> The state of macro-energy systems research: Common critiques, current progress, and research priorities. </w:t>
      </w:r>
      <w:r w:rsidRPr="00F35942">
        <w:rPr>
          <w:i/>
          <w:iCs/>
          <w:sz w:val="22"/>
          <w:szCs w:val="22"/>
        </w:rPr>
        <w:t>iScience</w:t>
      </w:r>
      <w:r w:rsidRPr="00F35942">
        <w:rPr>
          <w:sz w:val="22"/>
          <w:szCs w:val="22"/>
        </w:rPr>
        <w:t xml:space="preserve"> </w:t>
      </w:r>
      <w:r w:rsidRPr="00F35942">
        <w:rPr>
          <w:b/>
          <w:bCs/>
          <w:sz w:val="22"/>
          <w:szCs w:val="22"/>
        </w:rPr>
        <w:t>26</w:t>
      </w:r>
      <w:r w:rsidRPr="00F35942">
        <w:rPr>
          <w:sz w:val="22"/>
          <w:szCs w:val="22"/>
        </w:rPr>
        <w:t>, 106325 (2023).</w:t>
      </w:r>
    </w:p>
    <w:p w14:paraId="0395E18B" w14:textId="77777777" w:rsidR="00F263CE" w:rsidRPr="00F35942" w:rsidRDefault="00F263CE" w:rsidP="00F263CE">
      <w:pPr>
        <w:pStyle w:val="Bibliography"/>
        <w:rPr>
          <w:sz w:val="22"/>
          <w:szCs w:val="22"/>
        </w:rPr>
      </w:pPr>
      <w:r w:rsidRPr="00F35942">
        <w:rPr>
          <w:sz w:val="22"/>
          <w:szCs w:val="22"/>
        </w:rPr>
        <w:lastRenderedPageBreak/>
        <w:t>45.</w:t>
      </w:r>
      <w:r w:rsidRPr="00F35942">
        <w:rPr>
          <w:sz w:val="22"/>
          <w:szCs w:val="22"/>
        </w:rPr>
        <w:tab/>
        <w:t xml:space="preserve">Prina, M. G., Manzolini, G., Moser, D., Nastasi, B. &amp; Sparber, W. Classification and challenges of bottom-up energy system models - A review. </w:t>
      </w:r>
      <w:r w:rsidRPr="00F35942">
        <w:rPr>
          <w:i/>
          <w:iCs/>
          <w:sz w:val="22"/>
          <w:szCs w:val="22"/>
        </w:rPr>
        <w:t>Renewable and Sustainable Energy Reviews</w:t>
      </w:r>
      <w:r w:rsidRPr="00F35942">
        <w:rPr>
          <w:sz w:val="22"/>
          <w:szCs w:val="22"/>
        </w:rPr>
        <w:t xml:space="preserve"> </w:t>
      </w:r>
      <w:r w:rsidRPr="00F35942">
        <w:rPr>
          <w:b/>
          <w:bCs/>
          <w:sz w:val="22"/>
          <w:szCs w:val="22"/>
        </w:rPr>
        <w:t>129</w:t>
      </w:r>
      <w:r w:rsidRPr="00F35942">
        <w:rPr>
          <w:sz w:val="22"/>
          <w:szCs w:val="22"/>
        </w:rPr>
        <w:t>, 109917 (2020).</w:t>
      </w:r>
    </w:p>
    <w:p w14:paraId="27FA4DF7" w14:textId="77777777" w:rsidR="00F263CE" w:rsidRPr="00F35942" w:rsidRDefault="00F263CE" w:rsidP="00F263CE">
      <w:pPr>
        <w:pStyle w:val="Bibliography"/>
        <w:rPr>
          <w:sz w:val="22"/>
          <w:szCs w:val="22"/>
        </w:rPr>
      </w:pPr>
      <w:r w:rsidRPr="00F35942">
        <w:rPr>
          <w:sz w:val="22"/>
          <w:szCs w:val="22"/>
        </w:rPr>
        <w:t>46.</w:t>
      </w:r>
      <w:r w:rsidRPr="00F35942">
        <w:rPr>
          <w:sz w:val="22"/>
          <w:szCs w:val="22"/>
        </w:rPr>
        <w:tab/>
        <w:t xml:space="preserve">Sharifzadeh, M., Lubiano-Walochik, H. &amp; Shah, N. Integrated renewable electricity generation considering uncertainties: The UK roadmap to 50% power generation from wind and solar energies. </w:t>
      </w:r>
      <w:r w:rsidRPr="00F35942">
        <w:rPr>
          <w:i/>
          <w:iCs/>
          <w:sz w:val="22"/>
          <w:szCs w:val="22"/>
        </w:rPr>
        <w:t>Renewable and Sustainable Energy Reviews</w:t>
      </w:r>
      <w:r w:rsidRPr="00F35942">
        <w:rPr>
          <w:sz w:val="22"/>
          <w:szCs w:val="22"/>
        </w:rPr>
        <w:t xml:space="preserve"> </w:t>
      </w:r>
      <w:r w:rsidRPr="00F35942">
        <w:rPr>
          <w:b/>
          <w:bCs/>
          <w:sz w:val="22"/>
          <w:szCs w:val="22"/>
        </w:rPr>
        <w:t>72</w:t>
      </w:r>
      <w:r w:rsidRPr="00F35942">
        <w:rPr>
          <w:sz w:val="22"/>
          <w:szCs w:val="22"/>
        </w:rPr>
        <w:t>, 385–398 (2017).</w:t>
      </w:r>
    </w:p>
    <w:p w14:paraId="488DC69C" w14:textId="77777777" w:rsidR="00F263CE" w:rsidRPr="00F35942" w:rsidRDefault="00F263CE" w:rsidP="00F263CE">
      <w:pPr>
        <w:pStyle w:val="Bibliography"/>
        <w:rPr>
          <w:sz w:val="22"/>
          <w:szCs w:val="22"/>
        </w:rPr>
      </w:pPr>
      <w:r w:rsidRPr="00F35942">
        <w:rPr>
          <w:sz w:val="22"/>
          <w:szCs w:val="22"/>
        </w:rPr>
        <w:t>47.</w:t>
      </w:r>
      <w:r w:rsidRPr="00F35942">
        <w:rPr>
          <w:sz w:val="22"/>
          <w:szCs w:val="22"/>
        </w:rPr>
        <w:tab/>
        <w:t xml:space="preserve">Soroudi, A. &amp; Amraee, T. Decision making under uncertainty in energy systems: State of the art. </w:t>
      </w:r>
      <w:r w:rsidRPr="00F35942">
        <w:rPr>
          <w:i/>
          <w:iCs/>
          <w:sz w:val="22"/>
          <w:szCs w:val="22"/>
        </w:rPr>
        <w:t>Renewable and Sustainable Energy Reviews</w:t>
      </w:r>
      <w:r w:rsidRPr="00F35942">
        <w:rPr>
          <w:sz w:val="22"/>
          <w:szCs w:val="22"/>
        </w:rPr>
        <w:t xml:space="preserve"> </w:t>
      </w:r>
      <w:r w:rsidRPr="00F35942">
        <w:rPr>
          <w:b/>
          <w:bCs/>
          <w:sz w:val="22"/>
          <w:szCs w:val="22"/>
        </w:rPr>
        <w:t>28</w:t>
      </w:r>
      <w:r w:rsidRPr="00F35942">
        <w:rPr>
          <w:sz w:val="22"/>
          <w:szCs w:val="22"/>
        </w:rPr>
        <w:t>, 376–384 (2013).</w:t>
      </w:r>
    </w:p>
    <w:p w14:paraId="02092C43" w14:textId="77777777" w:rsidR="00F263CE" w:rsidRPr="00F35942" w:rsidRDefault="00F263CE" w:rsidP="00F263CE">
      <w:pPr>
        <w:pStyle w:val="Bibliography"/>
        <w:rPr>
          <w:sz w:val="22"/>
          <w:szCs w:val="22"/>
        </w:rPr>
      </w:pPr>
      <w:r w:rsidRPr="00F35942">
        <w:rPr>
          <w:sz w:val="22"/>
          <w:szCs w:val="22"/>
        </w:rPr>
        <w:t>48.</w:t>
      </w:r>
      <w:r w:rsidRPr="00F35942">
        <w:rPr>
          <w:sz w:val="22"/>
          <w:szCs w:val="22"/>
        </w:rPr>
        <w:tab/>
        <w:t xml:space="preserve">Zeng, Y., Cai, Y., Huang, G. &amp; Dai, J. A Review on Optimization Modeling of Energy Systems Planning and GHG Emission Mitigation under Uncertainty. </w:t>
      </w:r>
      <w:r w:rsidRPr="00F35942">
        <w:rPr>
          <w:i/>
          <w:iCs/>
          <w:sz w:val="22"/>
          <w:szCs w:val="22"/>
        </w:rPr>
        <w:t>Energies</w:t>
      </w:r>
      <w:r w:rsidRPr="00F35942">
        <w:rPr>
          <w:sz w:val="22"/>
          <w:szCs w:val="22"/>
        </w:rPr>
        <w:t xml:space="preserve"> </w:t>
      </w:r>
      <w:r w:rsidRPr="00F35942">
        <w:rPr>
          <w:b/>
          <w:bCs/>
          <w:sz w:val="22"/>
          <w:szCs w:val="22"/>
        </w:rPr>
        <w:t>4</w:t>
      </w:r>
      <w:r w:rsidRPr="00F35942">
        <w:rPr>
          <w:sz w:val="22"/>
          <w:szCs w:val="22"/>
        </w:rPr>
        <w:t>, 1624–1656 (2011).</w:t>
      </w:r>
    </w:p>
    <w:p w14:paraId="34F3B4CC" w14:textId="77777777" w:rsidR="00F263CE" w:rsidRPr="00F35942" w:rsidRDefault="00F263CE" w:rsidP="00F263CE">
      <w:pPr>
        <w:pStyle w:val="Bibliography"/>
        <w:rPr>
          <w:sz w:val="22"/>
          <w:szCs w:val="22"/>
        </w:rPr>
      </w:pPr>
      <w:r w:rsidRPr="00F35942">
        <w:rPr>
          <w:sz w:val="22"/>
          <w:szCs w:val="22"/>
        </w:rPr>
        <w:t>49.</w:t>
      </w:r>
      <w:r w:rsidRPr="00F35942">
        <w:rPr>
          <w:sz w:val="22"/>
          <w:szCs w:val="22"/>
        </w:rPr>
        <w:tab/>
        <w:t xml:space="preserve">Srikrishnan, V. </w:t>
      </w:r>
      <w:r w:rsidRPr="00F35942">
        <w:rPr>
          <w:i/>
          <w:iCs/>
          <w:sz w:val="22"/>
          <w:szCs w:val="22"/>
        </w:rPr>
        <w:t>et al.</w:t>
      </w:r>
      <w:r w:rsidRPr="00F35942">
        <w:rPr>
          <w:sz w:val="22"/>
          <w:szCs w:val="22"/>
        </w:rPr>
        <w:t xml:space="preserve"> Uncertainty Analysis in Multi-Sector Systems: Considerations for Risk Analysis, Projection, and Planning for Complex Systems. </w:t>
      </w:r>
      <w:r w:rsidRPr="00F35942">
        <w:rPr>
          <w:i/>
          <w:iCs/>
          <w:sz w:val="22"/>
          <w:szCs w:val="22"/>
        </w:rPr>
        <w:t>Earth’s Future</w:t>
      </w:r>
      <w:r w:rsidRPr="00F35942">
        <w:rPr>
          <w:sz w:val="22"/>
          <w:szCs w:val="22"/>
        </w:rPr>
        <w:t xml:space="preserve"> </w:t>
      </w:r>
      <w:r w:rsidRPr="00F35942">
        <w:rPr>
          <w:b/>
          <w:bCs/>
          <w:sz w:val="22"/>
          <w:szCs w:val="22"/>
        </w:rPr>
        <w:t>10</w:t>
      </w:r>
      <w:r w:rsidRPr="00F35942">
        <w:rPr>
          <w:sz w:val="22"/>
          <w:szCs w:val="22"/>
        </w:rPr>
        <w:t>, e2021EF002644 (2022).</w:t>
      </w:r>
    </w:p>
    <w:p w14:paraId="046BC145" w14:textId="77777777" w:rsidR="00F263CE" w:rsidRPr="00F35942" w:rsidRDefault="00F263CE" w:rsidP="00F263CE">
      <w:pPr>
        <w:pStyle w:val="Bibliography"/>
        <w:rPr>
          <w:sz w:val="22"/>
          <w:szCs w:val="22"/>
        </w:rPr>
      </w:pPr>
      <w:r w:rsidRPr="00F35942">
        <w:rPr>
          <w:sz w:val="22"/>
          <w:szCs w:val="22"/>
        </w:rPr>
        <w:t>50.</w:t>
      </w:r>
      <w:r w:rsidRPr="00F35942">
        <w:rPr>
          <w:sz w:val="22"/>
          <w:szCs w:val="22"/>
        </w:rPr>
        <w:tab/>
        <w:t xml:space="preserve">Brinkerink, M. </w:t>
      </w:r>
      <w:r w:rsidRPr="00F35942">
        <w:rPr>
          <w:i/>
          <w:iCs/>
          <w:sz w:val="22"/>
          <w:szCs w:val="22"/>
        </w:rPr>
        <w:t>et al.</w:t>
      </w:r>
      <w:r w:rsidRPr="00F35942">
        <w:rPr>
          <w:sz w:val="22"/>
          <w:szCs w:val="22"/>
        </w:rPr>
        <w:t xml:space="preserve"> Assessing global climate change mitigation scenarios from a power system perspective using a novel multi-model framework. </w:t>
      </w:r>
      <w:r w:rsidRPr="00F35942">
        <w:rPr>
          <w:i/>
          <w:iCs/>
          <w:sz w:val="22"/>
          <w:szCs w:val="22"/>
        </w:rPr>
        <w:t>Environmental Modelling &amp; Software</w:t>
      </w:r>
      <w:r w:rsidRPr="00F35942">
        <w:rPr>
          <w:sz w:val="22"/>
          <w:szCs w:val="22"/>
        </w:rPr>
        <w:t xml:space="preserve"> </w:t>
      </w:r>
      <w:r w:rsidRPr="00F35942">
        <w:rPr>
          <w:b/>
          <w:bCs/>
          <w:sz w:val="22"/>
          <w:szCs w:val="22"/>
        </w:rPr>
        <w:t>150</w:t>
      </w:r>
      <w:r w:rsidRPr="00F35942">
        <w:rPr>
          <w:sz w:val="22"/>
          <w:szCs w:val="22"/>
        </w:rPr>
        <w:t>, 105336 (2022).</w:t>
      </w:r>
    </w:p>
    <w:p w14:paraId="34E21F4D" w14:textId="77777777" w:rsidR="00F263CE" w:rsidRPr="00F35942" w:rsidRDefault="00F263CE" w:rsidP="00F263CE">
      <w:pPr>
        <w:pStyle w:val="Bibliography"/>
        <w:rPr>
          <w:sz w:val="22"/>
          <w:szCs w:val="22"/>
        </w:rPr>
      </w:pPr>
      <w:r w:rsidRPr="00F35942">
        <w:rPr>
          <w:sz w:val="22"/>
          <w:szCs w:val="22"/>
        </w:rPr>
        <w:t>51.</w:t>
      </w:r>
      <w:r w:rsidRPr="00F35942">
        <w:rPr>
          <w:sz w:val="22"/>
          <w:szCs w:val="22"/>
        </w:rPr>
        <w:tab/>
        <w:t xml:space="preserve">Cao, K.-K., Metzdorf, J. &amp; Birbalta, S. Incorporating Power Transmission Bottlenecks into Aggregated Energy System Models. </w:t>
      </w:r>
      <w:r w:rsidRPr="00F35942">
        <w:rPr>
          <w:i/>
          <w:iCs/>
          <w:sz w:val="22"/>
          <w:szCs w:val="22"/>
        </w:rPr>
        <w:t>Sustainability</w:t>
      </w:r>
      <w:r w:rsidRPr="00F35942">
        <w:rPr>
          <w:sz w:val="22"/>
          <w:szCs w:val="22"/>
        </w:rPr>
        <w:t xml:space="preserve"> </w:t>
      </w:r>
      <w:r w:rsidRPr="00F35942">
        <w:rPr>
          <w:b/>
          <w:bCs/>
          <w:sz w:val="22"/>
          <w:szCs w:val="22"/>
        </w:rPr>
        <w:t>10</w:t>
      </w:r>
      <w:r w:rsidRPr="00F35942">
        <w:rPr>
          <w:sz w:val="22"/>
          <w:szCs w:val="22"/>
        </w:rPr>
        <w:t>, 1916 (2018).</w:t>
      </w:r>
    </w:p>
    <w:p w14:paraId="61D79F64" w14:textId="77777777" w:rsidR="00F263CE" w:rsidRPr="00F35942" w:rsidRDefault="00F263CE" w:rsidP="00F263CE">
      <w:pPr>
        <w:pStyle w:val="Bibliography"/>
        <w:rPr>
          <w:sz w:val="22"/>
          <w:szCs w:val="22"/>
        </w:rPr>
      </w:pPr>
      <w:r w:rsidRPr="00F35942">
        <w:rPr>
          <w:sz w:val="22"/>
          <w:szCs w:val="22"/>
        </w:rPr>
        <w:t>52.</w:t>
      </w:r>
      <w:r w:rsidRPr="00F35942">
        <w:rPr>
          <w:sz w:val="22"/>
          <w:szCs w:val="22"/>
        </w:rPr>
        <w:tab/>
        <w:t xml:space="preserve">Cebulla, F., Naegler, T. &amp; Pohl, M. Electrical energy storage in highly renewable European energy systems: Capacity requirements, spatial distribution, and storage dispatch. </w:t>
      </w:r>
      <w:r w:rsidRPr="00F35942">
        <w:rPr>
          <w:i/>
          <w:iCs/>
          <w:sz w:val="22"/>
          <w:szCs w:val="22"/>
        </w:rPr>
        <w:t>Journal of Energy Storage</w:t>
      </w:r>
      <w:r w:rsidRPr="00F35942">
        <w:rPr>
          <w:sz w:val="22"/>
          <w:szCs w:val="22"/>
        </w:rPr>
        <w:t xml:space="preserve"> </w:t>
      </w:r>
      <w:r w:rsidRPr="00F35942">
        <w:rPr>
          <w:b/>
          <w:bCs/>
          <w:sz w:val="22"/>
          <w:szCs w:val="22"/>
        </w:rPr>
        <w:t>14</w:t>
      </w:r>
      <w:r w:rsidRPr="00F35942">
        <w:rPr>
          <w:sz w:val="22"/>
          <w:szCs w:val="22"/>
        </w:rPr>
        <w:t>, 211–223 (2017).</w:t>
      </w:r>
    </w:p>
    <w:p w14:paraId="280AB80A" w14:textId="77777777" w:rsidR="00F263CE" w:rsidRPr="00F35942" w:rsidRDefault="00F263CE" w:rsidP="00F263CE">
      <w:pPr>
        <w:pStyle w:val="Bibliography"/>
        <w:rPr>
          <w:sz w:val="22"/>
          <w:szCs w:val="22"/>
        </w:rPr>
      </w:pPr>
      <w:r w:rsidRPr="00F35942">
        <w:rPr>
          <w:sz w:val="22"/>
          <w:szCs w:val="22"/>
        </w:rPr>
        <w:t>53.</w:t>
      </w:r>
      <w:r w:rsidRPr="00F35942">
        <w:rPr>
          <w:sz w:val="22"/>
          <w:szCs w:val="22"/>
        </w:rPr>
        <w:tab/>
        <w:t xml:space="preserve">Frysztacki, M. M., Hagenmeyer, </w:t>
      </w:r>
      <w:proofErr w:type="gramStart"/>
      <w:r w:rsidRPr="00F35942">
        <w:rPr>
          <w:sz w:val="22"/>
          <w:szCs w:val="22"/>
        </w:rPr>
        <w:t>V. &amp;</w:t>
      </w:r>
      <w:proofErr w:type="gramEnd"/>
      <w:r w:rsidRPr="00F35942">
        <w:rPr>
          <w:sz w:val="22"/>
          <w:szCs w:val="22"/>
        </w:rPr>
        <w:t xml:space="preserve"> Brown, T. Inverse methods: How feasible are spatially low-resolved capacity expansion modelling results when disaggregated at high spatial resolution? </w:t>
      </w:r>
      <w:r w:rsidRPr="00F35942">
        <w:rPr>
          <w:i/>
          <w:iCs/>
          <w:sz w:val="22"/>
          <w:szCs w:val="22"/>
        </w:rPr>
        <w:t>Energy</w:t>
      </w:r>
      <w:r w:rsidRPr="00F35942">
        <w:rPr>
          <w:sz w:val="22"/>
          <w:szCs w:val="22"/>
        </w:rPr>
        <w:t xml:space="preserve"> </w:t>
      </w:r>
      <w:r w:rsidRPr="00F35942">
        <w:rPr>
          <w:b/>
          <w:bCs/>
          <w:sz w:val="22"/>
          <w:szCs w:val="22"/>
        </w:rPr>
        <w:t>281</w:t>
      </w:r>
      <w:r w:rsidRPr="00F35942">
        <w:rPr>
          <w:sz w:val="22"/>
          <w:szCs w:val="22"/>
        </w:rPr>
        <w:t>, 128133 (2023).</w:t>
      </w:r>
    </w:p>
    <w:p w14:paraId="3E432303" w14:textId="77777777" w:rsidR="00F263CE" w:rsidRPr="00F35942" w:rsidRDefault="00F263CE" w:rsidP="00F263CE">
      <w:pPr>
        <w:pStyle w:val="Bibliography"/>
        <w:rPr>
          <w:sz w:val="22"/>
          <w:szCs w:val="22"/>
        </w:rPr>
      </w:pPr>
      <w:r w:rsidRPr="00F35942">
        <w:rPr>
          <w:sz w:val="22"/>
          <w:szCs w:val="22"/>
        </w:rPr>
        <w:t>54.</w:t>
      </w:r>
      <w:r w:rsidRPr="00F35942">
        <w:rPr>
          <w:sz w:val="22"/>
          <w:szCs w:val="22"/>
        </w:rPr>
        <w:tab/>
        <w:t xml:space="preserve">Krishnan, V. &amp; Cole, W. Evaluating the value of high spatial resolution in national capacity expansion models using ReEDS. in </w:t>
      </w:r>
      <w:r w:rsidRPr="00F35942">
        <w:rPr>
          <w:i/>
          <w:iCs/>
          <w:sz w:val="22"/>
          <w:szCs w:val="22"/>
        </w:rPr>
        <w:t>2016 IEEE Power and Energy Society General Meeting (PESGM)</w:t>
      </w:r>
      <w:r w:rsidRPr="00F35942">
        <w:rPr>
          <w:sz w:val="22"/>
          <w:szCs w:val="22"/>
        </w:rPr>
        <w:t xml:space="preserve"> 1–5 (2016). doi:10.1109/PESGM.2016.7741996.</w:t>
      </w:r>
    </w:p>
    <w:p w14:paraId="30A2F997" w14:textId="77777777" w:rsidR="00F263CE" w:rsidRPr="00F35942" w:rsidRDefault="00F263CE" w:rsidP="00F263CE">
      <w:pPr>
        <w:pStyle w:val="Bibliography"/>
        <w:rPr>
          <w:sz w:val="22"/>
          <w:szCs w:val="22"/>
        </w:rPr>
      </w:pPr>
      <w:r w:rsidRPr="00F35942">
        <w:rPr>
          <w:sz w:val="22"/>
          <w:szCs w:val="22"/>
        </w:rPr>
        <w:t>55.</w:t>
      </w:r>
      <w:r w:rsidRPr="00F35942">
        <w:rPr>
          <w:sz w:val="22"/>
          <w:szCs w:val="22"/>
        </w:rPr>
        <w:tab/>
        <w:t xml:space="preserve">Mallapragada, D. S., Papageorgiou, D. J., Venkatesh, A., Lara, C. L. &amp; Grossmann, I. E. Impact of model resolution on scenario outcomes for electricity sector system expansion. </w:t>
      </w:r>
      <w:r w:rsidRPr="00F35942">
        <w:rPr>
          <w:i/>
          <w:iCs/>
          <w:sz w:val="22"/>
          <w:szCs w:val="22"/>
        </w:rPr>
        <w:t>Energy</w:t>
      </w:r>
      <w:r w:rsidRPr="00F35942">
        <w:rPr>
          <w:sz w:val="22"/>
          <w:szCs w:val="22"/>
        </w:rPr>
        <w:t xml:space="preserve"> </w:t>
      </w:r>
      <w:r w:rsidRPr="00F35942">
        <w:rPr>
          <w:b/>
          <w:bCs/>
          <w:sz w:val="22"/>
          <w:szCs w:val="22"/>
        </w:rPr>
        <w:t>163</w:t>
      </w:r>
      <w:r w:rsidRPr="00F35942">
        <w:rPr>
          <w:sz w:val="22"/>
          <w:szCs w:val="22"/>
        </w:rPr>
        <w:t>, 1231–1244 (2018).</w:t>
      </w:r>
    </w:p>
    <w:p w14:paraId="774DE4FA" w14:textId="77777777" w:rsidR="00F263CE" w:rsidRPr="00F35942" w:rsidRDefault="00F263CE" w:rsidP="00F263CE">
      <w:pPr>
        <w:pStyle w:val="Bibliography"/>
        <w:rPr>
          <w:sz w:val="22"/>
          <w:szCs w:val="22"/>
        </w:rPr>
      </w:pPr>
      <w:r w:rsidRPr="00F35942">
        <w:rPr>
          <w:sz w:val="22"/>
          <w:szCs w:val="22"/>
        </w:rPr>
        <w:t>56.</w:t>
      </w:r>
      <w:r w:rsidRPr="00F35942">
        <w:rPr>
          <w:sz w:val="22"/>
          <w:szCs w:val="22"/>
        </w:rPr>
        <w:tab/>
        <w:t xml:space="preserve">Poncelet, K., Delarue, E., Six, D., Duerinck, J. &amp; D’haeseleer, W. Impact of the level of temporal and operational detail in energy-system planning models. </w:t>
      </w:r>
      <w:r w:rsidRPr="00F35942">
        <w:rPr>
          <w:i/>
          <w:iCs/>
          <w:sz w:val="22"/>
          <w:szCs w:val="22"/>
        </w:rPr>
        <w:t>Applied Energy</w:t>
      </w:r>
      <w:r w:rsidRPr="00F35942">
        <w:rPr>
          <w:sz w:val="22"/>
          <w:szCs w:val="22"/>
        </w:rPr>
        <w:t xml:space="preserve"> </w:t>
      </w:r>
      <w:r w:rsidRPr="00F35942">
        <w:rPr>
          <w:b/>
          <w:bCs/>
          <w:sz w:val="22"/>
          <w:szCs w:val="22"/>
        </w:rPr>
        <w:t>162</w:t>
      </w:r>
      <w:r w:rsidRPr="00F35942">
        <w:rPr>
          <w:sz w:val="22"/>
          <w:szCs w:val="22"/>
        </w:rPr>
        <w:t>, 631–643 (2016).</w:t>
      </w:r>
    </w:p>
    <w:p w14:paraId="025643D5" w14:textId="77777777" w:rsidR="00F263CE" w:rsidRPr="00F35942" w:rsidRDefault="00F263CE" w:rsidP="00F263CE">
      <w:pPr>
        <w:pStyle w:val="Bibliography"/>
        <w:rPr>
          <w:sz w:val="22"/>
          <w:szCs w:val="22"/>
        </w:rPr>
      </w:pPr>
      <w:r w:rsidRPr="00F35942">
        <w:rPr>
          <w:sz w:val="22"/>
          <w:szCs w:val="22"/>
        </w:rPr>
        <w:t>57.</w:t>
      </w:r>
      <w:r w:rsidRPr="00F35942">
        <w:rPr>
          <w:sz w:val="22"/>
          <w:szCs w:val="22"/>
        </w:rPr>
        <w:tab/>
        <w:t xml:space="preserve">Schyska, B. U., Kies, A., Schlott, M., von Bremen, L. &amp; Medjroubi, W. The sensitivity of power system expansion models. </w:t>
      </w:r>
      <w:r w:rsidRPr="00F35942">
        <w:rPr>
          <w:i/>
          <w:iCs/>
          <w:sz w:val="22"/>
          <w:szCs w:val="22"/>
        </w:rPr>
        <w:t>Joule</w:t>
      </w:r>
      <w:r w:rsidRPr="00F35942">
        <w:rPr>
          <w:sz w:val="22"/>
          <w:szCs w:val="22"/>
        </w:rPr>
        <w:t xml:space="preserve"> </w:t>
      </w:r>
      <w:r w:rsidRPr="00F35942">
        <w:rPr>
          <w:b/>
          <w:bCs/>
          <w:sz w:val="22"/>
          <w:szCs w:val="22"/>
        </w:rPr>
        <w:t>5</w:t>
      </w:r>
      <w:r w:rsidRPr="00F35942">
        <w:rPr>
          <w:sz w:val="22"/>
          <w:szCs w:val="22"/>
        </w:rPr>
        <w:t>, 2606–2624 (2021).</w:t>
      </w:r>
    </w:p>
    <w:p w14:paraId="42750358" w14:textId="77777777" w:rsidR="00F263CE" w:rsidRPr="00F35942" w:rsidRDefault="00F263CE" w:rsidP="00F263CE">
      <w:pPr>
        <w:pStyle w:val="Bibliography"/>
        <w:rPr>
          <w:sz w:val="22"/>
          <w:szCs w:val="22"/>
        </w:rPr>
      </w:pPr>
      <w:r w:rsidRPr="00F35942">
        <w:rPr>
          <w:sz w:val="22"/>
          <w:szCs w:val="22"/>
        </w:rPr>
        <w:t>58.</w:t>
      </w:r>
      <w:r w:rsidRPr="00F35942">
        <w:rPr>
          <w:sz w:val="22"/>
          <w:szCs w:val="22"/>
        </w:rPr>
        <w:tab/>
        <w:t xml:space="preserve">Zappa, W. &amp; van den Broek, M. Analysing the potential of integrating wind and solar power in Europe using spatial optimisation under various scenarios. </w:t>
      </w:r>
      <w:r w:rsidRPr="00F35942">
        <w:rPr>
          <w:i/>
          <w:iCs/>
          <w:sz w:val="22"/>
          <w:szCs w:val="22"/>
        </w:rPr>
        <w:t>Renewable and Sustainable Energy Reviews</w:t>
      </w:r>
      <w:r w:rsidRPr="00F35942">
        <w:rPr>
          <w:sz w:val="22"/>
          <w:szCs w:val="22"/>
        </w:rPr>
        <w:t xml:space="preserve"> </w:t>
      </w:r>
      <w:r w:rsidRPr="00F35942">
        <w:rPr>
          <w:b/>
          <w:bCs/>
          <w:sz w:val="22"/>
          <w:szCs w:val="22"/>
        </w:rPr>
        <w:t>94</w:t>
      </w:r>
      <w:r w:rsidRPr="00F35942">
        <w:rPr>
          <w:sz w:val="22"/>
          <w:szCs w:val="22"/>
        </w:rPr>
        <w:t>, 1192–1216 (2018).</w:t>
      </w:r>
    </w:p>
    <w:p w14:paraId="1E0E0CF5" w14:textId="77777777" w:rsidR="00F263CE" w:rsidRPr="00F35942" w:rsidRDefault="00F263CE" w:rsidP="00F263CE">
      <w:pPr>
        <w:pStyle w:val="Bibliography"/>
        <w:rPr>
          <w:sz w:val="22"/>
          <w:szCs w:val="22"/>
        </w:rPr>
      </w:pPr>
      <w:r w:rsidRPr="00F35942">
        <w:rPr>
          <w:sz w:val="22"/>
          <w:szCs w:val="22"/>
        </w:rPr>
        <w:lastRenderedPageBreak/>
        <w:t>59.</w:t>
      </w:r>
      <w:r w:rsidRPr="00F35942">
        <w:rPr>
          <w:sz w:val="22"/>
          <w:szCs w:val="22"/>
        </w:rPr>
        <w:tab/>
        <w:t xml:space="preserve">Moghaddam, S. Z. Generation and transmission expansion planning with high penetration of wind farms considering spatial distribution of wind speed. </w:t>
      </w:r>
      <w:r w:rsidRPr="00F35942">
        <w:rPr>
          <w:i/>
          <w:iCs/>
          <w:sz w:val="22"/>
          <w:szCs w:val="22"/>
        </w:rPr>
        <w:t>International Journal of Electrical Power &amp; Energy Systems</w:t>
      </w:r>
      <w:r w:rsidRPr="00F35942">
        <w:rPr>
          <w:sz w:val="22"/>
          <w:szCs w:val="22"/>
        </w:rPr>
        <w:t xml:space="preserve"> </w:t>
      </w:r>
      <w:r w:rsidRPr="00F35942">
        <w:rPr>
          <w:b/>
          <w:bCs/>
          <w:sz w:val="22"/>
          <w:szCs w:val="22"/>
        </w:rPr>
        <w:t>106</w:t>
      </w:r>
      <w:r w:rsidRPr="00F35942">
        <w:rPr>
          <w:sz w:val="22"/>
          <w:szCs w:val="22"/>
        </w:rPr>
        <w:t>, 232–241 (2019).</w:t>
      </w:r>
    </w:p>
    <w:p w14:paraId="1C13D026" w14:textId="77777777" w:rsidR="00F263CE" w:rsidRPr="00F35942" w:rsidRDefault="00F263CE" w:rsidP="00F263CE">
      <w:pPr>
        <w:pStyle w:val="Bibliography"/>
        <w:rPr>
          <w:sz w:val="22"/>
          <w:szCs w:val="22"/>
        </w:rPr>
      </w:pPr>
      <w:r w:rsidRPr="00F35942">
        <w:rPr>
          <w:sz w:val="22"/>
          <w:szCs w:val="22"/>
        </w:rPr>
        <w:t>60.</w:t>
      </w:r>
      <w:r w:rsidRPr="00F35942">
        <w:rPr>
          <w:sz w:val="22"/>
          <w:szCs w:val="22"/>
        </w:rPr>
        <w:tab/>
        <w:t xml:space="preserve">Davidson, M. R., Zhang, D., Xiong, W., Zhang, X. &amp; Karplus, V. J. Modelling the potential for wind energy integration on China’s coal-heavy electricity grid. </w:t>
      </w:r>
      <w:r w:rsidRPr="00F35942">
        <w:rPr>
          <w:i/>
          <w:iCs/>
          <w:sz w:val="22"/>
          <w:szCs w:val="22"/>
        </w:rPr>
        <w:t>Nat Energy</w:t>
      </w:r>
      <w:r w:rsidRPr="00F35942">
        <w:rPr>
          <w:sz w:val="22"/>
          <w:szCs w:val="22"/>
        </w:rPr>
        <w:t xml:space="preserve"> </w:t>
      </w:r>
      <w:r w:rsidRPr="00F35942">
        <w:rPr>
          <w:b/>
          <w:bCs/>
          <w:sz w:val="22"/>
          <w:szCs w:val="22"/>
        </w:rPr>
        <w:t>1</w:t>
      </w:r>
      <w:r w:rsidRPr="00F35942">
        <w:rPr>
          <w:sz w:val="22"/>
          <w:szCs w:val="22"/>
        </w:rPr>
        <w:t>, 1–7 (2016).</w:t>
      </w:r>
    </w:p>
    <w:p w14:paraId="3F24FDAC" w14:textId="77777777" w:rsidR="00F263CE" w:rsidRPr="00F35942" w:rsidRDefault="00F263CE" w:rsidP="00F263CE">
      <w:pPr>
        <w:pStyle w:val="Bibliography"/>
        <w:rPr>
          <w:sz w:val="22"/>
          <w:szCs w:val="22"/>
        </w:rPr>
      </w:pPr>
      <w:r w:rsidRPr="00F35942">
        <w:rPr>
          <w:sz w:val="22"/>
          <w:szCs w:val="22"/>
        </w:rPr>
        <w:t>61.</w:t>
      </w:r>
      <w:r w:rsidRPr="00F35942">
        <w:rPr>
          <w:sz w:val="22"/>
          <w:szCs w:val="22"/>
        </w:rPr>
        <w:tab/>
        <w:t xml:space="preserve">DeCarolis, J. F. Using modeling to generate alternatives (MGA) to expand our thinking on energy futures. </w:t>
      </w:r>
      <w:r w:rsidRPr="00F35942">
        <w:rPr>
          <w:i/>
          <w:iCs/>
          <w:sz w:val="22"/>
          <w:szCs w:val="22"/>
        </w:rPr>
        <w:t>Energy Economics</w:t>
      </w:r>
      <w:r w:rsidRPr="00F35942">
        <w:rPr>
          <w:sz w:val="22"/>
          <w:szCs w:val="22"/>
        </w:rPr>
        <w:t xml:space="preserve"> </w:t>
      </w:r>
      <w:r w:rsidRPr="00F35942">
        <w:rPr>
          <w:b/>
          <w:bCs/>
          <w:sz w:val="22"/>
          <w:szCs w:val="22"/>
        </w:rPr>
        <w:t>33</w:t>
      </w:r>
      <w:r w:rsidRPr="00F35942">
        <w:rPr>
          <w:sz w:val="22"/>
          <w:szCs w:val="22"/>
        </w:rPr>
        <w:t>, 145–152 (2011).</w:t>
      </w:r>
    </w:p>
    <w:p w14:paraId="09248E59" w14:textId="77777777" w:rsidR="00F263CE" w:rsidRPr="00F35942" w:rsidRDefault="00F263CE" w:rsidP="00F263CE">
      <w:pPr>
        <w:pStyle w:val="Bibliography"/>
        <w:rPr>
          <w:sz w:val="22"/>
          <w:szCs w:val="22"/>
        </w:rPr>
      </w:pPr>
      <w:r w:rsidRPr="00F35942">
        <w:rPr>
          <w:sz w:val="22"/>
          <w:szCs w:val="22"/>
        </w:rPr>
        <w:t>62.</w:t>
      </w:r>
      <w:r w:rsidRPr="00F35942">
        <w:rPr>
          <w:sz w:val="22"/>
          <w:szCs w:val="22"/>
        </w:rPr>
        <w:tab/>
        <w:t xml:space="preserve">Moret, S., Babonneau, F., Bierlaire, M. &amp; Maréchal, F. Decision support for strategic energy planning: A robust optimization framework. </w:t>
      </w:r>
      <w:r w:rsidRPr="00F35942">
        <w:rPr>
          <w:i/>
          <w:iCs/>
          <w:sz w:val="22"/>
          <w:szCs w:val="22"/>
        </w:rPr>
        <w:t>European Journal of Operational Research</w:t>
      </w:r>
      <w:r w:rsidRPr="00F35942">
        <w:rPr>
          <w:sz w:val="22"/>
          <w:szCs w:val="22"/>
        </w:rPr>
        <w:t xml:space="preserve"> </w:t>
      </w:r>
      <w:r w:rsidRPr="00F35942">
        <w:rPr>
          <w:b/>
          <w:bCs/>
          <w:sz w:val="22"/>
          <w:szCs w:val="22"/>
        </w:rPr>
        <w:t>280</w:t>
      </w:r>
      <w:r w:rsidRPr="00F35942">
        <w:rPr>
          <w:sz w:val="22"/>
          <w:szCs w:val="22"/>
        </w:rPr>
        <w:t>, 539–554 (2020).</w:t>
      </w:r>
    </w:p>
    <w:p w14:paraId="5A759E28" w14:textId="77777777" w:rsidR="00F263CE" w:rsidRPr="00F35942" w:rsidRDefault="00F263CE" w:rsidP="00F263CE">
      <w:pPr>
        <w:pStyle w:val="Bibliography"/>
        <w:rPr>
          <w:sz w:val="22"/>
          <w:szCs w:val="22"/>
        </w:rPr>
      </w:pPr>
      <w:r w:rsidRPr="00F35942">
        <w:rPr>
          <w:sz w:val="22"/>
          <w:szCs w:val="22"/>
        </w:rPr>
        <w:t>63.</w:t>
      </w:r>
      <w:r w:rsidRPr="00F35942">
        <w:rPr>
          <w:sz w:val="22"/>
          <w:szCs w:val="22"/>
        </w:rPr>
        <w:tab/>
        <w:t xml:space="preserve">Pizarro-Alonso, A., Ravn, H. &amp; Münster, M. Uncertainties towards a fossil-free system with high integration of wind energy in long-term planning. </w:t>
      </w:r>
      <w:r w:rsidRPr="00F35942">
        <w:rPr>
          <w:i/>
          <w:iCs/>
          <w:sz w:val="22"/>
          <w:szCs w:val="22"/>
        </w:rPr>
        <w:t>Applied Energy</w:t>
      </w:r>
      <w:r w:rsidRPr="00F35942">
        <w:rPr>
          <w:sz w:val="22"/>
          <w:szCs w:val="22"/>
        </w:rPr>
        <w:t xml:space="preserve"> </w:t>
      </w:r>
      <w:r w:rsidRPr="00F35942">
        <w:rPr>
          <w:b/>
          <w:bCs/>
          <w:sz w:val="22"/>
          <w:szCs w:val="22"/>
        </w:rPr>
        <w:t>253</w:t>
      </w:r>
      <w:r w:rsidRPr="00F35942">
        <w:rPr>
          <w:sz w:val="22"/>
          <w:szCs w:val="22"/>
        </w:rPr>
        <w:t>, 113528 (2019).</w:t>
      </w:r>
    </w:p>
    <w:p w14:paraId="6D415CB7" w14:textId="77777777" w:rsidR="00F263CE" w:rsidRPr="00F35942" w:rsidRDefault="00F263CE" w:rsidP="00F263CE">
      <w:pPr>
        <w:pStyle w:val="Bibliography"/>
        <w:rPr>
          <w:sz w:val="22"/>
          <w:szCs w:val="22"/>
        </w:rPr>
      </w:pPr>
      <w:r w:rsidRPr="00F35942">
        <w:rPr>
          <w:sz w:val="22"/>
          <w:szCs w:val="22"/>
        </w:rPr>
        <w:t>64.</w:t>
      </w:r>
      <w:r w:rsidRPr="00F35942">
        <w:rPr>
          <w:sz w:val="22"/>
          <w:szCs w:val="22"/>
        </w:rPr>
        <w:tab/>
        <w:t xml:space="preserve">Woodard, D. L. </w:t>
      </w:r>
      <w:r w:rsidRPr="00F35942">
        <w:rPr>
          <w:i/>
          <w:iCs/>
          <w:sz w:val="22"/>
          <w:szCs w:val="22"/>
        </w:rPr>
        <w:t>et al.</w:t>
      </w:r>
      <w:r w:rsidRPr="00F35942">
        <w:rPr>
          <w:sz w:val="22"/>
          <w:szCs w:val="22"/>
        </w:rPr>
        <w:t xml:space="preserve"> Scenario Discovery Analysis of Drivers of Solar and Wind Energy Transitions Through 2050. </w:t>
      </w:r>
      <w:r w:rsidRPr="00F35942">
        <w:rPr>
          <w:i/>
          <w:iCs/>
          <w:sz w:val="22"/>
          <w:szCs w:val="22"/>
        </w:rPr>
        <w:t>Earth’s Future</w:t>
      </w:r>
      <w:r w:rsidRPr="00F35942">
        <w:rPr>
          <w:sz w:val="22"/>
          <w:szCs w:val="22"/>
        </w:rPr>
        <w:t xml:space="preserve"> </w:t>
      </w:r>
      <w:r w:rsidRPr="00F35942">
        <w:rPr>
          <w:b/>
          <w:bCs/>
          <w:sz w:val="22"/>
          <w:szCs w:val="22"/>
        </w:rPr>
        <w:t>11</w:t>
      </w:r>
      <w:r w:rsidRPr="00F35942">
        <w:rPr>
          <w:sz w:val="22"/>
          <w:szCs w:val="22"/>
        </w:rPr>
        <w:t>, e2022EF003442 (2023).</w:t>
      </w:r>
    </w:p>
    <w:p w14:paraId="7F8EBFCE" w14:textId="77777777" w:rsidR="00F263CE" w:rsidRPr="00F35942" w:rsidRDefault="00F263CE" w:rsidP="00F263CE">
      <w:pPr>
        <w:pStyle w:val="Bibliography"/>
        <w:rPr>
          <w:sz w:val="22"/>
          <w:szCs w:val="22"/>
        </w:rPr>
      </w:pPr>
      <w:r w:rsidRPr="00F35942">
        <w:rPr>
          <w:sz w:val="22"/>
          <w:szCs w:val="22"/>
        </w:rPr>
        <w:t>65.</w:t>
      </w:r>
      <w:r w:rsidRPr="00F35942">
        <w:rPr>
          <w:sz w:val="22"/>
          <w:szCs w:val="22"/>
        </w:rPr>
        <w:tab/>
        <w:t xml:space="preserve">Luderer, G. </w:t>
      </w:r>
      <w:r w:rsidRPr="00F35942">
        <w:rPr>
          <w:i/>
          <w:iCs/>
          <w:sz w:val="22"/>
          <w:szCs w:val="22"/>
        </w:rPr>
        <w:t>et al.</w:t>
      </w:r>
      <w:r w:rsidRPr="00F35942">
        <w:rPr>
          <w:sz w:val="22"/>
          <w:szCs w:val="22"/>
        </w:rPr>
        <w:t xml:space="preserve"> Impact of declining renewable energy costs on electrification in low-emission scenarios. </w:t>
      </w:r>
      <w:r w:rsidRPr="00F35942">
        <w:rPr>
          <w:i/>
          <w:iCs/>
          <w:sz w:val="22"/>
          <w:szCs w:val="22"/>
        </w:rPr>
        <w:t>Nat Energy</w:t>
      </w:r>
      <w:r w:rsidRPr="00F35942">
        <w:rPr>
          <w:sz w:val="22"/>
          <w:szCs w:val="22"/>
        </w:rPr>
        <w:t xml:space="preserve"> </w:t>
      </w:r>
      <w:r w:rsidRPr="00F35942">
        <w:rPr>
          <w:b/>
          <w:bCs/>
          <w:sz w:val="22"/>
          <w:szCs w:val="22"/>
        </w:rPr>
        <w:t>7</w:t>
      </w:r>
      <w:r w:rsidRPr="00F35942">
        <w:rPr>
          <w:sz w:val="22"/>
          <w:szCs w:val="22"/>
        </w:rPr>
        <w:t>, 32–42 (2022).</w:t>
      </w:r>
    </w:p>
    <w:p w14:paraId="22612E42" w14:textId="77777777" w:rsidR="00F263CE" w:rsidRPr="00F35942" w:rsidRDefault="00F263CE" w:rsidP="00F263CE">
      <w:pPr>
        <w:pStyle w:val="Bibliography"/>
        <w:rPr>
          <w:sz w:val="22"/>
          <w:szCs w:val="22"/>
        </w:rPr>
      </w:pPr>
      <w:r w:rsidRPr="00F35942">
        <w:rPr>
          <w:sz w:val="22"/>
          <w:szCs w:val="22"/>
        </w:rPr>
        <w:t>66.</w:t>
      </w:r>
      <w:r w:rsidRPr="00F35942">
        <w:rPr>
          <w:sz w:val="22"/>
          <w:szCs w:val="22"/>
        </w:rPr>
        <w:tab/>
        <w:t xml:space="preserve">Moret, S., Codina Gironès, V., Bierlaire, M. &amp; Maréchal, F. Characterization of input uncertainties in strategic energy planning models. </w:t>
      </w:r>
      <w:r w:rsidRPr="00F35942">
        <w:rPr>
          <w:i/>
          <w:iCs/>
          <w:sz w:val="22"/>
          <w:szCs w:val="22"/>
        </w:rPr>
        <w:t>Applied Energy</w:t>
      </w:r>
      <w:r w:rsidRPr="00F35942">
        <w:rPr>
          <w:sz w:val="22"/>
          <w:szCs w:val="22"/>
        </w:rPr>
        <w:t xml:space="preserve"> </w:t>
      </w:r>
      <w:r w:rsidRPr="00F35942">
        <w:rPr>
          <w:b/>
          <w:bCs/>
          <w:sz w:val="22"/>
          <w:szCs w:val="22"/>
        </w:rPr>
        <w:t>202</w:t>
      </w:r>
      <w:r w:rsidRPr="00F35942">
        <w:rPr>
          <w:sz w:val="22"/>
          <w:szCs w:val="22"/>
        </w:rPr>
        <w:t>, 597–617 (2017).</w:t>
      </w:r>
    </w:p>
    <w:p w14:paraId="05386D87" w14:textId="77777777" w:rsidR="00F263CE" w:rsidRPr="00F35942" w:rsidRDefault="00F263CE" w:rsidP="00F263CE">
      <w:pPr>
        <w:pStyle w:val="Bibliography"/>
        <w:rPr>
          <w:sz w:val="22"/>
          <w:szCs w:val="22"/>
        </w:rPr>
      </w:pPr>
      <w:r w:rsidRPr="00F35942">
        <w:rPr>
          <w:sz w:val="22"/>
          <w:szCs w:val="22"/>
        </w:rPr>
        <w:t>67.</w:t>
      </w:r>
      <w:r w:rsidRPr="00F35942">
        <w:rPr>
          <w:sz w:val="22"/>
          <w:szCs w:val="22"/>
        </w:rPr>
        <w:tab/>
        <w:t xml:space="preserve">Rinne, E., Holttinen, H., Kiviluoma, J. &amp; Rissanen, S. Effects of turbine technology and land use on wind power resource potential. </w:t>
      </w:r>
      <w:r w:rsidRPr="00F35942">
        <w:rPr>
          <w:i/>
          <w:iCs/>
          <w:sz w:val="22"/>
          <w:szCs w:val="22"/>
        </w:rPr>
        <w:t>Nat Energy</w:t>
      </w:r>
      <w:r w:rsidRPr="00F35942">
        <w:rPr>
          <w:sz w:val="22"/>
          <w:szCs w:val="22"/>
        </w:rPr>
        <w:t xml:space="preserve"> </w:t>
      </w:r>
      <w:r w:rsidRPr="00F35942">
        <w:rPr>
          <w:b/>
          <w:bCs/>
          <w:sz w:val="22"/>
          <w:szCs w:val="22"/>
        </w:rPr>
        <w:t>3</w:t>
      </w:r>
      <w:r w:rsidRPr="00F35942">
        <w:rPr>
          <w:sz w:val="22"/>
          <w:szCs w:val="22"/>
        </w:rPr>
        <w:t>, 494–500 (2018).</w:t>
      </w:r>
    </w:p>
    <w:p w14:paraId="60CE7576" w14:textId="77777777" w:rsidR="00F263CE" w:rsidRPr="00F35942" w:rsidRDefault="00F263CE" w:rsidP="00F263CE">
      <w:pPr>
        <w:pStyle w:val="Bibliography"/>
        <w:rPr>
          <w:sz w:val="22"/>
          <w:szCs w:val="22"/>
        </w:rPr>
      </w:pPr>
      <w:r w:rsidRPr="00F35942">
        <w:rPr>
          <w:sz w:val="22"/>
          <w:szCs w:val="22"/>
        </w:rPr>
        <w:t>68.</w:t>
      </w:r>
      <w:r w:rsidRPr="00F35942">
        <w:rPr>
          <w:sz w:val="22"/>
          <w:szCs w:val="22"/>
        </w:rPr>
        <w:tab/>
        <w:t xml:space="preserve">McKenna, R., Hollnaicher, S. &amp; Fichtner, W. Cost-potential curves for onshore wind energy: A high-resolution analysis for Germany. </w:t>
      </w:r>
      <w:r w:rsidRPr="00F35942">
        <w:rPr>
          <w:i/>
          <w:iCs/>
          <w:sz w:val="22"/>
          <w:szCs w:val="22"/>
        </w:rPr>
        <w:t>Applied Energy</w:t>
      </w:r>
      <w:r w:rsidRPr="00F35942">
        <w:rPr>
          <w:sz w:val="22"/>
          <w:szCs w:val="22"/>
        </w:rPr>
        <w:t xml:space="preserve"> </w:t>
      </w:r>
      <w:r w:rsidRPr="00F35942">
        <w:rPr>
          <w:b/>
          <w:bCs/>
          <w:sz w:val="22"/>
          <w:szCs w:val="22"/>
        </w:rPr>
        <w:t>115</w:t>
      </w:r>
      <w:r w:rsidRPr="00F35942">
        <w:rPr>
          <w:sz w:val="22"/>
          <w:szCs w:val="22"/>
        </w:rPr>
        <w:t>, 103–115 (2014).</w:t>
      </w:r>
    </w:p>
    <w:p w14:paraId="6B7D0A27" w14:textId="77777777" w:rsidR="00F263CE" w:rsidRPr="00F35942" w:rsidRDefault="00F263CE" w:rsidP="00F263CE">
      <w:pPr>
        <w:pStyle w:val="Bibliography"/>
        <w:rPr>
          <w:sz w:val="22"/>
          <w:szCs w:val="22"/>
        </w:rPr>
      </w:pPr>
      <w:r w:rsidRPr="00F35942">
        <w:rPr>
          <w:sz w:val="22"/>
          <w:szCs w:val="22"/>
        </w:rPr>
        <w:t>69.</w:t>
      </w:r>
      <w:r w:rsidRPr="00F35942">
        <w:rPr>
          <w:sz w:val="22"/>
          <w:szCs w:val="22"/>
        </w:rPr>
        <w:tab/>
        <w:t xml:space="preserve">Santos da Silva, S. R. </w:t>
      </w:r>
      <w:r w:rsidRPr="00F35942">
        <w:rPr>
          <w:i/>
          <w:iCs/>
          <w:sz w:val="22"/>
          <w:szCs w:val="22"/>
        </w:rPr>
        <w:t>et al.</w:t>
      </w:r>
      <w:r w:rsidRPr="00F35942">
        <w:rPr>
          <w:sz w:val="22"/>
          <w:szCs w:val="22"/>
        </w:rPr>
        <w:t xml:space="preserve"> Power sector investment implications of climate impacts on renewable resources in Latin America and the Caribbean. </w:t>
      </w:r>
      <w:r w:rsidRPr="00F35942">
        <w:rPr>
          <w:i/>
          <w:iCs/>
          <w:sz w:val="22"/>
          <w:szCs w:val="22"/>
        </w:rPr>
        <w:t>Nat Commun</w:t>
      </w:r>
      <w:r w:rsidRPr="00F35942">
        <w:rPr>
          <w:sz w:val="22"/>
          <w:szCs w:val="22"/>
        </w:rPr>
        <w:t xml:space="preserve"> </w:t>
      </w:r>
      <w:r w:rsidRPr="00F35942">
        <w:rPr>
          <w:b/>
          <w:bCs/>
          <w:sz w:val="22"/>
          <w:szCs w:val="22"/>
        </w:rPr>
        <w:t>12</w:t>
      </w:r>
      <w:r w:rsidRPr="00F35942">
        <w:rPr>
          <w:sz w:val="22"/>
          <w:szCs w:val="22"/>
        </w:rPr>
        <w:t>, 1276 (2021).</w:t>
      </w:r>
    </w:p>
    <w:p w14:paraId="36FB75A7" w14:textId="77777777" w:rsidR="00F263CE" w:rsidRPr="00F35942" w:rsidRDefault="00F263CE" w:rsidP="00F263CE">
      <w:pPr>
        <w:pStyle w:val="Bibliography"/>
        <w:rPr>
          <w:sz w:val="22"/>
          <w:szCs w:val="22"/>
        </w:rPr>
      </w:pPr>
      <w:r w:rsidRPr="00F35942">
        <w:rPr>
          <w:sz w:val="22"/>
          <w:szCs w:val="22"/>
        </w:rPr>
        <w:t>70.</w:t>
      </w:r>
      <w:r w:rsidRPr="00F35942">
        <w:rPr>
          <w:sz w:val="22"/>
          <w:szCs w:val="22"/>
        </w:rPr>
        <w:tab/>
        <w:t xml:space="preserve">Santos da Silva, S. R. </w:t>
      </w:r>
      <w:r w:rsidRPr="00F35942">
        <w:rPr>
          <w:i/>
          <w:iCs/>
          <w:sz w:val="22"/>
          <w:szCs w:val="22"/>
        </w:rPr>
        <w:t>et al.</w:t>
      </w:r>
      <w:r w:rsidRPr="00F35942">
        <w:rPr>
          <w:sz w:val="22"/>
          <w:szCs w:val="22"/>
        </w:rPr>
        <w:t xml:space="preserve"> The implications of uncertain renewable resource potentials for global wind and solar electricity projections. </w:t>
      </w:r>
      <w:r w:rsidRPr="00F35942">
        <w:rPr>
          <w:i/>
          <w:iCs/>
          <w:sz w:val="22"/>
          <w:szCs w:val="22"/>
        </w:rPr>
        <w:t>Environ. Res. Lett.</w:t>
      </w:r>
      <w:r w:rsidRPr="00F35942">
        <w:rPr>
          <w:sz w:val="22"/>
          <w:szCs w:val="22"/>
        </w:rPr>
        <w:t xml:space="preserve"> </w:t>
      </w:r>
      <w:r w:rsidRPr="00F35942">
        <w:rPr>
          <w:b/>
          <w:bCs/>
          <w:sz w:val="22"/>
          <w:szCs w:val="22"/>
        </w:rPr>
        <w:t>16</w:t>
      </w:r>
      <w:r w:rsidRPr="00F35942">
        <w:rPr>
          <w:sz w:val="22"/>
          <w:szCs w:val="22"/>
        </w:rPr>
        <w:t>, 124060 (2021).</w:t>
      </w:r>
    </w:p>
    <w:p w14:paraId="67DD4854" w14:textId="77777777" w:rsidR="00F263CE" w:rsidRPr="00F35942" w:rsidRDefault="00F263CE" w:rsidP="00F263CE">
      <w:pPr>
        <w:pStyle w:val="Bibliography"/>
        <w:rPr>
          <w:sz w:val="22"/>
          <w:szCs w:val="22"/>
        </w:rPr>
      </w:pPr>
      <w:r w:rsidRPr="00F35942">
        <w:rPr>
          <w:sz w:val="22"/>
          <w:szCs w:val="22"/>
        </w:rPr>
        <w:t>71.</w:t>
      </w:r>
      <w:r w:rsidRPr="00F35942">
        <w:rPr>
          <w:sz w:val="22"/>
          <w:szCs w:val="22"/>
        </w:rPr>
        <w:tab/>
        <w:t xml:space="preserve">Park, H. &amp; Baldick, R. Optimal capacity planning of generation system integrating uncertain solar and wind energy with seasonal variability. </w:t>
      </w:r>
      <w:r w:rsidRPr="00F35942">
        <w:rPr>
          <w:i/>
          <w:iCs/>
          <w:sz w:val="22"/>
          <w:szCs w:val="22"/>
        </w:rPr>
        <w:t>Electric Power Systems Research</w:t>
      </w:r>
      <w:r w:rsidRPr="00F35942">
        <w:rPr>
          <w:sz w:val="22"/>
          <w:szCs w:val="22"/>
        </w:rPr>
        <w:t xml:space="preserve"> </w:t>
      </w:r>
      <w:r w:rsidRPr="00F35942">
        <w:rPr>
          <w:b/>
          <w:bCs/>
          <w:sz w:val="22"/>
          <w:szCs w:val="22"/>
        </w:rPr>
        <w:t>180</w:t>
      </w:r>
      <w:r w:rsidRPr="00F35942">
        <w:rPr>
          <w:sz w:val="22"/>
          <w:szCs w:val="22"/>
        </w:rPr>
        <w:t>, 106072 (2020).</w:t>
      </w:r>
    </w:p>
    <w:p w14:paraId="2F2CB55A" w14:textId="77777777" w:rsidR="00F263CE" w:rsidRPr="00F35942" w:rsidRDefault="00F263CE" w:rsidP="00F263CE">
      <w:pPr>
        <w:pStyle w:val="Bibliography"/>
        <w:rPr>
          <w:sz w:val="22"/>
          <w:szCs w:val="22"/>
        </w:rPr>
      </w:pPr>
      <w:r w:rsidRPr="00F35942">
        <w:rPr>
          <w:sz w:val="22"/>
          <w:szCs w:val="22"/>
        </w:rPr>
        <w:t>72.</w:t>
      </w:r>
      <w:r w:rsidRPr="00F35942">
        <w:rPr>
          <w:sz w:val="22"/>
          <w:szCs w:val="22"/>
        </w:rPr>
        <w:tab/>
        <w:t xml:space="preserve">Wessel, J., Kern, J. D., Voisin, N., Oikonomou, K. &amp; Haas, J. Technology Pathways Could Help Drive the U.S. West Coast Grid’s Exposure to Hydrometeorological Uncertainty. </w:t>
      </w:r>
      <w:r w:rsidRPr="00F35942">
        <w:rPr>
          <w:i/>
          <w:iCs/>
          <w:sz w:val="22"/>
          <w:szCs w:val="22"/>
        </w:rPr>
        <w:t>Earth’s Future</w:t>
      </w:r>
      <w:r w:rsidRPr="00F35942">
        <w:rPr>
          <w:sz w:val="22"/>
          <w:szCs w:val="22"/>
        </w:rPr>
        <w:t xml:space="preserve"> </w:t>
      </w:r>
      <w:r w:rsidRPr="00F35942">
        <w:rPr>
          <w:b/>
          <w:bCs/>
          <w:sz w:val="22"/>
          <w:szCs w:val="22"/>
        </w:rPr>
        <w:t>10</w:t>
      </w:r>
      <w:r w:rsidRPr="00F35942">
        <w:rPr>
          <w:sz w:val="22"/>
          <w:szCs w:val="22"/>
        </w:rPr>
        <w:t>, e2021EF002187 (2022).</w:t>
      </w:r>
    </w:p>
    <w:p w14:paraId="61361AAE" w14:textId="77777777" w:rsidR="00F263CE" w:rsidRPr="00F35942" w:rsidRDefault="00F263CE" w:rsidP="00F263CE">
      <w:pPr>
        <w:pStyle w:val="Bibliography"/>
        <w:rPr>
          <w:sz w:val="22"/>
          <w:szCs w:val="22"/>
        </w:rPr>
      </w:pPr>
      <w:r w:rsidRPr="00F35942">
        <w:rPr>
          <w:sz w:val="22"/>
          <w:szCs w:val="22"/>
        </w:rPr>
        <w:t>73.</w:t>
      </w:r>
      <w:r w:rsidRPr="00F35942">
        <w:rPr>
          <w:sz w:val="22"/>
          <w:szCs w:val="22"/>
        </w:rPr>
        <w:tab/>
        <w:t xml:space="preserve">Bistline, J. E. &amp; Weyant, J. P. Electric sector investments under technological and policy-related uncertainties: a stochastic programming approach. </w:t>
      </w:r>
      <w:r w:rsidRPr="00F35942">
        <w:rPr>
          <w:i/>
          <w:iCs/>
          <w:sz w:val="22"/>
          <w:szCs w:val="22"/>
        </w:rPr>
        <w:t>Climatic Change</w:t>
      </w:r>
      <w:r w:rsidRPr="00F35942">
        <w:rPr>
          <w:sz w:val="22"/>
          <w:szCs w:val="22"/>
        </w:rPr>
        <w:t xml:space="preserve"> </w:t>
      </w:r>
      <w:r w:rsidRPr="00F35942">
        <w:rPr>
          <w:b/>
          <w:bCs/>
          <w:sz w:val="22"/>
          <w:szCs w:val="22"/>
        </w:rPr>
        <w:t>121</w:t>
      </w:r>
      <w:r w:rsidRPr="00F35942">
        <w:rPr>
          <w:sz w:val="22"/>
          <w:szCs w:val="22"/>
        </w:rPr>
        <w:t>, 143–160 (2013).</w:t>
      </w:r>
    </w:p>
    <w:p w14:paraId="73AA6F02" w14:textId="77777777" w:rsidR="00F263CE" w:rsidRPr="00F35942" w:rsidRDefault="00F263CE" w:rsidP="00F263CE">
      <w:pPr>
        <w:pStyle w:val="Bibliography"/>
        <w:rPr>
          <w:sz w:val="22"/>
          <w:szCs w:val="22"/>
        </w:rPr>
      </w:pPr>
      <w:r w:rsidRPr="00F35942">
        <w:rPr>
          <w:sz w:val="22"/>
          <w:szCs w:val="22"/>
        </w:rPr>
        <w:lastRenderedPageBreak/>
        <w:t>74.</w:t>
      </w:r>
      <w:r w:rsidRPr="00F35942">
        <w:rPr>
          <w:sz w:val="22"/>
          <w:szCs w:val="22"/>
        </w:rPr>
        <w:tab/>
        <w:t xml:space="preserve">Höltinger, S., Salak, B., Schauppenlehner, T., Scherhaufer, P. &amp; Schmidt, J. Austria’s wind energy potential – A participatory modeling approach to assess socio-political and market acceptance. </w:t>
      </w:r>
      <w:r w:rsidRPr="00F35942">
        <w:rPr>
          <w:i/>
          <w:iCs/>
          <w:sz w:val="22"/>
          <w:szCs w:val="22"/>
        </w:rPr>
        <w:t>Energy Policy</w:t>
      </w:r>
      <w:r w:rsidRPr="00F35942">
        <w:rPr>
          <w:sz w:val="22"/>
          <w:szCs w:val="22"/>
        </w:rPr>
        <w:t xml:space="preserve"> </w:t>
      </w:r>
      <w:r w:rsidRPr="00F35942">
        <w:rPr>
          <w:b/>
          <w:bCs/>
          <w:sz w:val="22"/>
          <w:szCs w:val="22"/>
        </w:rPr>
        <w:t>98</w:t>
      </w:r>
      <w:r w:rsidRPr="00F35942">
        <w:rPr>
          <w:sz w:val="22"/>
          <w:szCs w:val="22"/>
        </w:rPr>
        <w:t>, 49–61 (2016).</w:t>
      </w:r>
    </w:p>
    <w:p w14:paraId="6C718BD9" w14:textId="77777777" w:rsidR="00F263CE" w:rsidRPr="00F35942" w:rsidRDefault="00F263CE" w:rsidP="00F263CE">
      <w:pPr>
        <w:pStyle w:val="Bibliography"/>
        <w:rPr>
          <w:sz w:val="22"/>
          <w:szCs w:val="22"/>
        </w:rPr>
      </w:pPr>
      <w:r w:rsidRPr="00F35942">
        <w:rPr>
          <w:sz w:val="22"/>
          <w:szCs w:val="22"/>
        </w:rPr>
        <w:t>75.</w:t>
      </w:r>
      <w:r w:rsidRPr="00F35942">
        <w:rPr>
          <w:sz w:val="22"/>
          <w:szCs w:val="22"/>
        </w:rPr>
        <w:tab/>
        <w:t xml:space="preserve">Sasse, J.-P. &amp; Trutnevyte, E. Regional impacts of electricity system transition in Central Europe until 2035. </w:t>
      </w:r>
      <w:r w:rsidRPr="00F35942">
        <w:rPr>
          <w:i/>
          <w:iCs/>
          <w:sz w:val="22"/>
          <w:szCs w:val="22"/>
        </w:rPr>
        <w:t>Nat Commun</w:t>
      </w:r>
      <w:r w:rsidRPr="00F35942">
        <w:rPr>
          <w:sz w:val="22"/>
          <w:szCs w:val="22"/>
        </w:rPr>
        <w:t xml:space="preserve"> </w:t>
      </w:r>
      <w:r w:rsidRPr="00F35942">
        <w:rPr>
          <w:b/>
          <w:bCs/>
          <w:sz w:val="22"/>
          <w:szCs w:val="22"/>
        </w:rPr>
        <w:t>11</w:t>
      </w:r>
      <w:r w:rsidRPr="00F35942">
        <w:rPr>
          <w:sz w:val="22"/>
          <w:szCs w:val="22"/>
        </w:rPr>
        <w:t>, 4972 (2020).</w:t>
      </w:r>
    </w:p>
    <w:p w14:paraId="5B0EE1DE" w14:textId="77777777" w:rsidR="00F263CE" w:rsidRPr="00F35942" w:rsidRDefault="00F263CE" w:rsidP="00F263CE">
      <w:pPr>
        <w:pStyle w:val="Bibliography"/>
        <w:rPr>
          <w:sz w:val="22"/>
          <w:szCs w:val="22"/>
        </w:rPr>
      </w:pPr>
      <w:r w:rsidRPr="00F35942">
        <w:rPr>
          <w:sz w:val="22"/>
          <w:szCs w:val="22"/>
        </w:rPr>
        <w:t>76.</w:t>
      </w:r>
      <w:r w:rsidRPr="00F35942">
        <w:rPr>
          <w:sz w:val="22"/>
          <w:szCs w:val="22"/>
        </w:rPr>
        <w:tab/>
        <w:t xml:space="preserve">Bankes, S. Exploratory Modeling for Policy Analysis. </w:t>
      </w:r>
      <w:r w:rsidRPr="00F35942">
        <w:rPr>
          <w:i/>
          <w:iCs/>
          <w:sz w:val="22"/>
          <w:szCs w:val="22"/>
        </w:rPr>
        <w:t>Operations Research</w:t>
      </w:r>
      <w:r w:rsidRPr="00F35942">
        <w:rPr>
          <w:sz w:val="22"/>
          <w:szCs w:val="22"/>
        </w:rPr>
        <w:t xml:space="preserve"> </w:t>
      </w:r>
      <w:r w:rsidRPr="00F35942">
        <w:rPr>
          <w:b/>
          <w:bCs/>
          <w:sz w:val="22"/>
          <w:szCs w:val="22"/>
        </w:rPr>
        <w:t>41</w:t>
      </w:r>
      <w:r w:rsidRPr="00F35942">
        <w:rPr>
          <w:sz w:val="22"/>
          <w:szCs w:val="22"/>
        </w:rPr>
        <w:t>, 435–449 (1993).</w:t>
      </w:r>
    </w:p>
    <w:p w14:paraId="64FBD9FD" w14:textId="77777777" w:rsidR="00F263CE" w:rsidRPr="00F35942" w:rsidRDefault="00F263CE" w:rsidP="00F263CE">
      <w:pPr>
        <w:pStyle w:val="Bibliography"/>
        <w:rPr>
          <w:sz w:val="22"/>
          <w:szCs w:val="22"/>
        </w:rPr>
      </w:pPr>
      <w:r w:rsidRPr="00F35942">
        <w:rPr>
          <w:sz w:val="22"/>
          <w:szCs w:val="22"/>
        </w:rPr>
        <w:t>77.</w:t>
      </w:r>
      <w:r w:rsidRPr="00F35942">
        <w:rPr>
          <w:sz w:val="22"/>
          <w:szCs w:val="22"/>
        </w:rPr>
        <w:tab/>
        <w:t xml:space="preserve">Caglayan, D. G. </w:t>
      </w:r>
      <w:r w:rsidRPr="00F35942">
        <w:rPr>
          <w:i/>
          <w:iCs/>
          <w:sz w:val="22"/>
          <w:szCs w:val="22"/>
        </w:rPr>
        <w:t>et al.</w:t>
      </w:r>
      <w:r w:rsidRPr="00F35942">
        <w:rPr>
          <w:sz w:val="22"/>
          <w:szCs w:val="22"/>
        </w:rPr>
        <w:t xml:space="preserve"> The techno-economic potential of offshore wind energy with optimized future turbine designs in Europe. </w:t>
      </w:r>
      <w:r w:rsidRPr="00F35942">
        <w:rPr>
          <w:i/>
          <w:iCs/>
          <w:sz w:val="22"/>
          <w:szCs w:val="22"/>
        </w:rPr>
        <w:t>Applied Energy</w:t>
      </w:r>
      <w:r w:rsidRPr="00F35942">
        <w:rPr>
          <w:sz w:val="22"/>
          <w:szCs w:val="22"/>
        </w:rPr>
        <w:t xml:space="preserve"> </w:t>
      </w:r>
      <w:r w:rsidRPr="00F35942">
        <w:rPr>
          <w:b/>
          <w:bCs/>
          <w:sz w:val="22"/>
          <w:szCs w:val="22"/>
        </w:rPr>
        <w:t>255</w:t>
      </w:r>
      <w:r w:rsidRPr="00F35942">
        <w:rPr>
          <w:sz w:val="22"/>
          <w:szCs w:val="22"/>
        </w:rPr>
        <w:t>, 113794 (2019).</w:t>
      </w:r>
    </w:p>
    <w:p w14:paraId="2CE69EAC" w14:textId="77777777" w:rsidR="00F263CE" w:rsidRPr="00F35942" w:rsidRDefault="00F263CE" w:rsidP="00F263CE">
      <w:pPr>
        <w:pStyle w:val="Bibliography"/>
        <w:rPr>
          <w:sz w:val="22"/>
          <w:szCs w:val="22"/>
        </w:rPr>
      </w:pPr>
      <w:r w:rsidRPr="00F35942">
        <w:rPr>
          <w:sz w:val="22"/>
          <w:szCs w:val="22"/>
        </w:rPr>
        <w:t>78.</w:t>
      </w:r>
      <w:r w:rsidRPr="00F35942">
        <w:rPr>
          <w:sz w:val="22"/>
          <w:szCs w:val="22"/>
        </w:rPr>
        <w:tab/>
        <w:t xml:space="preserve">Chowdhury, A. F. M. K., Wessel, J., Wild, T., Lamontagne, J. &amp; Kanyako, F. Exploring sustainable electricity system development pathways in South America’s MERCOSUR sub-region. </w:t>
      </w:r>
      <w:r w:rsidRPr="00F35942">
        <w:rPr>
          <w:i/>
          <w:iCs/>
          <w:sz w:val="22"/>
          <w:szCs w:val="22"/>
        </w:rPr>
        <w:t>Energy Strategy Reviews</w:t>
      </w:r>
      <w:r w:rsidRPr="00F35942">
        <w:rPr>
          <w:sz w:val="22"/>
          <w:szCs w:val="22"/>
        </w:rPr>
        <w:t xml:space="preserve"> </w:t>
      </w:r>
      <w:r w:rsidRPr="00F35942">
        <w:rPr>
          <w:b/>
          <w:bCs/>
          <w:sz w:val="22"/>
          <w:szCs w:val="22"/>
        </w:rPr>
        <w:t>49</w:t>
      </w:r>
      <w:r w:rsidRPr="00F35942">
        <w:rPr>
          <w:sz w:val="22"/>
          <w:szCs w:val="22"/>
        </w:rPr>
        <w:t>, 101150 (2023).</w:t>
      </w:r>
    </w:p>
    <w:p w14:paraId="2661E535" w14:textId="77777777" w:rsidR="00F263CE" w:rsidRPr="00F35942" w:rsidRDefault="00F263CE" w:rsidP="00F263CE">
      <w:pPr>
        <w:pStyle w:val="Bibliography"/>
        <w:rPr>
          <w:sz w:val="22"/>
          <w:szCs w:val="22"/>
        </w:rPr>
      </w:pPr>
      <w:r w:rsidRPr="00F35942">
        <w:rPr>
          <w:sz w:val="22"/>
          <w:szCs w:val="22"/>
        </w:rPr>
        <w:t>79.</w:t>
      </w:r>
      <w:r w:rsidRPr="00F35942">
        <w:rPr>
          <w:sz w:val="22"/>
          <w:szCs w:val="22"/>
        </w:rPr>
        <w:tab/>
        <w:t>Shirizadeh, B., Perrier, Q. &amp; Quirion, P. How Sensitive are Optimal Fully Renewable Power Systems to Technology Cost Uncertainty? SSRN Scholarly Paper at https://doi.org/10.2139/ssrn.3592447 (2020).</w:t>
      </w:r>
    </w:p>
    <w:p w14:paraId="14A2E8FD" w14:textId="77777777" w:rsidR="00F263CE" w:rsidRPr="00F35942" w:rsidRDefault="00F263CE" w:rsidP="00F263CE">
      <w:pPr>
        <w:pStyle w:val="Bibliography"/>
        <w:rPr>
          <w:sz w:val="22"/>
          <w:szCs w:val="22"/>
        </w:rPr>
      </w:pPr>
      <w:r w:rsidRPr="00F35942">
        <w:rPr>
          <w:sz w:val="22"/>
          <w:szCs w:val="22"/>
        </w:rPr>
        <w:t>80.</w:t>
      </w:r>
      <w:r w:rsidRPr="00F35942">
        <w:rPr>
          <w:sz w:val="22"/>
          <w:szCs w:val="22"/>
        </w:rPr>
        <w:tab/>
        <w:t xml:space="preserve">Gonzalez-Salazar, M. &amp; Poganietz, W. R. Evaluating the complementarity of solar, wind and hydropower to mitigate the impact of El Niño Southern Oscillation in Latin America. </w:t>
      </w:r>
      <w:r w:rsidRPr="00F35942">
        <w:rPr>
          <w:i/>
          <w:iCs/>
          <w:sz w:val="22"/>
          <w:szCs w:val="22"/>
        </w:rPr>
        <w:t>Renewable Energy</w:t>
      </w:r>
      <w:r w:rsidRPr="00F35942">
        <w:rPr>
          <w:sz w:val="22"/>
          <w:szCs w:val="22"/>
        </w:rPr>
        <w:t xml:space="preserve"> </w:t>
      </w:r>
      <w:r w:rsidRPr="00F35942">
        <w:rPr>
          <w:b/>
          <w:bCs/>
          <w:sz w:val="22"/>
          <w:szCs w:val="22"/>
        </w:rPr>
        <w:t>174</w:t>
      </w:r>
      <w:r w:rsidRPr="00F35942">
        <w:rPr>
          <w:sz w:val="22"/>
          <w:szCs w:val="22"/>
        </w:rPr>
        <w:t>, 453–467 (2021).</w:t>
      </w:r>
    </w:p>
    <w:p w14:paraId="48D0F75E" w14:textId="77777777" w:rsidR="00F263CE" w:rsidRPr="00F35942" w:rsidRDefault="00F263CE" w:rsidP="00F263CE">
      <w:pPr>
        <w:pStyle w:val="Bibliography"/>
        <w:rPr>
          <w:sz w:val="22"/>
          <w:szCs w:val="22"/>
        </w:rPr>
      </w:pPr>
      <w:r w:rsidRPr="00F35942">
        <w:rPr>
          <w:sz w:val="22"/>
          <w:szCs w:val="22"/>
        </w:rPr>
        <w:t>81.</w:t>
      </w:r>
      <w:r w:rsidRPr="00F35942">
        <w:rPr>
          <w:sz w:val="22"/>
          <w:szCs w:val="22"/>
        </w:rPr>
        <w:tab/>
        <w:t xml:space="preserve">Nelson, J. </w:t>
      </w:r>
      <w:r w:rsidRPr="00F35942">
        <w:rPr>
          <w:i/>
          <w:iCs/>
          <w:sz w:val="22"/>
          <w:szCs w:val="22"/>
        </w:rPr>
        <w:t>et al.</w:t>
      </w:r>
      <w:r w:rsidRPr="00F35942">
        <w:rPr>
          <w:sz w:val="22"/>
          <w:szCs w:val="22"/>
        </w:rPr>
        <w:t xml:space="preserve"> High-resolution modeling of the western North American power system demonstrates low-cost and low-carbon futures. </w:t>
      </w:r>
      <w:r w:rsidRPr="00F35942">
        <w:rPr>
          <w:i/>
          <w:iCs/>
          <w:sz w:val="22"/>
          <w:szCs w:val="22"/>
        </w:rPr>
        <w:t>Energy Policy</w:t>
      </w:r>
      <w:r w:rsidRPr="00F35942">
        <w:rPr>
          <w:sz w:val="22"/>
          <w:szCs w:val="22"/>
        </w:rPr>
        <w:t xml:space="preserve"> </w:t>
      </w:r>
      <w:r w:rsidRPr="00F35942">
        <w:rPr>
          <w:b/>
          <w:bCs/>
          <w:sz w:val="22"/>
          <w:szCs w:val="22"/>
        </w:rPr>
        <w:t>43</w:t>
      </w:r>
      <w:r w:rsidRPr="00F35942">
        <w:rPr>
          <w:sz w:val="22"/>
          <w:szCs w:val="22"/>
        </w:rPr>
        <w:t>, 436–447 (2012).</w:t>
      </w:r>
    </w:p>
    <w:p w14:paraId="13AEB99A" w14:textId="77777777" w:rsidR="00F263CE" w:rsidRPr="00F35942" w:rsidRDefault="00F263CE" w:rsidP="00F263CE">
      <w:pPr>
        <w:pStyle w:val="Bibliography"/>
        <w:rPr>
          <w:sz w:val="22"/>
          <w:szCs w:val="22"/>
        </w:rPr>
      </w:pPr>
      <w:r w:rsidRPr="00F35942">
        <w:rPr>
          <w:sz w:val="22"/>
          <w:szCs w:val="22"/>
        </w:rPr>
        <w:t>82.</w:t>
      </w:r>
      <w:r w:rsidRPr="00F35942">
        <w:rPr>
          <w:sz w:val="22"/>
          <w:szCs w:val="22"/>
        </w:rPr>
        <w:tab/>
        <w:t xml:space="preserve">Moret, S., Bierlaire, M. &amp; Maréchal, F. Strategic Energy Planning under Uncertainty: </w:t>
      </w:r>
      <w:proofErr w:type="gramStart"/>
      <w:r w:rsidRPr="00F35942">
        <w:rPr>
          <w:sz w:val="22"/>
          <w:szCs w:val="22"/>
        </w:rPr>
        <w:t>a</w:t>
      </w:r>
      <w:proofErr w:type="gramEnd"/>
      <w:r w:rsidRPr="00F35942">
        <w:rPr>
          <w:sz w:val="22"/>
          <w:szCs w:val="22"/>
        </w:rPr>
        <w:t xml:space="preserve"> Mixed-Integer Linear Programming Modeling Framework for Large-Scale Energy Systems. in </w:t>
      </w:r>
      <w:r w:rsidRPr="00F35942">
        <w:rPr>
          <w:i/>
          <w:iCs/>
          <w:sz w:val="22"/>
          <w:szCs w:val="22"/>
        </w:rPr>
        <w:t>Computer Aided Chemical Engineering</w:t>
      </w:r>
      <w:r w:rsidRPr="00F35942">
        <w:rPr>
          <w:sz w:val="22"/>
          <w:szCs w:val="22"/>
        </w:rPr>
        <w:t xml:space="preserve"> (eds. Kravanja, Z. &amp; Bogataj, M.) vol. 38 1899–1904 (Elsevier, 2016).</w:t>
      </w:r>
    </w:p>
    <w:p w14:paraId="3113045D" w14:textId="77777777" w:rsidR="00F263CE" w:rsidRPr="00F35942" w:rsidRDefault="00F263CE" w:rsidP="00F263CE">
      <w:pPr>
        <w:pStyle w:val="Bibliography"/>
        <w:rPr>
          <w:sz w:val="22"/>
          <w:szCs w:val="22"/>
        </w:rPr>
      </w:pPr>
      <w:r w:rsidRPr="00F35942">
        <w:rPr>
          <w:sz w:val="22"/>
          <w:szCs w:val="22"/>
        </w:rPr>
        <w:t>83.</w:t>
      </w:r>
      <w:r w:rsidRPr="00F35942">
        <w:rPr>
          <w:sz w:val="22"/>
          <w:szCs w:val="22"/>
        </w:rPr>
        <w:tab/>
        <w:t xml:space="preserve">Cole, W. &amp; Frazier, A. W. Impacts of increasing penetration of renewable energy on the operation of the power sector. </w:t>
      </w:r>
      <w:r w:rsidRPr="00F35942">
        <w:rPr>
          <w:i/>
          <w:iCs/>
          <w:sz w:val="22"/>
          <w:szCs w:val="22"/>
        </w:rPr>
        <w:t>The Electricity Journal</w:t>
      </w:r>
      <w:r w:rsidRPr="00F35942">
        <w:rPr>
          <w:sz w:val="22"/>
          <w:szCs w:val="22"/>
        </w:rPr>
        <w:t xml:space="preserve"> </w:t>
      </w:r>
      <w:r w:rsidRPr="00F35942">
        <w:rPr>
          <w:b/>
          <w:bCs/>
          <w:sz w:val="22"/>
          <w:szCs w:val="22"/>
        </w:rPr>
        <w:t>31</w:t>
      </w:r>
      <w:r w:rsidRPr="00F35942">
        <w:rPr>
          <w:sz w:val="22"/>
          <w:szCs w:val="22"/>
        </w:rPr>
        <w:t>, 24–31 (2018).</w:t>
      </w:r>
    </w:p>
    <w:p w14:paraId="419B3F33" w14:textId="77777777" w:rsidR="00F263CE" w:rsidRPr="00F35942" w:rsidRDefault="00F263CE" w:rsidP="00F263CE">
      <w:pPr>
        <w:pStyle w:val="Bibliography"/>
        <w:rPr>
          <w:sz w:val="22"/>
          <w:szCs w:val="22"/>
        </w:rPr>
      </w:pPr>
      <w:r w:rsidRPr="00F35942">
        <w:rPr>
          <w:sz w:val="22"/>
          <w:szCs w:val="22"/>
        </w:rPr>
        <w:t>84.</w:t>
      </w:r>
      <w:r w:rsidRPr="00F35942">
        <w:rPr>
          <w:sz w:val="22"/>
          <w:szCs w:val="22"/>
        </w:rPr>
        <w:tab/>
        <w:t xml:space="preserve">Groves, D. G. </w:t>
      </w:r>
      <w:r w:rsidRPr="00F35942">
        <w:rPr>
          <w:i/>
          <w:iCs/>
          <w:sz w:val="22"/>
          <w:szCs w:val="22"/>
        </w:rPr>
        <w:t>et al.</w:t>
      </w:r>
      <w:r w:rsidRPr="00F35942">
        <w:rPr>
          <w:sz w:val="22"/>
          <w:szCs w:val="22"/>
        </w:rPr>
        <w:t xml:space="preserve"> </w:t>
      </w:r>
      <w:r w:rsidRPr="00F35942">
        <w:rPr>
          <w:i/>
          <w:iCs/>
          <w:sz w:val="22"/>
          <w:szCs w:val="22"/>
        </w:rPr>
        <w:t>The Benefits and Costs of Decarbonizing Costa Rica’s Economy: Informing the Implementation of Costa Rica’s National Decarbonization Plan Under Uncertainty</w:t>
      </w:r>
      <w:r w:rsidRPr="00F35942">
        <w:rPr>
          <w:sz w:val="22"/>
          <w:szCs w:val="22"/>
        </w:rPr>
        <w:t>. https://www.rand.org/pubs/research_reports/RRA633-1.html (2020).</w:t>
      </w:r>
    </w:p>
    <w:p w14:paraId="7BD45214" w14:textId="77777777" w:rsidR="00F263CE" w:rsidRPr="00F35942" w:rsidRDefault="00F263CE" w:rsidP="00F263CE">
      <w:pPr>
        <w:pStyle w:val="Bibliography"/>
        <w:rPr>
          <w:sz w:val="22"/>
          <w:szCs w:val="22"/>
        </w:rPr>
      </w:pPr>
      <w:r w:rsidRPr="00F35942">
        <w:rPr>
          <w:sz w:val="22"/>
          <w:szCs w:val="22"/>
        </w:rPr>
        <w:t>85.</w:t>
      </w:r>
      <w:r w:rsidRPr="00F35942">
        <w:rPr>
          <w:sz w:val="22"/>
          <w:szCs w:val="22"/>
        </w:rPr>
        <w:tab/>
        <w:t xml:space="preserve">Santos Da Silva, S. R. </w:t>
      </w:r>
      <w:r w:rsidRPr="00F35942">
        <w:rPr>
          <w:i/>
          <w:iCs/>
          <w:sz w:val="22"/>
          <w:szCs w:val="22"/>
        </w:rPr>
        <w:t>et al.</w:t>
      </w:r>
      <w:r w:rsidRPr="00F35942">
        <w:rPr>
          <w:sz w:val="22"/>
          <w:szCs w:val="22"/>
        </w:rPr>
        <w:t xml:space="preserve"> The implications of uncertain renewable resource potentials for global wind and solar electricity projections. </w:t>
      </w:r>
      <w:r w:rsidRPr="00F35942">
        <w:rPr>
          <w:i/>
          <w:iCs/>
          <w:sz w:val="22"/>
          <w:szCs w:val="22"/>
        </w:rPr>
        <w:t>Environ. Res. Lett.</w:t>
      </w:r>
      <w:r w:rsidRPr="00F35942">
        <w:rPr>
          <w:sz w:val="22"/>
          <w:szCs w:val="22"/>
        </w:rPr>
        <w:t xml:space="preserve"> </w:t>
      </w:r>
      <w:r w:rsidRPr="00F35942">
        <w:rPr>
          <w:b/>
          <w:bCs/>
          <w:sz w:val="22"/>
          <w:szCs w:val="22"/>
        </w:rPr>
        <w:t>16</w:t>
      </w:r>
      <w:r w:rsidRPr="00F35942">
        <w:rPr>
          <w:sz w:val="22"/>
          <w:szCs w:val="22"/>
        </w:rPr>
        <w:t>, 124060 (2021).</w:t>
      </w:r>
    </w:p>
    <w:p w14:paraId="1B5DBF35" w14:textId="77777777" w:rsidR="00F263CE" w:rsidRPr="00F35942" w:rsidRDefault="00F263CE" w:rsidP="00F263CE">
      <w:pPr>
        <w:pStyle w:val="Bibliography"/>
        <w:rPr>
          <w:sz w:val="22"/>
          <w:szCs w:val="22"/>
        </w:rPr>
      </w:pPr>
      <w:r w:rsidRPr="00F35942">
        <w:rPr>
          <w:sz w:val="22"/>
          <w:szCs w:val="22"/>
        </w:rPr>
        <w:t>86.</w:t>
      </w:r>
      <w:r w:rsidRPr="00F35942">
        <w:rPr>
          <w:sz w:val="22"/>
          <w:szCs w:val="22"/>
        </w:rPr>
        <w:tab/>
        <w:t xml:space="preserve">IEA. </w:t>
      </w:r>
      <w:r w:rsidRPr="00F35942">
        <w:rPr>
          <w:i/>
          <w:iCs/>
          <w:sz w:val="22"/>
          <w:szCs w:val="22"/>
        </w:rPr>
        <w:t>Latin America Energy Outlook 2023</w:t>
      </w:r>
      <w:r w:rsidRPr="00F35942">
        <w:rPr>
          <w:sz w:val="22"/>
          <w:szCs w:val="22"/>
        </w:rPr>
        <w:t>. https://www.oecd-ilibrary.org/energy/latin-america-energy-outlook-2023_fd3a6daa-en (2023) doi:10.1787/fd3a6daa-en.</w:t>
      </w:r>
    </w:p>
    <w:p w14:paraId="767D0421" w14:textId="77777777" w:rsidR="00F263CE" w:rsidRDefault="00F263CE" w:rsidP="00F263CE">
      <w:pPr>
        <w:pStyle w:val="Bibliography"/>
        <w:rPr>
          <w:sz w:val="22"/>
          <w:szCs w:val="22"/>
        </w:rPr>
      </w:pPr>
      <w:r w:rsidRPr="00F35942">
        <w:rPr>
          <w:sz w:val="22"/>
          <w:szCs w:val="22"/>
        </w:rPr>
        <w:t>87.</w:t>
      </w:r>
      <w:r w:rsidRPr="00F35942">
        <w:rPr>
          <w:sz w:val="22"/>
          <w:szCs w:val="22"/>
        </w:rPr>
        <w:tab/>
        <w:t xml:space="preserve">Guerrero-Lemus, R. &amp; Shephard, L. E. </w:t>
      </w:r>
      <w:r w:rsidRPr="00F35942">
        <w:rPr>
          <w:i/>
          <w:iCs/>
          <w:sz w:val="22"/>
          <w:szCs w:val="22"/>
        </w:rPr>
        <w:t>Low-Carbon Energy in Africa and Latin America</w:t>
      </w:r>
      <w:r w:rsidRPr="00F35942">
        <w:rPr>
          <w:sz w:val="22"/>
          <w:szCs w:val="22"/>
        </w:rPr>
        <w:t>. vol. 38 (Springer International Publishing, Cham, 2017).</w:t>
      </w:r>
    </w:p>
    <w:p w14:paraId="19080208" w14:textId="77777777" w:rsidR="00F35942" w:rsidRPr="00F35942" w:rsidRDefault="00F35942" w:rsidP="00F35942"/>
    <w:p w14:paraId="351468D0" w14:textId="77777777" w:rsidR="00F263CE" w:rsidRPr="00F35942" w:rsidRDefault="00F263CE" w:rsidP="00F263CE">
      <w:pPr>
        <w:pStyle w:val="Bibliography"/>
        <w:rPr>
          <w:sz w:val="22"/>
          <w:szCs w:val="22"/>
        </w:rPr>
      </w:pPr>
      <w:r w:rsidRPr="00F35942">
        <w:rPr>
          <w:sz w:val="22"/>
          <w:szCs w:val="22"/>
        </w:rPr>
        <w:lastRenderedPageBreak/>
        <w:t>88.</w:t>
      </w:r>
      <w:r w:rsidRPr="00F35942">
        <w:rPr>
          <w:sz w:val="22"/>
          <w:szCs w:val="22"/>
        </w:rPr>
        <w:tab/>
        <w:t xml:space="preserve">Sabbatella, I. M. Energy Transition and Climate Justice After Paris Agreement: Achievements and New Goals in South America. in </w:t>
      </w:r>
      <w:r w:rsidRPr="00F35942">
        <w:rPr>
          <w:i/>
          <w:iCs/>
          <w:sz w:val="22"/>
          <w:szCs w:val="22"/>
        </w:rPr>
        <w:t>Energy Transitions in Latin America</w:t>
      </w:r>
      <w:r w:rsidRPr="00F35942">
        <w:rPr>
          <w:sz w:val="22"/>
          <w:szCs w:val="22"/>
        </w:rPr>
        <w:t xml:space="preserve"> (eds. Lazaro, L. L. B. &amp; Serrani, E.) 27–41 (Springer International Publishing, Cham, 2023). doi:10.1007/978-3-031-37476-0_2.</w:t>
      </w:r>
    </w:p>
    <w:p w14:paraId="6B05D318" w14:textId="77777777" w:rsidR="00F263CE" w:rsidRPr="00F35942" w:rsidRDefault="00F263CE" w:rsidP="00F263CE">
      <w:pPr>
        <w:pStyle w:val="Bibliography"/>
        <w:rPr>
          <w:sz w:val="22"/>
          <w:szCs w:val="22"/>
        </w:rPr>
      </w:pPr>
      <w:r w:rsidRPr="00F35942">
        <w:rPr>
          <w:sz w:val="22"/>
          <w:szCs w:val="22"/>
        </w:rPr>
        <w:t>89.</w:t>
      </w:r>
      <w:r w:rsidRPr="00F35942">
        <w:rPr>
          <w:sz w:val="22"/>
          <w:szCs w:val="22"/>
        </w:rPr>
        <w:tab/>
        <w:t xml:space="preserve">Santos Da Silva, S. R. </w:t>
      </w:r>
      <w:r w:rsidRPr="00F35942">
        <w:rPr>
          <w:i/>
          <w:iCs/>
          <w:sz w:val="22"/>
          <w:szCs w:val="22"/>
        </w:rPr>
        <w:t>et al.</w:t>
      </w:r>
      <w:r w:rsidRPr="00F35942">
        <w:rPr>
          <w:sz w:val="22"/>
          <w:szCs w:val="22"/>
        </w:rPr>
        <w:t xml:space="preserve"> Power sector investment implications of climate impacts on renewable resources in Latin America and the Caribbean. </w:t>
      </w:r>
      <w:r w:rsidRPr="00F35942">
        <w:rPr>
          <w:i/>
          <w:iCs/>
          <w:sz w:val="22"/>
          <w:szCs w:val="22"/>
        </w:rPr>
        <w:t>Nat Commun</w:t>
      </w:r>
      <w:r w:rsidRPr="00F35942">
        <w:rPr>
          <w:sz w:val="22"/>
          <w:szCs w:val="22"/>
        </w:rPr>
        <w:t xml:space="preserve"> </w:t>
      </w:r>
      <w:r w:rsidRPr="00F35942">
        <w:rPr>
          <w:b/>
          <w:bCs/>
          <w:sz w:val="22"/>
          <w:szCs w:val="22"/>
        </w:rPr>
        <w:t>12</w:t>
      </w:r>
      <w:r w:rsidRPr="00F35942">
        <w:rPr>
          <w:sz w:val="22"/>
          <w:szCs w:val="22"/>
        </w:rPr>
        <w:t>, 1276 (2021).</w:t>
      </w:r>
    </w:p>
    <w:p w14:paraId="59803043" w14:textId="77777777" w:rsidR="00F263CE" w:rsidRPr="00F35942" w:rsidRDefault="00F263CE" w:rsidP="00F263CE">
      <w:pPr>
        <w:pStyle w:val="Bibliography"/>
        <w:rPr>
          <w:sz w:val="22"/>
          <w:szCs w:val="22"/>
        </w:rPr>
      </w:pPr>
      <w:r w:rsidRPr="00F35942">
        <w:rPr>
          <w:sz w:val="22"/>
          <w:szCs w:val="22"/>
        </w:rPr>
        <w:t>90.</w:t>
      </w:r>
      <w:r w:rsidRPr="00F35942">
        <w:rPr>
          <w:sz w:val="22"/>
          <w:szCs w:val="22"/>
        </w:rPr>
        <w:tab/>
        <w:t xml:space="preserve">Burgos, F. </w:t>
      </w:r>
      <w:r w:rsidRPr="00F35942">
        <w:rPr>
          <w:i/>
          <w:iCs/>
          <w:sz w:val="22"/>
          <w:szCs w:val="22"/>
        </w:rPr>
        <w:t>Regional Electricity Cooperation and Integration in the Americas: Potential Environmental, Social and Economic Benefits</w:t>
      </w:r>
      <w:r w:rsidRPr="00F35942">
        <w:rPr>
          <w:sz w:val="22"/>
          <w:szCs w:val="22"/>
        </w:rPr>
        <w:t>. https://www.oas.org/DSD/Documents/RegionalElectricityCooperationandIntegration.pdf (2007).</w:t>
      </w:r>
    </w:p>
    <w:p w14:paraId="25C84D96" w14:textId="77777777" w:rsidR="00F263CE" w:rsidRPr="00F35942" w:rsidRDefault="00F263CE" w:rsidP="00F263CE">
      <w:pPr>
        <w:pStyle w:val="Bibliography"/>
        <w:rPr>
          <w:sz w:val="22"/>
          <w:szCs w:val="22"/>
        </w:rPr>
      </w:pPr>
      <w:r w:rsidRPr="00F35942">
        <w:rPr>
          <w:sz w:val="22"/>
          <w:szCs w:val="22"/>
        </w:rPr>
        <w:t>91.</w:t>
      </w:r>
      <w:r w:rsidRPr="00F35942">
        <w:rPr>
          <w:sz w:val="22"/>
          <w:szCs w:val="22"/>
        </w:rPr>
        <w:tab/>
        <w:t xml:space="preserve">Lembo, C. M. &amp; Eleoterio, B. E. Latin American Experiments in Promoting Green Electricity. in </w:t>
      </w:r>
      <w:r w:rsidRPr="00F35942">
        <w:rPr>
          <w:i/>
          <w:iCs/>
          <w:sz w:val="22"/>
          <w:szCs w:val="22"/>
        </w:rPr>
        <w:t>International Trade in Sustainable Electricity: Regulatory Challenges in International Economic Law</w:t>
      </w:r>
      <w:r w:rsidRPr="00F35942">
        <w:rPr>
          <w:sz w:val="22"/>
          <w:szCs w:val="22"/>
        </w:rPr>
        <w:t xml:space="preserve"> (eds. Espa, I. &amp; Cottier, T.) 169–190 (Cambridge University Press, Cambridge, 2017). doi:10.1017/9781316681275.011.</w:t>
      </w:r>
    </w:p>
    <w:p w14:paraId="105545C4" w14:textId="77777777" w:rsidR="00F263CE" w:rsidRPr="00F35942" w:rsidRDefault="00F263CE" w:rsidP="00F263CE">
      <w:pPr>
        <w:pStyle w:val="Bibliography"/>
        <w:rPr>
          <w:sz w:val="22"/>
          <w:szCs w:val="22"/>
        </w:rPr>
      </w:pPr>
      <w:r w:rsidRPr="00F35942">
        <w:rPr>
          <w:sz w:val="22"/>
          <w:szCs w:val="22"/>
        </w:rPr>
        <w:t>92.</w:t>
      </w:r>
      <w:r w:rsidRPr="00F35942">
        <w:rPr>
          <w:sz w:val="22"/>
          <w:szCs w:val="22"/>
        </w:rPr>
        <w:tab/>
        <w:t xml:space="preserve">IRENA. </w:t>
      </w:r>
      <w:r w:rsidRPr="00F35942">
        <w:rPr>
          <w:i/>
          <w:iCs/>
          <w:sz w:val="22"/>
          <w:szCs w:val="22"/>
        </w:rPr>
        <w:t xml:space="preserve">Scenarios for </w:t>
      </w:r>
      <w:proofErr w:type="gramStart"/>
      <w:r w:rsidRPr="00F35942">
        <w:rPr>
          <w:i/>
          <w:iCs/>
          <w:sz w:val="22"/>
          <w:szCs w:val="22"/>
        </w:rPr>
        <w:t>the Energy</w:t>
      </w:r>
      <w:proofErr w:type="gramEnd"/>
      <w:r w:rsidRPr="00F35942">
        <w:rPr>
          <w:i/>
          <w:iCs/>
          <w:sz w:val="22"/>
          <w:szCs w:val="22"/>
        </w:rPr>
        <w:t xml:space="preserve"> Transition: Experience and Good Practices in Latin America and the Caribbean</w:t>
      </w:r>
      <w:r w:rsidRPr="00F35942">
        <w:rPr>
          <w:sz w:val="22"/>
          <w:szCs w:val="22"/>
        </w:rPr>
        <w:t>. https://www.irena.org/publications/2022/Jul/Scenarios-for-the-Energy-Transition-LAC (2022).</w:t>
      </w:r>
    </w:p>
    <w:p w14:paraId="3262349D" w14:textId="77777777" w:rsidR="00F263CE" w:rsidRPr="00F35942" w:rsidRDefault="00F263CE" w:rsidP="00F263CE">
      <w:pPr>
        <w:pStyle w:val="Bibliography"/>
        <w:rPr>
          <w:sz w:val="22"/>
          <w:szCs w:val="22"/>
        </w:rPr>
      </w:pPr>
      <w:r w:rsidRPr="00F35942">
        <w:rPr>
          <w:sz w:val="22"/>
          <w:szCs w:val="22"/>
        </w:rPr>
        <w:t>93.</w:t>
      </w:r>
      <w:r w:rsidRPr="00F35942">
        <w:rPr>
          <w:sz w:val="22"/>
          <w:szCs w:val="22"/>
        </w:rPr>
        <w:tab/>
        <w:t xml:space="preserve">MERCOSUR. MERCOSUR in brief. </w:t>
      </w:r>
      <w:r w:rsidRPr="00F35942">
        <w:rPr>
          <w:i/>
          <w:iCs/>
          <w:sz w:val="22"/>
          <w:szCs w:val="22"/>
        </w:rPr>
        <w:t>MERCOSUR</w:t>
      </w:r>
      <w:r w:rsidRPr="00F35942">
        <w:rPr>
          <w:sz w:val="22"/>
          <w:szCs w:val="22"/>
        </w:rPr>
        <w:t xml:space="preserve"> https://www.mercosur.int/en/about-mercosur/mercosur-in-brief/ (2024).</w:t>
      </w:r>
    </w:p>
    <w:p w14:paraId="7C893EA7" w14:textId="77777777" w:rsidR="00F263CE" w:rsidRPr="00F35942" w:rsidRDefault="00F263CE" w:rsidP="00F263CE">
      <w:pPr>
        <w:pStyle w:val="Bibliography"/>
        <w:rPr>
          <w:sz w:val="22"/>
          <w:szCs w:val="22"/>
        </w:rPr>
      </w:pPr>
      <w:r w:rsidRPr="00F35942">
        <w:rPr>
          <w:sz w:val="22"/>
          <w:szCs w:val="22"/>
        </w:rPr>
        <w:t>94.</w:t>
      </w:r>
      <w:r w:rsidRPr="00F35942">
        <w:rPr>
          <w:sz w:val="22"/>
          <w:szCs w:val="22"/>
        </w:rPr>
        <w:tab/>
        <w:t xml:space="preserve">Ríos, R., Oxilia, V., Ortigoza, E. &amp; Blanco, G. Guidelines for a regional electricity market model in the Southern Cone. in </w:t>
      </w:r>
      <w:r w:rsidRPr="00F35942">
        <w:rPr>
          <w:i/>
          <w:iCs/>
          <w:sz w:val="22"/>
          <w:szCs w:val="22"/>
        </w:rPr>
        <w:t>2017 IEEE URUCON</w:t>
      </w:r>
      <w:r w:rsidRPr="00F35942">
        <w:rPr>
          <w:sz w:val="22"/>
          <w:szCs w:val="22"/>
        </w:rPr>
        <w:t xml:space="preserve"> 1–4 (2017). doi:10.1109/URUCON.2017.8171882.</w:t>
      </w:r>
    </w:p>
    <w:p w14:paraId="383581C8" w14:textId="77777777" w:rsidR="00F263CE" w:rsidRPr="00F35942" w:rsidRDefault="00F263CE" w:rsidP="00F263CE">
      <w:pPr>
        <w:pStyle w:val="Bibliography"/>
        <w:rPr>
          <w:sz w:val="22"/>
          <w:szCs w:val="22"/>
        </w:rPr>
      </w:pPr>
      <w:r w:rsidRPr="00F35942">
        <w:rPr>
          <w:sz w:val="22"/>
          <w:szCs w:val="22"/>
        </w:rPr>
        <w:t>95.</w:t>
      </w:r>
      <w:r w:rsidRPr="00F35942">
        <w:rPr>
          <w:sz w:val="22"/>
          <w:szCs w:val="22"/>
        </w:rPr>
        <w:tab/>
        <w:t xml:space="preserve">IDB. Inter-American Development Bank Annual Report 2021: The Year in Review. </w:t>
      </w:r>
      <w:r w:rsidRPr="00F35942">
        <w:rPr>
          <w:i/>
          <w:iCs/>
          <w:sz w:val="22"/>
          <w:szCs w:val="22"/>
        </w:rPr>
        <w:t>IDB Publications</w:t>
      </w:r>
      <w:r w:rsidRPr="00F35942">
        <w:rPr>
          <w:sz w:val="22"/>
          <w:szCs w:val="22"/>
        </w:rPr>
        <w:t xml:space="preserve"> (2022) doi:10.18235/0004187.</w:t>
      </w:r>
    </w:p>
    <w:p w14:paraId="77C0ABE5" w14:textId="77777777" w:rsidR="00F263CE" w:rsidRPr="00F35942" w:rsidRDefault="00F263CE" w:rsidP="00F263CE">
      <w:pPr>
        <w:pStyle w:val="Bibliography"/>
        <w:rPr>
          <w:sz w:val="22"/>
          <w:szCs w:val="22"/>
        </w:rPr>
      </w:pPr>
      <w:r w:rsidRPr="00F35942">
        <w:rPr>
          <w:sz w:val="22"/>
          <w:szCs w:val="22"/>
        </w:rPr>
        <w:t>96.</w:t>
      </w:r>
      <w:r w:rsidRPr="00F35942">
        <w:rPr>
          <w:sz w:val="22"/>
          <w:szCs w:val="22"/>
        </w:rPr>
        <w:tab/>
        <w:t xml:space="preserve">Elizondo Azuela, G. </w:t>
      </w:r>
      <w:r w:rsidRPr="00F35942">
        <w:rPr>
          <w:i/>
          <w:iCs/>
          <w:sz w:val="22"/>
          <w:szCs w:val="22"/>
        </w:rPr>
        <w:t>et al.</w:t>
      </w:r>
      <w:r w:rsidRPr="00F35942">
        <w:rPr>
          <w:sz w:val="22"/>
          <w:szCs w:val="22"/>
        </w:rPr>
        <w:t xml:space="preserve"> </w:t>
      </w:r>
      <w:r w:rsidRPr="00F35942">
        <w:rPr>
          <w:i/>
          <w:iCs/>
          <w:sz w:val="22"/>
          <w:szCs w:val="22"/>
        </w:rPr>
        <w:t>Energy Markets in Latin America: Emerging Disruptions and the Next Frontier</w:t>
      </w:r>
      <w:r w:rsidRPr="00F35942">
        <w:rPr>
          <w:sz w:val="22"/>
          <w:szCs w:val="22"/>
        </w:rPr>
        <w:t>. https://documents.worldbank.org/pt/publication/documents-reports/documentdetail/261321529384235010/Overview (2017).</w:t>
      </w:r>
    </w:p>
    <w:p w14:paraId="71852984" w14:textId="0AC63737" w:rsidR="00F263CE" w:rsidRPr="00F35942" w:rsidRDefault="00F263CE" w:rsidP="0052110D">
      <w:pPr>
        <w:pStyle w:val="Bibliography"/>
        <w:rPr>
          <w:sz w:val="22"/>
          <w:szCs w:val="22"/>
        </w:rPr>
      </w:pPr>
      <w:r w:rsidRPr="00F35942">
        <w:rPr>
          <w:sz w:val="22"/>
          <w:szCs w:val="22"/>
        </w:rPr>
        <w:t>97.</w:t>
      </w:r>
      <w:r w:rsidRPr="00F35942">
        <w:rPr>
          <w:sz w:val="22"/>
          <w:szCs w:val="22"/>
        </w:rPr>
        <w:tab/>
        <w:t xml:space="preserve">NREL. </w:t>
      </w:r>
      <w:r w:rsidRPr="00F35942">
        <w:rPr>
          <w:i/>
          <w:iCs/>
          <w:sz w:val="22"/>
          <w:szCs w:val="22"/>
        </w:rPr>
        <w:t>2019 Annual Technology Baseline</w:t>
      </w:r>
      <w:r w:rsidRPr="00F35942">
        <w:rPr>
          <w:sz w:val="22"/>
          <w:szCs w:val="22"/>
        </w:rPr>
        <w:t>. https://atb-archive.nrel.gov/electricity/2019/about.html (2019).</w:t>
      </w:r>
    </w:p>
    <w:sectPr w:rsidR="00F263CE" w:rsidRPr="00F35942" w:rsidSect="00F263CE">
      <w:footerReference w:type="default" r:id="rId35"/>
      <w:pgSz w:w="12240" w:h="15840" w:code="1"/>
      <w:pgMar w:top="1440" w:right="1440" w:bottom="1440" w:left="144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455A2C" w14:textId="77777777" w:rsidR="00682100" w:rsidRDefault="00682100" w:rsidP="00F263CE">
      <w:pPr>
        <w:spacing w:before="0" w:after="0"/>
      </w:pPr>
      <w:r>
        <w:separator/>
      </w:r>
    </w:p>
  </w:endnote>
  <w:endnote w:type="continuationSeparator" w:id="0">
    <w:p w14:paraId="46548902" w14:textId="77777777" w:rsidR="00682100" w:rsidRDefault="00682100" w:rsidP="00F263CE">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3028064"/>
      <w:docPartObj>
        <w:docPartGallery w:val="Page Numbers (Bottom of Page)"/>
        <w:docPartUnique/>
      </w:docPartObj>
    </w:sdtPr>
    <w:sdtEndPr>
      <w:rPr>
        <w:noProof/>
      </w:rPr>
    </w:sdtEndPr>
    <w:sdtContent>
      <w:p w14:paraId="5F4C33EE" w14:textId="1653841C" w:rsidR="00F263CE" w:rsidRDefault="00F263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B056799" w14:textId="77777777" w:rsidR="00F263CE" w:rsidRDefault="00F263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81CF17" w14:textId="77777777" w:rsidR="00682100" w:rsidRDefault="00682100" w:rsidP="00F263CE">
      <w:pPr>
        <w:spacing w:before="0" w:after="0"/>
      </w:pPr>
      <w:r>
        <w:separator/>
      </w:r>
    </w:p>
  </w:footnote>
  <w:footnote w:type="continuationSeparator" w:id="0">
    <w:p w14:paraId="0F65A597" w14:textId="77777777" w:rsidR="00682100" w:rsidRDefault="00682100" w:rsidP="00F263CE">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30678"/>
    <w:multiLevelType w:val="multilevel"/>
    <w:tmpl w:val="6AAA709C"/>
    <w:styleLink w:val="Style1"/>
    <w:lvl w:ilvl="0">
      <w:start w:val="1"/>
      <w:numFmt w:val="decimal"/>
      <w:pStyle w:val="Appendix"/>
      <w:lvlText w:val="Text S%1."/>
      <w:lvlJc w:val="left"/>
      <w:pPr>
        <w:tabs>
          <w:tab w:val="num" w:pos="720"/>
        </w:tabs>
        <w:ind w:left="1800" w:hanging="1800"/>
      </w:pPr>
      <w:rPr>
        <w:rFonts w:hint="default"/>
      </w:rPr>
    </w:lvl>
    <w:lvl w:ilvl="1">
      <w:start w:val="1"/>
      <w:numFmt w:val="decimal"/>
      <w:lvlText w:val="%1.%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5A226F"/>
    <w:multiLevelType w:val="hybridMultilevel"/>
    <w:tmpl w:val="7DF0EC0E"/>
    <w:lvl w:ilvl="0" w:tplc="6AB08098">
      <w:start w:val="1"/>
      <w:numFmt w:val="bullet"/>
      <w:lvlText w:val=""/>
      <w:lvlJc w:val="left"/>
      <w:pPr>
        <w:ind w:left="720" w:hanging="360"/>
      </w:pPr>
      <w:rPr>
        <w:rFonts w:ascii="Symbol" w:hAnsi="Symbol"/>
      </w:rPr>
    </w:lvl>
    <w:lvl w:ilvl="1" w:tplc="B296A11C">
      <w:start w:val="1"/>
      <w:numFmt w:val="bullet"/>
      <w:lvlText w:val=""/>
      <w:lvlJc w:val="left"/>
      <w:pPr>
        <w:ind w:left="720" w:hanging="360"/>
      </w:pPr>
      <w:rPr>
        <w:rFonts w:ascii="Symbol" w:hAnsi="Symbol"/>
      </w:rPr>
    </w:lvl>
    <w:lvl w:ilvl="2" w:tplc="4A3083C2">
      <w:start w:val="1"/>
      <w:numFmt w:val="bullet"/>
      <w:lvlText w:val=""/>
      <w:lvlJc w:val="left"/>
      <w:pPr>
        <w:ind w:left="720" w:hanging="360"/>
      </w:pPr>
      <w:rPr>
        <w:rFonts w:ascii="Symbol" w:hAnsi="Symbol"/>
      </w:rPr>
    </w:lvl>
    <w:lvl w:ilvl="3" w:tplc="52644278">
      <w:start w:val="1"/>
      <w:numFmt w:val="bullet"/>
      <w:lvlText w:val=""/>
      <w:lvlJc w:val="left"/>
      <w:pPr>
        <w:ind w:left="720" w:hanging="360"/>
      </w:pPr>
      <w:rPr>
        <w:rFonts w:ascii="Symbol" w:hAnsi="Symbol"/>
      </w:rPr>
    </w:lvl>
    <w:lvl w:ilvl="4" w:tplc="4D123344">
      <w:start w:val="1"/>
      <w:numFmt w:val="bullet"/>
      <w:lvlText w:val=""/>
      <w:lvlJc w:val="left"/>
      <w:pPr>
        <w:ind w:left="720" w:hanging="360"/>
      </w:pPr>
      <w:rPr>
        <w:rFonts w:ascii="Symbol" w:hAnsi="Symbol"/>
      </w:rPr>
    </w:lvl>
    <w:lvl w:ilvl="5" w:tplc="237A6B9C">
      <w:start w:val="1"/>
      <w:numFmt w:val="bullet"/>
      <w:lvlText w:val=""/>
      <w:lvlJc w:val="left"/>
      <w:pPr>
        <w:ind w:left="720" w:hanging="360"/>
      </w:pPr>
      <w:rPr>
        <w:rFonts w:ascii="Symbol" w:hAnsi="Symbol"/>
      </w:rPr>
    </w:lvl>
    <w:lvl w:ilvl="6" w:tplc="BD329700">
      <w:start w:val="1"/>
      <w:numFmt w:val="bullet"/>
      <w:lvlText w:val=""/>
      <w:lvlJc w:val="left"/>
      <w:pPr>
        <w:ind w:left="720" w:hanging="360"/>
      </w:pPr>
      <w:rPr>
        <w:rFonts w:ascii="Symbol" w:hAnsi="Symbol"/>
      </w:rPr>
    </w:lvl>
    <w:lvl w:ilvl="7" w:tplc="688C226A">
      <w:start w:val="1"/>
      <w:numFmt w:val="bullet"/>
      <w:lvlText w:val=""/>
      <w:lvlJc w:val="left"/>
      <w:pPr>
        <w:ind w:left="720" w:hanging="360"/>
      </w:pPr>
      <w:rPr>
        <w:rFonts w:ascii="Symbol" w:hAnsi="Symbol"/>
      </w:rPr>
    </w:lvl>
    <w:lvl w:ilvl="8" w:tplc="8500C5D8">
      <w:start w:val="1"/>
      <w:numFmt w:val="bullet"/>
      <w:lvlText w:val=""/>
      <w:lvlJc w:val="left"/>
      <w:pPr>
        <w:ind w:left="720" w:hanging="360"/>
      </w:pPr>
      <w:rPr>
        <w:rFonts w:ascii="Symbol" w:hAnsi="Symbol"/>
      </w:rPr>
    </w:lvl>
  </w:abstractNum>
  <w:abstractNum w:abstractNumId="2" w15:restartNumberingAfterBreak="0">
    <w:nsid w:val="0E021CFD"/>
    <w:multiLevelType w:val="hybridMultilevel"/>
    <w:tmpl w:val="9C120F8C"/>
    <w:lvl w:ilvl="0" w:tplc="E8385324">
      <w:start w:val="1"/>
      <w:numFmt w:val="bullet"/>
      <w:lvlText w:val=""/>
      <w:lvlJc w:val="left"/>
      <w:pPr>
        <w:ind w:left="720" w:hanging="360"/>
      </w:pPr>
      <w:rPr>
        <w:rFonts w:ascii="Symbol" w:hAnsi="Symbol"/>
      </w:rPr>
    </w:lvl>
    <w:lvl w:ilvl="1" w:tplc="E34807F2">
      <w:start w:val="1"/>
      <w:numFmt w:val="bullet"/>
      <w:lvlText w:val=""/>
      <w:lvlJc w:val="left"/>
      <w:pPr>
        <w:ind w:left="720" w:hanging="360"/>
      </w:pPr>
      <w:rPr>
        <w:rFonts w:ascii="Symbol" w:hAnsi="Symbol"/>
      </w:rPr>
    </w:lvl>
    <w:lvl w:ilvl="2" w:tplc="1D406A4C">
      <w:start w:val="1"/>
      <w:numFmt w:val="bullet"/>
      <w:lvlText w:val=""/>
      <w:lvlJc w:val="left"/>
      <w:pPr>
        <w:ind w:left="720" w:hanging="360"/>
      </w:pPr>
      <w:rPr>
        <w:rFonts w:ascii="Symbol" w:hAnsi="Symbol"/>
      </w:rPr>
    </w:lvl>
    <w:lvl w:ilvl="3" w:tplc="4BC8C912">
      <w:start w:val="1"/>
      <w:numFmt w:val="bullet"/>
      <w:lvlText w:val=""/>
      <w:lvlJc w:val="left"/>
      <w:pPr>
        <w:ind w:left="720" w:hanging="360"/>
      </w:pPr>
      <w:rPr>
        <w:rFonts w:ascii="Symbol" w:hAnsi="Symbol"/>
      </w:rPr>
    </w:lvl>
    <w:lvl w:ilvl="4" w:tplc="749E559C">
      <w:start w:val="1"/>
      <w:numFmt w:val="bullet"/>
      <w:lvlText w:val=""/>
      <w:lvlJc w:val="left"/>
      <w:pPr>
        <w:ind w:left="720" w:hanging="360"/>
      </w:pPr>
      <w:rPr>
        <w:rFonts w:ascii="Symbol" w:hAnsi="Symbol"/>
      </w:rPr>
    </w:lvl>
    <w:lvl w:ilvl="5" w:tplc="B7CCA6A8">
      <w:start w:val="1"/>
      <w:numFmt w:val="bullet"/>
      <w:lvlText w:val=""/>
      <w:lvlJc w:val="left"/>
      <w:pPr>
        <w:ind w:left="720" w:hanging="360"/>
      </w:pPr>
      <w:rPr>
        <w:rFonts w:ascii="Symbol" w:hAnsi="Symbol"/>
      </w:rPr>
    </w:lvl>
    <w:lvl w:ilvl="6" w:tplc="2B6C544E">
      <w:start w:val="1"/>
      <w:numFmt w:val="bullet"/>
      <w:lvlText w:val=""/>
      <w:lvlJc w:val="left"/>
      <w:pPr>
        <w:ind w:left="720" w:hanging="360"/>
      </w:pPr>
      <w:rPr>
        <w:rFonts w:ascii="Symbol" w:hAnsi="Symbol"/>
      </w:rPr>
    </w:lvl>
    <w:lvl w:ilvl="7" w:tplc="CEDEAC14">
      <w:start w:val="1"/>
      <w:numFmt w:val="bullet"/>
      <w:lvlText w:val=""/>
      <w:lvlJc w:val="left"/>
      <w:pPr>
        <w:ind w:left="720" w:hanging="360"/>
      </w:pPr>
      <w:rPr>
        <w:rFonts w:ascii="Symbol" w:hAnsi="Symbol"/>
      </w:rPr>
    </w:lvl>
    <w:lvl w:ilvl="8" w:tplc="08B69524">
      <w:start w:val="1"/>
      <w:numFmt w:val="bullet"/>
      <w:lvlText w:val=""/>
      <w:lvlJc w:val="left"/>
      <w:pPr>
        <w:ind w:left="720" w:hanging="360"/>
      </w:pPr>
      <w:rPr>
        <w:rFonts w:ascii="Symbol" w:hAnsi="Symbol"/>
      </w:rPr>
    </w:lvl>
  </w:abstractNum>
  <w:abstractNum w:abstractNumId="3" w15:restartNumberingAfterBreak="0">
    <w:nsid w:val="0F3466B3"/>
    <w:multiLevelType w:val="hybridMultilevel"/>
    <w:tmpl w:val="42205B1C"/>
    <w:lvl w:ilvl="0" w:tplc="A6B85996">
      <w:start w:val="1"/>
      <w:numFmt w:val="bullet"/>
      <w:lvlText w:val=""/>
      <w:lvlJc w:val="left"/>
      <w:pPr>
        <w:ind w:left="720" w:hanging="360"/>
      </w:pPr>
      <w:rPr>
        <w:rFonts w:ascii="Symbol" w:hAnsi="Symbol"/>
      </w:rPr>
    </w:lvl>
    <w:lvl w:ilvl="1" w:tplc="409AA0B4">
      <w:start w:val="1"/>
      <w:numFmt w:val="bullet"/>
      <w:lvlText w:val=""/>
      <w:lvlJc w:val="left"/>
      <w:pPr>
        <w:ind w:left="720" w:hanging="360"/>
      </w:pPr>
      <w:rPr>
        <w:rFonts w:ascii="Symbol" w:hAnsi="Symbol"/>
      </w:rPr>
    </w:lvl>
    <w:lvl w:ilvl="2" w:tplc="9EEE8EA0">
      <w:start w:val="1"/>
      <w:numFmt w:val="bullet"/>
      <w:lvlText w:val=""/>
      <w:lvlJc w:val="left"/>
      <w:pPr>
        <w:ind w:left="720" w:hanging="360"/>
      </w:pPr>
      <w:rPr>
        <w:rFonts w:ascii="Symbol" w:hAnsi="Symbol"/>
      </w:rPr>
    </w:lvl>
    <w:lvl w:ilvl="3" w:tplc="2202ED80">
      <w:start w:val="1"/>
      <w:numFmt w:val="bullet"/>
      <w:lvlText w:val=""/>
      <w:lvlJc w:val="left"/>
      <w:pPr>
        <w:ind w:left="720" w:hanging="360"/>
      </w:pPr>
      <w:rPr>
        <w:rFonts w:ascii="Symbol" w:hAnsi="Symbol"/>
      </w:rPr>
    </w:lvl>
    <w:lvl w:ilvl="4" w:tplc="D3807780">
      <w:start w:val="1"/>
      <w:numFmt w:val="bullet"/>
      <w:lvlText w:val=""/>
      <w:lvlJc w:val="left"/>
      <w:pPr>
        <w:ind w:left="720" w:hanging="360"/>
      </w:pPr>
      <w:rPr>
        <w:rFonts w:ascii="Symbol" w:hAnsi="Symbol"/>
      </w:rPr>
    </w:lvl>
    <w:lvl w:ilvl="5" w:tplc="C56439AE">
      <w:start w:val="1"/>
      <w:numFmt w:val="bullet"/>
      <w:lvlText w:val=""/>
      <w:lvlJc w:val="left"/>
      <w:pPr>
        <w:ind w:left="720" w:hanging="360"/>
      </w:pPr>
      <w:rPr>
        <w:rFonts w:ascii="Symbol" w:hAnsi="Symbol"/>
      </w:rPr>
    </w:lvl>
    <w:lvl w:ilvl="6" w:tplc="1FF2DEDA">
      <w:start w:val="1"/>
      <w:numFmt w:val="bullet"/>
      <w:lvlText w:val=""/>
      <w:lvlJc w:val="left"/>
      <w:pPr>
        <w:ind w:left="720" w:hanging="360"/>
      </w:pPr>
      <w:rPr>
        <w:rFonts w:ascii="Symbol" w:hAnsi="Symbol"/>
      </w:rPr>
    </w:lvl>
    <w:lvl w:ilvl="7" w:tplc="EC504014">
      <w:start w:val="1"/>
      <w:numFmt w:val="bullet"/>
      <w:lvlText w:val=""/>
      <w:lvlJc w:val="left"/>
      <w:pPr>
        <w:ind w:left="720" w:hanging="360"/>
      </w:pPr>
      <w:rPr>
        <w:rFonts w:ascii="Symbol" w:hAnsi="Symbol"/>
      </w:rPr>
    </w:lvl>
    <w:lvl w:ilvl="8" w:tplc="8C484C94">
      <w:start w:val="1"/>
      <w:numFmt w:val="bullet"/>
      <w:lvlText w:val=""/>
      <w:lvlJc w:val="left"/>
      <w:pPr>
        <w:ind w:left="720" w:hanging="360"/>
      </w:pPr>
      <w:rPr>
        <w:rFonts w:ascii="Symbol" w:hAnsi="Symbol"/>
      </w:rPr>
    </w:lvl>
  </w:abstractNum>
  <w:abstractNum w:abstractNumId="4" w15:restartNumberingAfterBreak="0">
    <w:nsid w:val="17263951"/>
    <w:multiLevelType w:val="multilevel"/>
    <w:tmpl w:val="22C8C1FC"/>
    <w:lvl w:ilvl="0">
      <w:start w:val="1"/>
      <w:numFmt w:val="upperLetter"/>
      <w:lvlText w:val="Appendix %1."/>
      <w:lvlJc w:val="left"/>
      <w:pPr>
        <w:tabs>
          <w:tab w:val="num" w:pos="720"/>
        </w:tabs>
        <w:ind w:left="1800" w:hanging="1800"/>
      </w:pPr>
    </w:lvl>
    <w:lvl w:ilvl="1">
      <w:start w:val="1"/>
      <w:numFmt w:val="decimal"/>
      <w:pStyle w:val="AppendixHeading2"/>
      <w:lvlText w:val="%1.%2."/>
      <w:lvlJc w:val="left"/>
      <w:pPr>
        <w:ind w:left="36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134147"/>
    <w:multiLevelType w:val="hybridMultilevel"/>
    <w:tmpl w:val="0308B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70561C"/>
    <w:multiLevelType w:val="hybridMultilevel"/>
    <w:tmpl w:val="946EC010"/>
    <w:lvl w:ilvl="0" w:tplc="991A225E">
      <w:start w:val="1"/>
      <w:numFmt w:val="bullet"/>
      <w:lvlText w:val=""/>
      <w:lvlJc w:val="left"/>
      <w:pPr>
        <w:ind w:left="720" w:hanging="360"/>
      </w:pPr>
      <w:rPr>
        <w:rFonts w:ascii="Symbol" w:hAnsi="Symbol"/>
      </w:rPr>
    </w:lvl>
    <w:lvl w:ilvl="1" w:tplc="F7563ED2">
      <w:start w:val="1"/>
      <w:numFmt w:val="bullet"/>
      <w:lvlText w:val=""/>
      <w:lvlJc w:val="left"/>
      <w:pPr>
        <w:ind w:left="720" w:hanging="360"/>
      </w:pPr>
      <w:rPr>
        <w:rFonts w:ascii="Symbol" w:hAnsi="Symbol"/>
      </w:rPr>
    </w:lvl>
    <w:lvl w:ilvl="2" w:tplc="7688BB4C">
      <w:start w:val="1"/>
      <w:numFmt w:val="bullet"/>
      <w:lvlText w:val=""/>
      <w:lvlJc w:val="left"/>
      <w:pPr>
        <w:ind w:left="720" w:hanging="360"/>
      </w:pPr>
      <w:rPr>
        <w:rFonts w:ascii="Symbol" w:hAnsi="Symbol"/>
      </w:rPr>
    </w:lvl>
    <w:lvl w:ilvl="3" w:tplc="E9DE7E92">
      <w:start w:val="1"/>
      <w:numFmt w:val="bullet"/>
      <w:lvlText w:val=""/>
      <w:lvlJc w:val="left"/>
      <w:pPr>
        <w:ind w:left="720" w:hanging="360"/>
      </w:pPr>
      <w:rPr>
        <w:rFonts w:ascii="Symbol" w:hAnsi="Symbol"/>
      </w:rPr>
    </w:lvl>
    <w:lvl w:ilvl="4" w:tplc="3D30D744">
      <w:start w:val="1"/>
      <w:numFmt w:val="bullet"/>
      <w:lvlText w:val=""/>
      <w:lvlJc w:val="left"/>
      <w:pPr>
        <w:ind w:left="720" w:hanging="360"/>
      </w:pPr>
      <w:rPr>
        <w:rFonts w:ascii="Symbol" w:hAnsi="Symbol"/>
      </w:rPr>
    </w:lvl>
    <w:lvl w:ilvl="5" w:tplc="FF400844">
      <w:start w:val="1"/>
      <w:numFmt w:val="bullet"/>
      <w:lvlText w:val=""/>
      <w:lvlJc w:val="left"/>
      <w:pPr>
        <w:ind w:left="720" w:hanging="360"/>
      </w:pPr>
      <w:rPr>
        <w:rFonts w:ascii="Symbol" w:hAnsi="Symbol"/>
      </w:rPr>
    </w:lvl>
    <w:lvl w:ilvl="6" w:tplc="7FD20D5A">
      <w:start w:val="1"/>
      <w:numFmt w:val="bullet"/>
      <w:lvlText w:val=""/>
      <w:lvlJc w:val="left"/>
      <w:pPr>
        <w:ind w:left="720" w:hanging="360"/>
      </w:pPr>
      <w:rPr>
        <w:rFonts w:ascii="Symbol" w:hAnsi="Symbol"/>
      </w:rPr>
    </w:lvl>
    <w:lvl w:ilvl="7" w:tplc="74F425A4">
      <w:start w:val="1"/>
      <w:numFmt w:val="bullet"/>
      <w:lvlText w:val=""/>
      <w:lvlJc w:val="left"/>
      <w:pPr>
        <w:ind w:left="720" w:hanging="360"/>
      </w:pPr>
      <w:rPr>
        <w:rFonts w:ascii="Symbol" w:hAnsi="Symbol"/>
      </w:rPr>
    </w:lvl>
    <w:lvl w:ilvl="8" w:tplc="815C1F34">
      <w:start w:val="1"/>
      <w:numFmt w:val="bullet"/>
      <w:lvlText w:val=""/>
      <w:lvlJc w:val="left"/>
      <w:pPr>
        <w:ind w:left="720" w:hanging="360"/>
      </w:pPr>
      <w:rPr>
        <w:rFonts w:ascii="Symbol" w:hAnsi="Symbol"/>
      </w:rPr>
    </w:lvl>
  </w:abstractNum>
  <w:abstractNum w:abstractNumId="7" w15:restartNumberingAfterBreak="0">
    <w:nsid w:val="58C971FB"/>
    <w:multiLevelType w:val="hybridMultilevel"/>
    <w:tmpl w:val="0BCCE1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095FBE"/>
    <w:multiLevelType w:val="hybridMultilevel"/>
    <w:tmpl w:val="7E1ED8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F586123"/>
    <w:multiLevelType w:val="hybridMultilevel"/>
    <w:tmpl w:val="A3187284"/>
    <w:lvl w:ilvl="0" w:tplc="D2B27E8C">
      <w:start w:val="1"/>
      <w:numFmt w:val="bullet"/>
      <w:lvlText w:val=""/>
      <w:lvlJc w:val="left"/>
      <w:pPr>
        <w:ind w:left="720" w:hanging="360"/>
      </w:pPr>
      <w:rPr>
        <w:rFonts w:ascii="Symbol" w:hAnsi="Symbol"/>
      </w:rPr>
    </w:lvl>
    <w:lvl w:ilvl="1" w:tplc="2BAAA1F6">
      <w:start w:val="1"/>
      <w:numFmt w:val="bullet"/>
      <w:lvlText w:val=""/>
      <w:lvlJc w:val="left"/>
      <w:pPr>
        <w:ind w:left="720" w:hanging="360"/>
      </w:pPr>
      <w:rPr>
        <w:rFonts w:ascii="Symbol" w:hAnsi="Symbol"/>
      </w:rPr>
    </w:lvl>
    <w:lvl w:ilvl="2" w:tplc="C48E0A36">
      <w:start w:val="1"/>
      <w:numFmt w:val="bullet"/>
      <w:lvlText w:val=""/>
      <w:lvlJc w:val="left"/>
      <w:pPr>
        <w:ind w:left="720" w:hanging="360"/>
      </w:pPr>
      <w:rPr>
        <w:rFonts w:ascii="Symbol" w:hAnsi="Symbol"/>
      </w:rPr>
    </w:lvl>
    <w:lvl w:ilvl="3" w:tplc="22662D26">
      <w:start w:val="1"/>
      <w:numFmt w:val="bullet"/>
      <w:lvlText w:val=""/>
      <w:lvlJc w:val="left"/>
      <w:pPr>
        <w:ind w:left="720" w:hanging="360"/>
      </w:pPr>
      <w:rPr>
        <w:rFonts w:ascii="Symbol" w:hAnsi="Symbol"/>
      </w:rPr>
    </w:lvl>
    <w:lvl w:ilvl="4" w:tplc="4F9ECE98">
      <w:start w:val="1"/>
      <w:numFmt w:val="bullet"/>
      <w:lvlText w:val=""/>
      <w:lvlJc w:val="left"/>
      <w:pPr>
        <w:ind w:left="720" w:hanging="360"/>
      </w:pPr>
      <w:rPr>
        <w:rFonts w:ascii="Symbol" w:hAnsi="Symbol"/>
      </w:rPr>
    </w:lvl>
    <w:lvl w:ilvl="5" w:tplc="2402BF34">
      <w:start w:val="1"/>
      <w:numFmt w:val="bullet"/>
      <w:lvlText w:val=""/>
      <w:lvlJc w:val="left"/>
      <w:pPr>
        <w:ind w:left="720" w:hanging="360"/>
      </w:pPr>
      <w:rPr>
        <w:rFonts w:ascii="Symbol" w:hAnsi="Symbol"/>
      </w:rPr>
    </w:lvl>
    <w:lvl w:ilvl="6" w:tplc="BA4A2066">
      <w:start w:val="1"/>
      <w:numFmt w:val="bullet"/>
      <w:lvlText w:val=""/>
      <w:lvlJc w:val="left"/>
      <w:pPr>
        <w:ind w:left="720" w:hanging="360"/>
      </w:pPr>
      <w:rPr>
        <w:rFonts w:ascii="Symbol" w:hAnsi="Symbol"/>
      </w:rPr>
    </w:lvl>
    <w:lvl w:ilvl="7" w:tplc="6F7A182A">
      <w:start w:val="1"/>
      <w:numFmt w:val="bullet"/>
      <w:lvlText w:val=""/>
      <w:lvlJc w:val="left"/>
      <w:pPr>
        <w:ind w:left="720" w:hanging="360"/>
      </w:pPr>
      <w:rPr>
        <w:rFonts w:ascii="Symbol" w:hAnsi="Symbol"/>
      </w:rPr>
    </w:lvl>
    <w:lvl w:ilvl="8" w:tplc="8AF2103C">
      <w:start w:val="1"/>
      <w:numFmt w:val="bullet"/>
      <w:lvlText w:val=""/>
      <w:lvlJc w:val="left"/>
      <w:pPr>
        <w:ind w:left="720" w:hanging="360"/>
      </w:pPr>
      <w:rPr>
        <w:rFonts w:ascii="Symbol" w:hAnsi="Symbol"/>
      </w:rPr>
    </w:lvl>
  </w:abstractNum>
  <w:abstractNum w:abstractNumId="10" w15:restartNumberingAfterBreak="0">
    <w:nsid w:val="751B6CFC"/>
    <w:multiLevelType w:val="multilevel"/>
    <w:tmpl w:val="672A3C78"/>
    <w:lvl w:ilvl="0">
      <w:start w:val="1"/>
      <w:numFmt w:val="decimal"/>
      <w:pStyle w:val="Heading1"/>
      <w:lvlText w:val="%1."/>
      <w:lvlJc w:val="left"/>
      <w:pPr>
        <w:ind w:left="720" w:hanging="720"/>
      </w:pPr>
      <w:rPr>
        <w:rFonts w:ascii="Times New Roman" w:hAnsi="Times New Roman" w:hint="default"/>
        <w:b/>
        <w:i w:val="0"/>
        <w:sz w:val="24"/>
        <w:szCs w:val="24"/>
      </w:rPr>
    </w:lvl>
    <w:lvl w:ilvl="1">
      <w:start w:val="1"/>
      <w:numFmt w:val="decimal"/>
      <w:pStyle w:val="Heading2"/>
      <w:lvlText w:val="%1.%2."/>
      <w:lvlJc w:val="left"/>
      <w:pPr>
        <w:ind w:left="1440" w:hanging="720"/>
      </w:pPr>
      <w:rPr>
        <w:sz w:val="24"/>
        <w:szCs w:val="24"/>
      </w:rPr>
    </w:lvl>
    <w:lvl w:ilvl="2">
      <w:start w:val="1"/>
      <w:numFmt w:val="decimal"/>
      <w:pStyle w:val="Heading3"/>
      <w:lvlText w:val="%1.%2.%3."/>
      <w:lvlJc w:val="left"/>
      <w:pPr>
        <w:ind w:left="2160" w:hanging="720"/>
      </w:pPr>
    </w:lvl>
    <w:lvl w:ilvl="3">
      <w:start w:val="1"/>
      <w:numFmt w:val="lowerRoman"/>
      <w:lvlText w:val="%1.%2.%3.%4."/>
      <w:lvlJc w:val="left"/>
      <w:pPr>
        <w:ind w:left="2520" w:hanging="360"/>
      </w:pPr>
      <w:rPr>
        <w:rFonts w:ascii="Times New Roman" w:hAnsi="Times New Roman" w:hint="default"/>
        <w:b/>
        <w:i w:val="0"/>
        <w:sz w:val="24"/>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60B63CE"/>
    <w:multiLevelType w:val="hybridMultilevel"/>
    <w:tmpl w:val="2FAE8D7C"/>
    <w:lvl w:ilvl="0" w:tplc="5AF03548">
      <w:start w:val="1"/>
      <w:numFmt w:val="bullet"/>
      <w:lvlText w:val=""/>
      <w:lvlJc w:val="left"/>
      <w:pPr>
        <w:ind w:left="720" w:hanging="360"/>
      </w:pPr>
      <w:rPr>
        <w:rFonts w:ascii="Symbol" w:hAnsi="Symbol"/>
      </w:rPr>
    </w:lvl>
    <w:lvl w:ilvl="1" w:tplc="6F023036">
      <w:start w:val="1"/>
      <w:numFmt w:val="bullet"/>
      <w:lvlText w:val=""/>
      <w:lvlJc w:val="left"/>
      <w:pPr>
        <w:ind w:left="720" w:hanging="360"/>
      </w:pPr>
      <w:rPr>
        <w:rFonts w:ascii="Symbol" w:hAnsi="Symbol"/>
      </w:rPr>
    </w:lvl>
    <w:lvl w:ilvl="2" w:tplc="02D86CB8">
      <w:start w:val="1"/>
      <w:numFmt w:val="bullet"/>
      <w:lvlText w:val=""/>
      <w:lvlJc w:val="left"/>
      <w:pPr>
        <w:ind w:left="720" w:hanging="360"/>
      </w:pPr>
      <w:rPr>
        <w:rFonts w:ascii="Symbol" w:hAnsi="Symbol"/>
      </w:rPr>
    </w:lvl>
    <w:lvl w:ilvl="3" w:tplc="44781ADA">
      <w:start w:val="1"/>
      <w:numFmt w:val="bullet"/>
      <w:lvlText w:val=""/>
      <w:lvlJc w:val="left"/>
      <w:pPr>
        <w:ind w:left="720" w:hanging="360"/>
      </w:pPr>
      <w:rPr>
        <w:rFonts w:ascii="Symbol" w:hAnsi="Symbol"/>
      </w:rPr>
    </w:lvl>
    <w:lvl w:ilvl="4" w:tplc="84B20338">
      <w:start w:val="1"/>
      <w:numFmt w:val="bullet"/>
      <w:lvlText w:val=""/>
      <w:lvlJc w:val="left"/>
      <w:pPr>
        <w:ind w:left="720" w:hanging="360"/>
      </w:pPr>
      <w:rPr>
        <w:rFonts w:ascii="Symbol" w:hAnsi="Symbol"/>
      </w:rPr>
    </w:lvl>
    <w:lvl w:ilvl="5" w:tplc="D94A85F4">
      <w:start w:val="1"/>
      <w:numFmt w:val="bullet"/>
      <w:lvlText w:val=""/>
      <w:lvlJc w:val="left"/>
      <w:pPr>
        <w:ind w:left="720" w:hanging="360"/>
      </w:pPr>
      <w:rPr>
        <w:rFonts w:ascii="Symbol" w:hAnsi="Symbol"/>
      </w:rPr>
    </w:lvl>
    <w:lvl w:ilvl="6" w:tplc="5DC6D122">
      <w:start w:val="1"/>
      <w:numFmt w:val="bullet"/>
      <w:lvlText w:val=""/>
      <w:lvlJc w:val="left"/>
      <w:pPr>
        <w:ind w:left="720" w:hanging="360"/>
      </w:pPr>
      <w:rPr>
        <w:rFonts w:ascii="Symbol" w:hAnsi="Symbol"/>
      </w:rPr>
    </w:lvl>
    <w:lvl w:ilvl="7" w:tplc="A96E90A0">
      <w:start w:val="1"/>
      <w:numFmt w:val="bullet"/>
      <w:lvlText w:val=""/>
      <w:lvlJc w:val="left"/>
      <w:pPr>
        <w:ind w:left="720" w:hanging="360"/>
      </w:pPr>
      <w:rPr>
        <w:rFonts w:ascii="Symbol" w:hAnsi="Symbol"/>
      </w:rPr>
    </w:lvl>
    <w:lvl w:ilvl="8" w:tplc="E35864EE">
      <w:start w:val="1"/>
      <w:numFmt w:val="bullet"/>
      <w:lvlText w:val=""/>
      <w:lvlJc w:val="left"/>
      <w:pPr>
        <w:ind w:left="720" w:hanging="360"/>
      </w:pPr>
      <w:rPr>
        <w:rFonts w:ascii="Symbol" w:hAnsi="Symbol"/>
      </w:rPr>
    </w:lvl>
  </w:abstractNum>
  <w:abstractNum w:abstractNumId="12" w15:restartNumberingAfterBreak="0">
    <w:nsid w:val="77996860"/>
    <w:multiLevelType w:val="multilevel"/>
    <w:tmpl w:val="6AAA709C"/>
    <w:numStyleLink w:val="Style1"/>
  </w:abstractNum>
  <w:abstractNum w:abstractNumId="13" w15:restartNumberingAfterBreak="0">
    <w:nsid w:val="7C6F1212"/>
    <w:multiLevelType w:val="hybridMultilevel"/>
    <w:tmpl w:val="CE64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F390A21"/>
    <w:multiLevelType w:val="hybridMultilevel"/>
    <w:tmpl w:val="7CD0A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69980395">
    <w:abstractNumId w:val="14"/>
  </w:num>
  <w:num w:numId="2" w16cid:durableId="17901993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301307756">
    <w:abstractNumId w:val="5"/>
  </w:num>
  <w:num w:numId="4" w16cid:durableId="576673481">
    <w:abstractNumId w:val="4"/>
  </w:num>
  <w:num w:numId="5" w16cid:durableId="1334140760">
    <w:abstractNumId w:val="1"/>
  </w:num>
  <w:num w:numId="6" w16cid:durableId="148137389">
    <w:abstractNumId w:val="9"/>
  </w:num>
  <w:num w:numId="7" w16cid:durableId="990520516">
    <w:abstractNumId w:val="11"/>
  </w:num>
  <w:num w:numId="8" w16cid:durableId="476336067">
    <w:abstractNumId w:val="3"/>
  </w:num>
  <w:num w:numId="9" w16cid:durableId="398720">
    <w:abstractNumId w:val="2"/>
  </w:num>
  <w:num w:numId="10" w16cid:durableId="752625434">
    <w:abstractNumId w:val="6"/>
  </w:num>
  <w:num w:numId="11" w16cid:durableId="384571582">
    <w:abstractNumId w:val="8"/>
  </w:num>
  <w:num w:numId="12" w16cid:durableId="530149463">
    <w:abstractNumId w:val="13"/>
  </w:num>
  <w:num w:numId="13" w16cid:durableId="1521239838">
    <w:abstractNumId w:val="0"/>
  </w:num>
  <w:num w:numId="14" w16cid:durableId="216235909">
    <w:abstractNumId w:val="12"/>
  </w:num>
  <w:num w:numId="15" w16cid:durableId="1876501137">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545C"/>
    <w:rsid w:val="00000678"/>
    <w:rsid w:val="00001076"/>
    <w:rsid w:val="000013EF"/>
    <w:rsid w:val="0000207B"/>
    <w:rsid w:val="000024AE"/>
    <w:rsid w:val="00002797"/>
    <w:rsid w:val="00002940"/>
    <w:rsid w:val="000030C7"/>
    <w:rsid w:val="00005E2E"/>
    <w:rsid w:val="00005E49"/>
    <w:rsid w:val="000109AC"/>
    <w:rsid w:val="000109D6"/>
    <w:rsid w:val="00010BA1"/>
    <w:rsid w:val="00013CC7"/>
    <w:rsid w:val="0001465E"/>
    <w:rsid w:val="00014913"/>
    <w:rsid w:val="000168E7"/>
    <w:rsid w:val="0002107C"/>
    <w:rsid w:val="00021514"/>
    <w:rsid w:val="00021A22"/>
    <w:rsid w:val="00024752"/>
    <w:rsid w:val="00025B9F"/>
    <w:rsid w:val="0003466E"/>
    <w:rsid w:val="00036BE0"/>
    <w:rsid w:val="00040B1C"/>
    <w:rsid w:val="000427DD"/>
    <w:rsid w:val="0004289A"/>
    <w:rsid w:val="00044219"/>
    <w:rsid w:val="000457EC"/>
    <w:rsid w:val="00052984"/>
    <w:rsid w:val="00055B35"/>
    <w:rsid w:val="00056784"/>
    <w:rsid w:val="00056F96"/>
    <w:rsid w:val="00056FD2"/>
    <w:rsid w:val="000607AA"/>
    <w:rsid w:val="0006080B"/>
    <w:rsid w:val="0006189C"/>
    <w:rsid w:val="00062FCF"/>
    <w:rsid w:val="00063ED4"/>
    <w:rsid w:val="00063F10"/>
    <w:rsid w:val="00063F8A"/>
    <w:rsid w:val="00065572"/>
    <w:rsid w:val="00066EBA"/>
    <w:rsid w:val="000672E5"/>
    <w:rsid w:val="0007364A"/>
    <w:rsid w:val="00073B0D"/>
    <w:rsid w:val="00076378"/>
    <w:rsid w:val="00081FBD"/>
    <w:rsid w:val="00082B9F"/>
    <w:rsid w:val="00082FAD"/>
    <w:rsid w:val="00084CD2"/>
    <w:rsid w:val="000868F3"/>
    <w:rsid w:val="0008790A"/>
    <w:rsid w:val="00094536"/>
    <w:rsid w:val="0009543C"/>
    <w:rsid w:val="000A0527"/>
    <w:rsid w:val="000A0C2C"/>
    <w:rsid w:val="000A2EA9"/>
    <w:rsid w:val="000A4099"/>
    <w:rsid w:val="000A4362"/>
    <w:rsid w:val="000A61D2"/>
    <w:rsid w:val="000B5EE1"/>
    <w:rsid w:val="000B76D6"/>
    <w:rsid w:val="000B79A7"/>
    <w:rsid w:val="000C03D5"/>
    <w:rsid w:val="000C1892"/>
    <w:rsid w:val="000C1ABF"/>
    <w:rsid w:val="000C3D7C"/>
    <w:rsid w:val="000C72D4"/>
    <w:rsid w:val="000D001C"/>
    <w:rsid w:val="000D117B"/>
    <w:rsid w:val="000D2188"/>
    <w:rsid w:val="000D3017"/>
    <w:rsid w:val="000D3639"/>
    <w:rsid w:val="000D59AA"/>
    <w:rsid w:val="000D68A2"/>
    <w:rsid w:val="000E1033"/>
    <w:rsid w:val="000E18A8"/>
    <w:rsid w:val="000E4AF5"/>
    <w:rsid w:val="000E60BD"/>
    <w:rsid w:val="000E62D0"/>
    <w:rsid w:val="000F0A8E"/>
    <w:rsid w:val="000F3B75"/>
    <w:rsid w:val="000F4CAD"/>
    <w:rsid w:val="000F6423"/>
    <w:rsid w:val="000F6F65"/>
    <w:rsid w:val="00101013"/>
    <w:rsid w:val="001017A3"/>
    <w:rsid w:val="00102E13"/>
    <w:rsid w:val="001050A1"/>
    <w:rsid w:val="001109A5"/>
    <w:rsid w:val="001111C7"/>
    <w:rsid w:val="00113587"/>
    <w:rsid w:val="0011529A"/>
    <w:rsid w:val="00115DE7"/>
    <w:rsid w:val="00116BF3"/>
    <w:rsid w:val="0011754B"/>
    <w:rsid w:val="00120459"/>
    <w:rsid w:val="001217B9"/>
    <w:rsid w:val="00123994"/>
    <w:rsid w:val="001243FD"/>
    <w:rsid w:val="001269EC"/>
    <w:rsid w:val="00127EE6"/>
    <w:rsid w:val="00130591"/>
    <w:rsid w:val="0013204A"/>
    <w:rsid w:val="00132D3F"/>
    <w:rsid w:val="00132DC8"/>
    <w:rsid w:val="00135B3D"/>
    <w:rsid w:val="0014052F"/>
    <w:rsid w:val="0014204E"/>
    <w:rsid w:val="001445E0"/>
    <w:rsid w:val="001447B3"/>
    <w:rsid w:val="00145191"/>
    <w:rsid w:val="001477B0"/>
    <w:rsid w:val="00151217"/>
    <w:rsid w:val="00152000"/>
    <w:rsid w:val="0015431D"/>
    <w:rsid w:val="00154D56"/>
    <w:rsid w:val="001557E2"/>
    <w:rsid w:val="00160B02"/>
    <w:rsid w:val="00161424"/>
    <w:rsid w:val="001616DD"/>
    <w:rsid w:val="00162E40"/>
    <w:rsid w:val="00164421"/>
    <w:rsid w:val="00164830"/>
    <w:rsid w:val="001658E6"/>
    <w:rsid w:val="00165B8F"/>
    <w:rsid w:val="0016685E"/>
    <w:rsid w:val="00166E56"/>
    <w:rsid w:val="00167570"/>
    <w:rsid w:val="00167676"/>
    <w:rsid w:val="0017077E"/>
    <w:rsid w:val="00170C4A"/>
    <w:rsid w:val="00175948"/>
    <w:rsid w:val="00175BF5"/>
    <w:rsid w:val="00175DCF"/>
    <w:rsid w:val="001771DE"/>
    <w:rsid w:val="001779FE"/>
    <w:rsid w:val="00181C67"/>
    <w:rsid w:val="00184B98"/>
    <w:rsid w:val="001865E0"/>
    <w:rsid w:val="00190EDA"/>
    <w:rsid w:val="001924C7"/>
    <w:rsid w:val="0019264A"/>
    <w:rsid w:val="00195096"/>
    <w:rsid w:val="001A377F"/>
    <w:rsid w:val="001A51AA"/>
    <w:rsid w:val="001B0FD2"/>
    <w:rsid w:val="001B1CF6"/>
    <w:rsid w:val="001B1D33"/>
    <w:rsid w:val="001B4A37"/>
    <w:rsid w:val="001B544C"/>
    <w:rsid w:val="001B6C81"/>
    <w:rsid w:val="001C247F"/>
    <w:rsid w:val="001C419F"/>
    <w:rsid w:val="001C5789"/>
    <w:rsid w:val="001D1051"/>
    <w:rsid w:val="001D17B2"/>
    <w:rsid w:val="001D1E7C"/>
    <w:rsid w:val="001D2066"/>
    <w:rsid w:val="001D2D95"/>
    <w:rsid w:val="001D54D1"/>
    <w:rsid w:val="001D6218"/>
    <w:rsid w:val="001D6C92"/>
    <w:rsid w:val="001E097D"/>
    <w:rsid w:val="001E2114"/>
    <w:rsid w:val="001E28D2"/>
    <w:rsid w:val="001E2ECE"/>
    <w:rsid w:val="001E3ABE"/>
    <w:rsid w:val="001E3BE7"/>
    <w:rsid w:val="001E5024"/>
    <w:rsid w:val="001E6904"/>
    <w:rsid w:val="001E6B6D"/>
    <w:rsid w:val="001F0575"/>
    <w:rsid w:val="001F1F2B"/>
    <w:rsid w:val="00200634"/>
    <w:rsid w:val="002011F1"/>
    <w:rsid w:val="00203FF9"/>
    <w:rsid w:val="00205235"/>
    <w:rsid w:val="00213ED2"/>
    <w:rsid w:val="0021482A"/>
    <w:rsid w:val="002155CB"/>
    <w:rsid w:val="00217457"/>
    <w:rsid w:val="002206C6"/>
    <w:rsid w:val="002214C3"/>
    <w:rsid w:val="0022239B"/>
    <w:rsid w:val="00226093"/>
    <w:rsid w:val="0022732E"/>
    <w:rsid w:val="0023205B"/>
    <w:rsid w:val="002329CA"/>
    <w:rsid w:val="00233D35"/>
    <w:rsid w:val="002345E4"/>
    <w:rsid w:val="002359A4"/>
    <w:rsid w:val="00235AD3"/>
    <w:rsid w:val="00236713"/>
    <w:rsid w:val="00237128"/>
    <w:rsid w:val="0024124C"/>
    <w:rsid w:val="00241CFE"/>
    <w:rsid w:val="00245834"/>
    <w:rsid w:val="002458D4"/>
    <w:rsid w:val="002460AD"/>
    <w:rsid w:val="0024610C"/>
    <w:rsid w:val="002469C5"/>
    <w:rsid w:val="002502C7"/>
    <w:rsid w:val="00250307"/>
    <w:rsid w:val="00251F67"/>
    <w:rsid w:val="00252A03"/>
    <w:rsid w:val="00253CE0"/>
    <w:rsid w:val="00256323"/>
    <w:rsid w:val="002571B0"/>
    <w:rsid w:val="00260B59"/>
    <w:rsid w:val="00260C66"/>
    <w:rsid w:val="00261503"/>
    <w:rsid w:val="00262D8D"/>
    <w:rsid w:val="00263C7F"/>
    <w:rsid w:val="002650A4"/>
    <w:rsid w:val="00265CD5"/>
    <w:rsid w:val="0027078D"/>
    <w:rsid w:val="002714F0"/>
    <w:rsid w:val="00273095"/>
    <w:rsid w:val="0027381B"/>
    <w:rsid w:val="00273FB8"/>
    <w:rsid w:val="00274832"/>
    <w:rsid w:val="00276742"/>
    <w:rsid w:val="00276C95"/>
    <w:rsid w:val="00276DF3"/>
    <w:rsid w:val="002775BD"/>
    <w:rsid w:val="00280453"/>
    <w:rsid w:val="00280493"/>
    <w:rsid w:val="00281B42"/>
    <w:rsid w:val="00282809"/>
    <w:rsid w:val="00283D25"/>
    <w:rsid w:val="002845BE"/>
    <w:rsid w:val="00285775"/>
    <w:rsid w:val="00285B6A"/>
    <w:rsid w:val="002865FE"/>
    <w:rsid w:val="00287D63"/>
    <w:rsid w:val="00287D74"/>
    <w:rsid w:val="002932BF"/>
    <w:rsid w:val="002942D4"/>
    <w:rsid w:val="002952A8"/>
    <w:rsid w:val="00295896"/>
    <w:rsid w:val="00295F9F"/>
    <w:rsid w:val="00295FA1"/>
    <w:rsid w:val="002976A9"/>
    <w:rsid w:val="002A02AC"/>
    <w:rsid w:val="002A3F1A"/>
    <w:rsid w:val="002A542D"/>
    <w:rsid w:val="002A6967"/>
    <w:rsid w:val="002B1D7C"/>
    <w:rsid w:val="002B4524"/>
    <w:rsid w:val="002B4EDA"/>
    <w:rsid w:val="002B57C2"/>
    <w:rsid w:val="002B7A3F"/>
    <w:rsid w:val="002C0087"/>
    <w:rsid w:val="002C01B8"/>
    <w:rsid w:val="002C3303"/>
    <w:rsid w:val="002C3430"/>
    <w:rsid w:val="002C4AAA"/>
    <w:rsid w:val="002C5BAF"/>
    <w:rsid w:val="002C6CCA"/>
    <w:rsid w:val="002C7F87"/>
    <w:rsid w:val="002D23E6"/>
    <w:rsid w:val="002D37F9"/>
    <w:rsid w:val="002D502F"/>
    <w:rsid w:val="002D6D91"/>
    <w:rsid w:val="002D7645"/>
    <w:rsid w:val="002E0E87"/>
    <w:rsid w:val="002E1C1E"/>
    <w:rsid w:val="002E1F31"/>
    <w:rsid w:val="002E2569"/>
    <w:rsid w:val="002E4F7A"/>
    <w:rsid w:val="002E5874"/>
    <w:rsid w:val="002F00BB"/>
    <w:rsid w:val="002F2584"/>
    <w:rsid w:val="002F27CA"/>
    <w:rsid w:val="002F3322"/>
    <w:rsid w:val="002F3AF9"/>
    <w:rsid w:val="002F54D3"/>
    <w:rsid w:val="0030031E"/>
    <w:rsid w:val="00301858"/>
    <w:rsid w:val="00302FC2"/>
    <w:rsid w:val="00303955"/>
    <w:rsid w:val="00306755"/>
    <w:rsid w:val="00306AF9"/>
    <w:rsid w:val="00310025"/>
    <w:rsid w:val="0031062C"/>
    <w:rsid w:val="00310FFB"/>
    <w:rsid w:val="0031144A"/>
    <w:rsid w:val="00313AD0"/>
    <w:rsid w:val="003151AC"/>
    <w:rsid w:val="00322F03"/>
    <w:rsid w:val="003235A3"/>
    <w:rsid w:val="0032427C"/>
    <w:rsid w:val="00325307"/>
    <w:rsid w:val="003257DF"/>
    <w:rsid w:val="00326CDF"/>
    <w:rsid w:val="00326FBD"/>
    <w:rsid w:val="0033038F"/>
    <w:rsid w:val="00330A5D"/>
    <w:rsid w:val="00331A8B"/>
    <w:rsid w:val="00332632"/>
    <w:rsid w:val="00334567"/>
    <w:rsid w:val="003355F9"/>
    <w:rsid w:val="0033607F"/>
    <w:rsid w:val="00337E15"/>
    <w:rsid w:val="003408A1"/>
    <w:rsid w:val="00343107"/>
    <w:rsid w:val="00343EDD"/>
    <w:rsid w:val="00344149"/>
    <w:rsid w:val="003449EB"/>
    <w:rsid w:val="00345108"/>
    <w:rsid w:val="00346BD1"/>
    <w:rsid w:val="0034747C"/>
    <w:rsid w:val="00350B32"/>
    <w:rsid w:val="00352095"/>
    <w:rsid w:val="003536A4"/>
    <w:rsid w:val="00353C4D"/>
    <w:rsid w:val="00355011"/>
    <w:rsid w:val="00355253"/>
    <w:rsid w:val="00355F17"/>
    <w:rsid w:val="0035721E"/>
    <w:rsid w:val="003575EC"/>
    <w:rsid w:val="0036033D"/>
    <w:rsid w:val="00363EFD"/>
    <w:rsid w:val="003665D2"/>
    <w:rsid w:val="00367F3C"/>
    <w:rsid w:val="003701C9"/>
    <w:rsid w:val="0037143E"/>
    <w:rsid w:val="00371B15"/>
    <w:rsid w:val="003736CB"/>
    <w:rsid w:val="003738D3"/>
    <w:rsid w:val="00374742"/>
    <w:rsid w:val="00376B59"/>
    <w:rsid w:val="00377003"/>
    <w:rsid w:val="00377F70"/>
    <w:rsid w:val="00380202"/>
    <w:rsid w:val="003827CD"/>
    <w:rsid w:val="003827DD"/>
    <w:rsid w:val="003840FA"/>
    <w:rsid w:val="00384103"/>
    <w:rsid w:val="0038445E"/>
    <w:rsid w:val="0038504C"/>
    <w:rsid w:val="0038575E"/>
    <w:rsid w:val="003857C0"/>
    <w:rsid w:val="00386D80"/>
    <w:rsid w:val="00387737"/>
    <w:rsid w:val="00395055"/>
    <w:rsid w:val="00397F7E"/>
    <w:rsid w:val="003A17B2"/>
    <w:rsid w:val="003A4C52"/>
    <w:rsid w:val="003A4E0C"/>
    <w:rsid w:val="003A6613"/>
    <w:rsid w:val="003A75D9"/>
    <w:rsid w:val="003B1876"/>
    <w:rsid w:val="003B2441"/>
    <w:rsid w:val="003B3009"/>
    <w:rsid w:val="003B3879"/>
    <w:rsid w:val="003B5912"/>
    <w:rsid w:val="003B686C"/>
    <w:rsid w:val="003C0D5F"/>
    <w:rsid w:val="003C1A1A"/>
    <w:rsid w:val="003C1DE1"/>
    <w:rsid w:val="003C1FD1"/>
    <w:rsid w:val="003C3683"/>
    <w:rsid w:val="003C41F0"/>
    <w:rsid w:val="003C6080"/>
    <w:rsid w:val="003C6A13"/>
    <w:rsid w:val="003C7E3C"/>
    <w:rsid w:val="003D1884"/>
    <w:rsid w:val="003D417B"/>
    <w:rsid w:val="003D455B"/>
    <w:rsid w:val="003D5DEB"/>
    <w:rsid w:val="003D6BB7"/>
    <w:rsid w:val="003E0AAE"/>
    <w:rsid w:val="003E0B1B"/>
    <w:rsid w:val="003E1B10"/>
    <w:rsid w:val="003E1BFE"/>
    <w:rsid w:val="003E5653"/>
    <w:rsid w:val="003E5B44"/>
    <w:rsid w:val="003E6E55"/>
    <w:rsid w:val="003E7D4B"/>
    <w:rsid w:val="003F0490"/>
    <w:rsid w:val="003F1186"/>
    <w:rsid w:val="003F2E5A"/>
    <w:rsid w:val="003F41FA"/>
    <w:rsid w:val="003F7A9E"/>
    <w:rsid w:val="004006B0"/>
    <w:rsid w:val="0040163F"/>
    <w:rsid w:val="004042AB"/>
    <w:rsid w:val="0040452C"/>
    <w:rsid w:val="00405068"/>
    <w:rsid w:val="00405CC7"/>
    <w:rsid w:val="00406690"/>
    <w:rsid w:val="00406A18"/>
    <w:rsid w:val="0040775D"/>
    <w:rsid w:val="00407C08"/>
    <w:rsid w:val="00407DE1"/>
    <w:rsid w:val="00411793"/>
    <w:rsid w:val="00411D4F"/>
    <w:rsid w:val="00412F34"/>
    <w:rsid w:val="00414DDB"/>
    <w:rsid w:val="00420703"/>
    <w:rsid w:val="004224AE"/>
    <w:rsid w:val="00424FB0"/>
    <w:rsid w:val="0042681F"/>
    <w:rsid w:val="0042692C"/>
    <w:rsid w:val="00427270"/>
    <w:rsid w:val="00427306"/>
    <w:rsid w:val="0042781F"/>
    <w:rsid w:val="00427E24"/>
    <w:rsid w:val="0043105D"/>
    <w:rsid w:val="0043299C"/>
    <w:rsid w:val="00434601"/>
    <w:rsid w:val="00434714"/>
    <w:rsid w:val="00436020"/>
    <w:rsid w:val="00440C98"/>
    <w:rsid w:val="004447CD"/>
    <w:rsid w:val="00444E97"/>
    <w:rsid w:val="0044598D"/>
    <w:rsid w:val="00447A86"/>
    <w:rsid w:val="00447BFB"/>
    <w:rsid w:val="00450FF3"/>
    <w:rsid w:val="00454E83"/>
    <w:rsid w:val="00456307"/>
    <w:rsid w:val="00457139"/>
    <w:rsid w:val="0046065D"/>
    <w:rsid w:val="004643FE"/>
    <w:rsid w:val="004656F0"/>
    <w:rsid w:val="004666AA"/>
    <w:rsid w:val="0047296D"/>
    <w:rsid w:val="00472B73"/>
    <w:rsid w:val="00473E74"/>
    <w:rsid w:val="004745EA"/>
    <w:rsid w:val="00475974"/>
    <w:rsid w:val="00476EA2"/>
    <w:rsid w:val="004811F9"/>
    <w:rsid w:val="004816D1"/>
    <w:rsid w:val="00481DB7"/>
    <w:rsid w:val="00483F5D"/>
    <w:rsid w:val="00485D0B"/>
    <w:rsid w:val="00486137"/>
    <w:rsid w:val="00490AA9"/>
    <w:rsid w:val="004910F0"/>
    <w:rsid w:val="00491985"/>
    <w:rsid w:val="00491EDF"/>
    <w:rsid w:val="004932FB"/>
    <w:rsid w:val="00494745"/>
    <w:rsid w:val="004953B9"/>
    <w:rsid w:val="00495C4A"/>
    <w:rsid w:val="00496BC3"/>
    <w:rsid w:val="00497369"/>
    <w:rsid w:val="004A0680"/>
    <w:rsid w:val="004A1B9C"/>
    <w:rsid w:val="004A1EDE"/>
    <w:rsid w:val="004A44BD"/>
    <w:rsid w:val="004A458F"/>
    <w:rsid w:val="004A7D32"/>
    <w:rsid w:val="004B126E"/>
    <w:rsid w:val="004B2A25"/>
    <w:rsid w:val="004B60C4"/>
    <w:rsid w:val="004C2C67"/>
    <w:rsid w:val="004C2CAF"/>
    <w:rsid w:val="004C3D0C"/>
    <w:rsid w:val="004C4DCA"/>
    <w:rsid w:val="004C4F5D"/>
    <w:rsid w:val="004C5633"/>
    <w:rsid w:val="004C58AD"/>
    <w:rsid w:val="004D07E2"/>
    <w:rsid w:val="004D0E62"/>
    <w:rsid w:val="004D1D08"/>
    <w:rsid w:val="004D1E46"/>
    <w:rsid w:val="004D4367"/>
    <w:rsid w:val="004D5517"/>
    <w:rsid w:val="004D56E8"/>
    <w:rsid w:val="004E0081"/>
    <w:rsid w:val="004E4246"/>
    <w:rsid w:val="004E63EA"/>
    <w:rsid w:val="004E71A6"/>
    <w:rsid w:val="004E7DF9"/>
    <w:rsid w:val="004F1AA5"/>
    <w:rsid w:val="004F2B1F"/>
    <w:rsid w:val="004F4CD7"/>
    <w:rsid w:val="004F6D20"/>
    <w:rsid w:val="004F790E"/>
    <w:rsid w:val="005006B7"/>
    <w:rsid w:val="00500A8F"/>
    <w:rsid w:val="0050197B"/>
    <w:rsid w:val="00507D47"/>
    <w:rsid w:val="0051486D"/>
    <w:rsid w:val="00520F41"/>
    <w:rsid w:val="00520F78"/>
    <w:rsid w:val="0052110D"/>
    <w:rsid w:val="0052314B"/>
    <w:rsid w:val="00525F52"/>
    <w:rsid w:val="00526ACC"/>
    <w:rsid w:val="00532042"/>
    <w:rsid w:val="00532F85"/>
    <w:rsid w:val="00535B59"/>
    <w:rsid w:val="0053645E"/>
    <w:rsid w:val="005365C8"/>
    <w:rsid w:val="00536BB4"/>
    <w:rsid w:val="005417E9"/>
    <w:rsid w:val="00541C57"/>
    <w:rsid w:val="00542AE9"/>
    <w:rsid w:val="00542B56"/>
    <w:rsid w:val="00543258"/>
    <w:rsid w:val="00543501"/>
    <w:rsid w:val="005440CA"/>
    <w:rsid w:val="005467F6"/>
    <w:rsid w:val="00546BC9"/>
    <w:rsid w:val="0054763B"/>
    <w:rsid w:val="005519C1"/>
    <w:rsid w:val="00551C2D"/>
    <w:rsid w:val="00552D9E"/>
    <w:rsid w:val="00555A56"/>
    <w:rsid w:val="00557138"/>
    <w:rsid w:val="00564932"/>
    <w:rsid w:val="00564FFE"/>
    <w:rsid w:val="00565C54"/>
    <w:rsid w:val="00566DD6"/>
    <w:rsid w:val="00572EA5"/>
    <w:rsid w:val="005747B1"/>
    <w:rsid w:val="005757D1"/>
    <w:rsid w:val="00575E42"/>
    <w:rsid w:val="005760A4"/>
    <w:rsid w:val="00582044"/>
    <w:rsid w:val="005822B3"/>
    <w:rsid w:val="00585E69"/>
    <w:rsid w:val="005925F5"/>
    <w:rsid w:val="00594F33"/>
    <w:rsid w:val="00596B86"/>
    <w:rsid w:val="005A0381"/>
    <w:rsid w:val="005A2D49"/>
    <w:rsid w:val="005A4D78"/>
    <w:rsid w:val="005A5EF9"/>
    <w:rsid w:val="005B023B"/>
    <w:rsid w:val="005B0318"/>
    <w:rsid w:val="005B217A"/>
    <w:rsid w:val="005B26E3"/>
    <w:rsid w:val="005B3333"/>
    <w:rsid w:val="005B5643"/>
    <w:rsid w:val="005B6258"/>
    <w:rsid w:val="005B78B3"/>
    <w:rsid w:val="005C2FEE"/>
    <w:rsid w:val="005C3835"/>
    <w:rsid w:val="005C4AD3"/>
    <w:rsid w:val="005D14F5"/>
    <w:rsid w:val="005D24D4"/>
    <w:rsid w:val="005D2727"/>
    <w:rsid w:val="005D32DE"/>
    <w:rsid w:val="005D52A9"/>
    <w:rsid w:val="005D5815"/>
    <w:rsid w:val="005D63EA"/>
    <w:rsid w:val="005E1E4D"/>
    <w:rsid w:val="005E3839"/>
    <w:rsid w:val="005E4ED4"/>
    <w:rsid w:val="005E63F1"/>
    <w:rsid w:val="005E6625"/>
    <w:rsid w:val="005F2B7D"/>
    <w:rsid w:val="005F317D"/>
    <w:rsid w:val="005F3DB2"/>
    <w:rsid w:val="005F5388"/>
    <w:rsid w:val="005F53E9"/>
    <w:rsid w:val="005F66C1"/>
    <w:rsid w:val="005F7612"/>
    <w:rsid w:val="005F7742"/>
    <w:rsid w:val="0060275D"/>
    <w:rsid w:val="00603031"/>
    <w:rsid w:val="00605194"/>
    <w:rsid w:val="00605D31"/>
    <w:rsid w:val="006130C2"/>
    <w:rsid w:val="00613824"/>
    <w:rsid w:val="0061405D"/>
    <w:rsid w:val="00614631"/>
    <w:rsid w:val="00614C8C"/>
    <w:rsid w:val="006172DD"/>
    <w:rsid w:val="006258A9"/>
    <w:rsid w:val="006264DE"/>
    <w:rsid w:val="006312E2"/>
    <w:rsid w:val="00640CE2"/>
    <w:rsid w:val="00642BA9"/>
    <w:rsid w:val="00642E84"/>
    <w:rsid w:val="00646099"/>
    <w:rsid w:val="006462BD"/>
    <w:rsid w:val="0064751B"/>
    <w:rsid w:val="00650250"/>
    <w:rsid w:val="00652AEF"/>
    <w:rsid w:val="00653ED3"/>
    <w:rsid w:val="00655CD6"/>
    <w:rsid w:val="00657F2C"/>
    <w:rsid w:val="00660A46"/>
    <w:rsid w:val="006612F3"/>
    <w:rsid w:val="00661437"/>
    <w:rsid w:val="00662E1B"/>
    <w:rsid w:val="00663A0C"/>
    <w:rsid w:val="006656E8"/>
    <w:rsid w:val="00665F27"/>
    <w:rsid w:val="0067242B"/>
    <w:rsid w:val="0067590C"/>
    <w:rsid w:val="00676B58"/>
    <w:rsid w:val="00676E01"/>
    <w:rsid w:val="00677CB4"/>
    <w:rsid w:val="006802D3"/>
    <w:rsid w:val="00682100"/>
    <w:rsid w:val="0068343C"/>
    <w:rsid w:val="006857A4"/>
    <w:rsid w:val="00685AD0"/>
    <w:rsid w:val="006862DF"/>
    <w:rsid w:val="006873F0"/>
    <w:rsid w:val="006877AA"/>
    <w:rsid w:val="00690371"/>
    <w:rsid w:val="006908D9"/>
    <w:rsid w:val="00690BD5"/>
    <w:rsid w:val="00695AD1"/>
    <w:rsid w:val="0069662E"/>
    <w:rsid w:val="00696B35"/>
    <w:rsid w:val="006A0499"/>
    <w:rsid w:val="006A3EE7"/>
    <w:rsid w:val="006A4D54"/>
    <w:rsid w:val="006A4DD9"/>
    <w:rsid w:val="006A7E3C"/>
    <w:rsid w:val="006B011A"/>
    <w:rsid w:val="006B120B"/>
    <w:rsid w:val="006B41FE"/>
    <w:rsid w:val="006B5A8D"/>
    <w:rsid w:val="006C099D"/>
    <w:rsid w:val="006C2426"/>
    <w:rsid w:val="006C7149"/>
    <w:rsid w:val="006D0AB6"/>
    <w:rsid w:val="006D5048"/>
    <w:rsid w:val="006D687B"/>
    <w:rsid w:val="006D78F6"/>
    <w:rsid w:val="006E03C9"/>
    <w:rsid w:val="006E135D"/>
    <w:rsid w:val="006E534B"/>
    <w:rsid w:val="006E65F5"/>
    <w:rsid w:val="006F1179"/>
    <w:rsid w:val="006F14C7"/>
    <w:rsid w:val="006F17D9"/>
    <w:rsid w:val="006F3C08"/>
    <w:rsid w:val="006F3EBB"/>
    <w:rsid w:val="0070093F"/>
    <w:rsid w:val="00700BEC"/>
    <w:rsid w:val="0070152F"/>
    <w:rsid w:val="007021D8"/>
    <w:rsid w:val="007028C9"/>
    <w:rsid w:val="00705648"/>
    <w:rsid w:val="00706ED5"/>
    <w:rsid w:val="00712B62"/>
    <w:rsid w:val="00713D7A"/>
    <w:rsid w:val="00713D8B"/>
    <w:rsid w:val="007148DA"/>
    <w:rsid w:val="00715797"/>
    <w:rsid w:val="007175D4"/>
    <w:rsid w:val="007234BC"/>
    <w:rsid w:val="00727D0C"/>
    <w:rsid w:val="007300EA"/>
    <w:rsid w:val="00730A3C"/>
    <w:rsid w:val="00735B0A"/>
    <w:rsid w:val="007418CB"/>
    <w:rsid w:val="00743725"/>
    <w:rsid w:val="007463D5"/>
    <w:rsid w:val="007463DC"/>
    <w:rsid w:val="007475C0"/>
    <w:rsid w:val="00750075"/>
    <w:rsid w:val="00750D2D"/>
    <w:rsid w:val="00753F6C"/>
    <w:rsid w:val="0075433B"/>
    <w:rsid w:val="00756460"/>
    <w:rsid w:val="007567CA"/>
    <w:rsid w:val="0075747D"/>
    <w:rsid w:val="00764E00"/>
    <w:rsid w:val="00765342"/>
    <w:rsid w:val="00765843"/>
    <w:rsid w:val="00766459"/>
    <w:rsid w:val="00770263"/>
    <w:rsid w:val="00771A14"/>
    <w:rsid w:val="00775507"/>
    <w:rsid w:val="007763E8"/>
    <w:rsid w:val="00781402"/>
    <w:rsid w:val="00782021"/>
    <w:rsid w:val="00783318"/>
    <w:rsid w:val="00784AD5"/>
    <w:rsid w:val="00790888"/>
    <w:rsid w:val="0079396D"/>
    <w:rsid w:val="00793DF7"/>
    <w:rsid w:val="00794F74"/>
    <w:rsid w:val="007956C3"/>
    <w:rsid w:val="00795FA5"/>
    <w:rsid w:val="0079601D"/>
    <w:rsid w:val="00797C2C"/>
    <w:rsid w:val="007A5FAB"/>
    <w:rsid w:val="007A68DC"/>
    <w:rsid w:val="007B06F1"/>
    <w:rsid w:val="007B0754"/>
    <w:rsid w:val="007B5F51"/>
    <w:rsid w:val="007B6D4E"/>
    <w:rsid w:val="007C30C9"/>
    <w:rsid w:val="007C59A0"/>
    <w:rsid w:val="007C625C"/>
    <w:rsid w:val="007C7ADD"/>
    <w:rsid w:val="007D23B7"/>
    <w:rsid w:val="007D241F"/>
    <w:rsid w:val="007D2AC1"/>
    <w:rsid w:val="007D3B65"/>
    <w:rsid w:val="007D6408"/>
    <w:rsid w:val="007D6F92"/>
    <w:rsid w:val="007D7284"/>
    <w:rsid w:val="007D7736"/>
    <w:rsid w:val="007E091A"/>
    <w:rsid w:val="007E11E6"/>
    <w:rsid w:val="007E27CC"/>
    <w:rsid w:val="007E374D"/>
    <w:rsid w:val="007E5124"/>
    <w:rsid w:val="007F13C0"/>
    <w:rsid w:val="007F17DE"/>
    <w:rsid w:val="007F1934"/>
    <w:rsid w:val="007F27CA"/>
    <w:rsid w:val="00800C22"/>
    <w:rsid w:val="00801078"/>
    <w:rsid w:val="00802250"/>
    <w:rsid w:val="00805C6D"/>
    <w:rsid w:val="008060B9"/>
    <w:rsid w:val="008069C9"/>
    <w:rsid w:val="00807052"/>
    <w:rsid w:val="00812AB6"/>
    <w:rsid w:val="00813207"/>
    <w:rsid w:val="00815B61"/>
    <w:rsid w:val="00817141"/>
    <w:rsid w:val="00820008"/>
    <w:rsid w:val="00820FBB"/>
    <w:rsid w:val="008210B2"/>
    <w:rsid w:val="008213F7"/>
    <w:rsid w:val="00821B99"/>
    <w:rsid w:val="00823105"/>
    <w:rsid w:val="008277F1"/>
    <w:rsid w:val="00830A1A"/>
    <w:rsid w:val="00831892"/>
    <w:rsid w:val="008324BB"/>
    <w:rsid w:val="008324CC"/>
    <w:rsid w:val="008324EB"/>
    <w:rsid w:val="00832AD0"/>
    <w:rsid w:val="008343CE"/>
    <w:rsid w:val="00836C3E"/>
    <w:rsid w:val="008372F8"/>
    <w:rsid w:val="0084280B"/>
    <w:rsid w:val="00842A45"/>
    <w:rsid w:val="00842A64"/>
    <w:rsid w:val="00843430"/>
    <w:rsid w:val="00843F0B"/>
    <w:rsid w:val="0084564E"/>
    <w:rsid w:val="00845AEA"/>
    <w:rsid w:val="00846A65"/>
    <w:rsid w:val="00852FDB"/>
    <w:rsid w:val="0085539E"/>
    <w:rsid w:val="00855F43"/>
    <w:rsid w:val="0085625E"/>
    <w:rsid w:val="0086341B"/>
    <w:rsid w:val="00863A48"/>
    <w:rsid w:val="00863AC8"/>
    <w:rsid w:val="00865D9F"/>
    <w:rsid w:val="00873745"/>
    <w:rsid w:val="008744D2"/>
    <w:rsid w:val="00875466"/>
    <w:rsid w:val="008757E9"/>
    <w:rsid w:val="008758E5"/>
    <w:rsid w:val="008777DE"/>
    <w:rsid w:val="00877A4E"/>
    <w:rsid w:val="008819B3"/>
    <w:rsid w:val="00882B1D"/>
    <w:rsid w:val="0088310E"/>
    <w:rsid w:val="00886967"/>
    <w:rsid w:val="008876F2"/>
    <w:rsid w:val="008A27D5"/>
    <w:rsid w:val="008A3D48"/>
    <w:rsid w:val="008A4420"/>
    <w:rsid w:val="008A4733"/>
    <w:rsid w:val="008A4DF6"/>
    <w:rsid w:val="008A647B"/>
    <w:rsid w:val="008B2DCC"/>
    <w:rsid w:val="008B39DC"/>
    <w:rsid w:val="008B47A4"/>
    <w:rsid w:val="008B4DA8"/>
    <w:rsid w:val="008B7368"/>
    <w:rsid w:val="008C0BB0"/>
    <w:rsid w:val="008C1136"/>
    <w:rsid w:val="008C1B44"/>
    <w:rsid w:val="008C3034"/>
    <w:rsid w:val="008C3A92"/>
    <w:rsid w:val="008C3FCA"/>
    <w:rsid w:val="008C46C4"/>
    <w:rsid w:val="008D13B0"/>
    <w:rsid w:val="008D2A79"/>
    <w:rsid w:val="008D3447"/>
    <w:rsid w:val="008D4ABA"/>
    <w:rsid w:val="008D65C0"/>
    <w:rsid w:val="008D7B50"/>
    <w:rsid w:val="008D7D47"/>
    <w:rsid w:val="008E0C2B"/>
    <w:rsid w:val="008E7936"/>
    <w:rsid w:val="008F08B4"/>
    <w:rsid w:val="008F16BF"/>
    <w:rsid w:val="008F25E5"/>
    <w:rsid w:val="008F2CDC"/>
    <w:rsid w:val="008F3E12"/>
    <w:rsid w:val="008F5256"/>
    <w:rsid w:val="008F580D"/>
    <w:rsid w:val="008F7A68"/>
    <w:rsid w:val="009032FC"/>
    <w:rsid w:val="009039FE"/>
    <w:rsid w:val="009068DE"/>
    <w:rsid w:val="00907CF4"/>
    <w:rsid w:val="00914F17"/>
    <w:rsid w:val="009151CE"/>
    <w:rsid w:val="0091679D"/>
    <w:rsid w:val="009179D3"/>
    <w:rsid w:val="009214DD"/>
    <w:rsid w:val="0092181A"/>
    <w:rsid w:val="00922B2E"/>
    <w:rsid w:val="00922D98"/>
    <w:rsid w:val="009248B7"/>
    <w:rsid w:val="00924CCC"/>
    <w:rsid w:val="00926078"/>
    <w:rsid w:val="00926506"/>
    <w:rsid w:val="00926AE6"/>
    <w:rsid w:val="00927324"/>
    <w:rsid w:val="00933D14"/>
    <w:rsid w:val="0093530E"/>
    <w:rsid w:val="00935403"/>
    <w:rsid w:val="00936EFD"/>
    <w:rsid w:val="0093775E"/>
    <w:rsid w:val="0094036E"/>
    <w:rsid w:val="00940EAC"/>
    <w:rsid w:val="00942936"/>
    <w:rsid w:val="009447AE"/>
    <w:rsid w:val="0094645B"/>
    <w:rsid w:val="009516EB"/>
    <w:rsid w:val="0095405B"/>
    <w:rsid w:val="009554BA"/>
    <w:rsid w:val="00955A1D"/>
    <w:rsid w:val="009566A9"/>
    <w:rsid w:val="009572B6"/>
    <w:rsid w:val="009617E1"/>
    <w:rsid w:val="009624EC"/>
    <w:rsid w:val="00963096"/>
    <w:rsid w:val="00964EF6"/>
    <w:rsid w:val="00965B3C"/>
    <w:rsid w:val="0097296D"/>
    <w:rsid w:val="00973F6A"/>
    <w:rsid w:val="00976499"/>
    <w:rsid w:val="00976D28"/>
    <w:rsid w:val="00980E8B"/>
    <w:rsid w:val="009844D2"/>
    <w:rsid w:val="009847E1"/>
    <w:rsid w:val="0098693F"/>
    <w:rsid w:val="00986AAD"/>
    <w:rsid w:val="0099055D"/>
    <w:rsid w:val="00991FED"/>
    <w:rsid w:val="0099266C"/>
    <w:rsid w:val="00994642"/>
    <w:rsid w:val="009A373B"/>
    <w:rsid w:val="009A38FE"/>
    <w:rsid w:val="009A3D40"/>
    <w:rsid w:val="009A56EF"/>
    <w:rsid w:val="009A5CAD"/>
    <w:rsid w:val="009A6FA3"/>
    <w:rsid w:val="009A7623"/>
    <w:rsid w:val="009B0EA3"/>
    <w:rsid w:val="009B3A1F"/>
    <w:rsid w:val="009B6FA2"/>
    <w:rsid w:val="009C4E71"/>
    <w:rsid w:val="009C6281"/>
    <w:rsid w:val="009C7AE0"/>
    <w:rsid w:val="009D04B5"/>
    <w:rsid w:val="009D1761"/>
    <w:rsid w:val="009D1944"/>
    <w:rsid w:val="009D2C63"/>
    <w:rsid w:val="009D400B"/>
    <w:rsid w:val="009D4D29"/>
    <w:rsid w:val="009D557D"/>
    <w:rsid w:val="009D610B"/>
    <w:rsid w:val="009D6482"/>
    <w:rsid w:val="009D71AA"/>
    <w:rsid w:val="009E29B8"/>
    <w:rsid w:val="009E561A"/>
    <w:rsid w:val="009E5E7F"/>
    <w:rsid w:val="009E6A7B"/>
    <w:rsid w:val="009F0A13"/>
    <w:rsid w:val="009F1E66"/>
    <w:rsid w:val="009F2260"/>
    <w:rsid w:val="009F22BF"/>
    <w:rsid w:val="009F5BA2"/>
    <w:rsid w:val="009F70C3"/>
    <w:rsid w:val="00A02B80"/>
    <w:rsid w:val="00A02EE8"/>
    <w:rsid w:val="00A05362"/>
    <w:rsid w:val="00A076E0"/>
    <w:rsid w:val="00A104D0"/>
    <w:rsid w:val="00A110DA"/>
    <w:rsid w:val="00A118C6"/>
    <w:rsid w:val="00A159A7"/>
    <w:rsid w:val="00A1640A"/>
    <w:rsid w:val="00A167F4"/>
    <w:rsid w:val="00A208C9"/>
    <w:rsid w:val="00A22B1F"/>
    <w:rsid w:val="00A23C0E"/>
    <w:rsid w:val="00A23ED5"/>
    <w:rsid w:val="00A274CF"/>
    <w:rsid w:val="00A3112C"/>
    <w:rsid w:val="00A33486"/>
    <w:rsid w:val="00A34700"/>
    <w:rsid w:val="00A35538"/>
    <w:rsid w:val="00A365DE"/>
    <w:rsid w:val="00A40273"/>
    <w:rsid w:val="00A41564"/>
    <w:rsid w:val="00A41D4B"/>
    <w:rsid w:val="00A428C4"/>
    <w:rsid w:val="00A43933"/>
    <w:rsid w:val="00A45F0D"/>
    <w:rsid w:val="00A46B4F"/>
    <w:rsid w:val="00A46BC7"/>
    <w:rsid w:val="00A4780A"/>
    <w:rsid w:val="00A501F1"/>
    <w:rsid w:val="00A50A0E"/>
    <w:rsid w:val="00A53196"/>
    <w:rsid w:val="00A5492B"/>
    <w:rsid w:val="00A54ADD"/>
    <w:rsid w:val="00A551BA"/>
    <w:rsid w:val="00A57639"/>
    <w:rsid w:val="00A57C25"/>
    <w:rsid w:val="00A61068"/>
    <w:rsid w:val="00A62407"/>
    <w:rsid w:val="00A62C3C"/>
    <w:rsid w:val="00A63506"/>
    <w:rsid w:val="00A70A20"/>
    <w:rsid w:val="00A71B61"/>
    <w:rsid w:val="00A80D3A"/>
    <w:rsid w:val="00A81387"/>
    <w:rsid w:val="00A83557"/>
    <w:rsid w:val="00A8521D"/>
    <w:rsid w:val="00A87180"/>
    <w:rsid w:val="00A87834"/>
    <w:rsid w:val="00A90867"/>
    <w:rsid w:val="00A90AB2"/>
    <w:rsid w:val="00A94E10"/>
    <w:rsid w:val="00A96AA9"/>
    <w:rsid w:val="00A97F93"/>
    <w:rsid w:val="00AA003D"/>
    <w:rsid w:val="00AA15F7"/>
    <w:rsid w:val="00AA26A9"/>
    <w:rsid w:val="00AA2CBF"/>
    <w:rsid w:val="00AA57E0"/>
    <w:rsid w:val="00AB016A"/>
    <w:rsid w:val="00AB01C5"/>
    <w:rsid w:val="00AB0BD3"/>
    <w:rsid w:val="00AB0CF9"/>
    <w:rsid w:val="00AB1489"/>
    <w:rsid w:val="00AB2FCE"/>
    <w:rsid w:val="00AB46C7"/>
    <w:rsid w:val="00AB5D4D"/>
    <w:rsid w:val="00AB6565"/>
    <w:rsid w:val="00AB6753"/>
    <w:rsid w:val="00AC2590"/>
    <w:rsid w:val="00AC2EFE"/>
    <w:rsid w:val="00AC6D64"/>
    <w:rsid w:val="00AC6F6A"/>
    <w:rsid w:val="00AD26D5"/>
    <w:rsid w:val="00AD3C87"/>
    <w:rsid w:val="00AD406D"/>
    <w:rsid w:val="00AD47C5"/>
    <w:rsid w:val="00AD503B"/>
    <w:rsid w:val="00AD503F"/>
    <w:rsid w:val="00AD7118"/>
    <w:rsid w:val="00AD7E55"/>
    <w:rsid w:val="00AE0463"/>
    <w:rsid w:val="00AE3299"/>
    <w:rsid w:val="00AE4FA0"/>
    <w:rsid w:val="00AE7973"/>
    <w:rsid w:val="00AE7990"/>
    <w:rsid w:val="00AF2B05"/>
    <w:rsid w:val="00AF44BE"/>
    <w:rsid w:val="00AF6428"/>
    <w:rsid w:val="00B0047D"/>
    <w:rsid w:val="00B00D9E"/>
    <w:rsid w:val="00B0161E"/>
    <w:rsid w:val="00B021E1"/>
    <w:rsid w:val="00B036FC"/>
    <w:rsid w:val="00B10232"/>
    <w:rsid w:val="00B10878"/>
    <w:rsid w:val="00B14791"/>
    <w:rsid w:val="00B1503B"/>
    <w:rsid w:val="00B17384"/>
    <w:rsid w:val="00B20B14"/>
    <w:rsid w:val="00B20C01"/>
    <w:rsid w:val="00B21D36"/>
    <w:rsid w:val="00B21D8E"/>
    <w:rsid w:val="00B24386"/>
    <w:rsid w:val="00B24516"/>
    <w:rsid w:val="00B25C94"/>
    <w:rsid w:val="00B300D9"/>
    <w:rsid w:val="00B315EB"/>
    <w:rsid w:val="00B31F32"/>
    <w:rsid w:val="00B32AEE"/>
    <w:rsid w:val="00B338B9"/>
    <w:rsid w:val="00B33A3D"/>
    <w:rsid w:val="00B36C08"/>
    <w:rsid w:val="00B418C5"/>
    <w:rsid w:val="00B41D94"/>
    <w:rsid w:val="00B432EF"/>
    <w:rsid w:val="00B45010"/>
    <w:rsid w:val="00B455CC"/>
    <w:rsid w:val="00B54C9C"/>
    <w:rsid w:val="00B56A0F"/>
    <w:rsid w:val="00B57C8F"/>
    <w:rsid w:val="00B6043F"/>
    <w:rsid w:val="00B61C62"/>
    <w:rsid w:val="00B61FF9"/>
    <w:rsid w:val="00B62067"/>
    <w:rsid w:val="00B635D1"/>
    <w:rsid w:val="00B6373F"/>
    <w:rsid w:val="00B64821"/>
    <w:rsid w:val="00B649D9"/>
    <w:rsid w:val="00B6569C"/>
    <w:rsid w:val="00B66495"/>
    <w:rsid w:val="00B67086"/>
    <w:rsid w:val="00B67D0C"/>
    <w:rsid w:val="00B7169C"/>
    <w:rsid w:val="00B71CA8"/>
    <w:rsid w:val="00B757BA"/>
    <w:rsid w:val="00B76D6F"/>
    <w:rsid w:val="00B81003"/>
    <w:rsid w:val="00B81EC3"/>
    <w:rsid w:val="00B86258"/>
    <w:rsid w:val="00B87017"/>
    <w:rsid w:val="00B876EB"/>
    <w:rsid w:val="00B96713"/>
    <w:rsid w:val="00B96E8E"/>
    <w:rsid w:val="00BA0465"/>
    <w:rsid w:val="00BA0B64"/>
    <w:rsid w:val="00BA1D00"/>
    <w:rsid w:val="00BA2EBD"/>
    <w:rsid w:val="00BA36DD"/>
    <w:rsid w:val="00BA4B60"/>
    <w:rsid w:val="00BA7C0A"/>
    <w:rsid w:val="00BB05F6"/>
    <w:rsid w:val="00BB067F"/>
    <w:rsid w:val="00BB0AA9"/>
    <w:rsid w:val="00BB2270"/>
    <w:rsid w:val="00BB5885"/>
    <w:rsid w:val="00BC0815"/>
    <w:rsid w:val="00BC17A7"/>
    <w:rsid w:val="00BC66D7"/>
    <w:rsid w:val="00BC7280"/>
    <w:rsid w:val="00BD2564"/>
    <w:rsid w:val="00BD2EDB"/>
    <w:rsid w:val="00BD3787"/>
    <w:rsid w:val="00BD42FC"/>
    <w:rsid w:val="00BD50A9"/>
    <w:rsid w:val="00BD5A50"/>
    <w:rsid w:val="00BD6D1A"/>
    <w:rsid w:val="00BE17CE"/>
    <w:rsid w:val="00BE1DA0"/>
    <w:rsid w:val="00BE39FE"/>
    <w:rsid w:val="00BE6451"/>
    <w:rsid w:val="00BF1AEB"/>
    <w:rsid w:val="00BF2858"/>
    <w:rsid w:val="00BF488C"/>
    <w:rsid w:val="00BF60F8"/>
    <w:rsid w:val="00BF7398"/>
    <w:rsid w:val="00BF7E7D"/>
    <w:rsid w:val="00C00EDB"/>
    <w:rsid w:val="00C023AA"/>
    <w:rsid w:val="00C03538"/>
    <w:rsid w:val="00C03C2A"/>
    <w:rsid w:val="00C041B1"/>
    <w:rsid w:val="00C04872"/>
    <w:rsid w:val="00C04DF6"/>
    <w:rsid w:val="00C07A19"/>
    <w:rsid w:val="00C07FE8"/>
    <w:rsid w:val="00C11DF3"/>
    <w:rsid w:val="00C20B0C"/>
    <w:rsid w:val="00C20FD7"/>
    <w:rsid w:val="00C2285E"/>
    <w:rsid w:val="00C255EC"/>
    <w:rsid w:val="00C2627D"/>
    <w:rsid w:val="00C26B39"/>
    <w:rsid w:val="00C26F5D"/>
    <w:rsid w:val="00C27AA9"/>
    <w:rsid w:val="00C355E5"/>
    <w:rsid w:val="00C35D33"/>
    <w:rsid w:val="00C37399"/>
    <w:rsid w:val="00C42290"/>
    <w:rsid w:val="00C43603"/>
    <w:rsid w:val="00C453C7"/>
    <w:rsid w:val="00C458F3"/>
    <w:rsid w:val="00C46C5D"/>
    <w:rsid w:val="00C47D47"/>
    <w:rsid w:val="00C559E4"/>
    <w:rsid w:val="00C57C9B"/>
    <w:rsid w:val="00C62779"/>
    <w:rsid w:val="00C62F4B"/>
    <w:rsid w:val="00C672B0"/>
    <w:rsid w:val="00C701EE"/>
    <w:rsid w:val="00C828F3"/>
    <w:rsid w:val="00C95FC3"/>
    <w:rsid w:val="00C963A0"/>
    <w:rsid w:val="00C97FB6"/>
    <w:rsid w:val="00CA0E6A"/>
    <w:rsid w:val="00CA0F12"/>
    <w:rsid w:val="00CA37E2"/>
    <w:rsid w:val="00CA5927"/>
    <w:rsid w:val="00CA5952"/>
    <w:rsid w:val="00CB5785"/>
    <w:rsid w:val="00CB7FB3"/>
    <w:rsid w:val="00CC1989"/>
    <w:rsid w:val="00CC4B5C"/>
    <w:rsid w:val="00CC5057"/>
    <w:rsid w:val="00CD0026"/>
    <w:rsid w:val="00CD010F"/>
    <w:rsid w:val="00CD0C1B"/>
    <w:rsid w:val="00CD4A28"/>
    <w:rsid w:val="00CD4FE9"/>
    <w:rsid w:val="00CD5403"/>
    <w:rsid w:val="00CD606C"/>
    <w:rsid w:val="00CD6C1E"/>
    <w:rsid w:val="00CE0570"/>
    <w:rsid w:val="00CE16E1"/>
    <w:rsid w:val="00CE1847"/>
    <w:rsid w:val="00CE2174"/>
    <w:rsid w:val="00CE3DC3"/>
    <w:rsid w:val="00CE4B52"/>
    <w:rsid w:val="00CE6A01"/>
    <w:rsid w:val="00CE70D4"/>
    <w:rsid w:val="00CF46EF"/>
    <w:rsid w:val="00CF4FA4"/>
    <w:rsid w:val="00CF5F47"/>
    <w:rsid w:val="00CF6180"/>
    <w:rsid w:val="00D01EBB"/>
    <w:rsid w:val="00D02961"/>
    <w:rsid w:val="00D04F65"/>
    <w:rsid w:val="00D06838"/>
    <w:rsid w:val="00D0699C"/>
    <w:rsid w:val="00D0722C"/>
    <w:rsid w:val="00D075EA"/>
    <w:rsid w:val="00D1491B"/>
    <w:rsid w:val="00D1545C"/>
    <w:rsid w:val="00D16022"/>
    <w:rsid w:val="00D168F7"/>
    <w:rsid w:val="00D17D1B"/>
    <w:rsid w:val="00D21AA7"/>
    <w:rsid w:val="00D225AC"/>
    <w:rsid w:val="00D225B8"/>
    <w:rsid w:val="00D4025D"/>
    <w:rsid w:val="00D416AC"/>
    <w:rsid w:val="00D4183B"/>
    <w:rsid w:val="00D4185E"/>
    <w:rsid w:val="00D41E28"/>
    <w:rsid w:val="00D43240"/>
    <w:rsid w:val="00D4612E"/>
    <w:rsid w:val="00D508F2"/>
    <w:rsid w:val="00D536EB"/>
    <w:rsid w:val="00D57063"/>
    <w:rsid w:val="00D61967"/>
    <w:rsid w:val="00D628A2"/>
    <w:rsid w:val="00D62BB5"/>
    <w:rsid w:val="00D67C27"/>
    <w:rsid w:val="00D67ED8"/>
    <w:rsid w:val="00D70010"/>
    <w:rsid w:val="00D702D6"/>
    <w:rsid w:val="00D71D47"/>
    <w:rsid w:val="00D721D6"/>
    <w:rsid w:val="00D72983"/>
    <w:rsid w:val="00D73841"/>
    <w:rsid w:val="00D76545"/>
    <w:rsid w:val="00D77CE4"/>
    <w:rsid w:val="00D80F0D"/>
    <w:rsid w:val="00D84213"/>
    <w:rsid w:val="00D84513"/>
    <w:rsid w:val="00D87F7B"/>
    <w:rsid w:val="00D90655"/>
    <w:rsid w:val="00D942ED"/>
    <w:rsid w:val="00D95498"/>
    <w:rsid w:val="00D9693D"/>
    <w:rsid w:val="00D979D1"/>
    <w:rsid w:val="00DA1ADC"/>
    <w:rsid w:val="00DB02DB"/>
    <w:rsid w:val="00DB3AE7"/>
    <w:rsid w:val="00DB4C65"/>
    <w:rsid w:val="00DB4FC2"/>
    <w:rsid w:val="00DB787B"/>
    <w:rsid w:val="00DB7E31"/>
    <w:rsid w:val="00DC1566"/>
    <w:rsid w:val="00DC1A4E"/>
    <w:rsid w:val="00DC2FA5"/>
    <w:rsid w:val="00DC391B"/>
    <w:rsid w:val="00DC48B1"/>
    <w:rsid w:val="00DC577B"/>
    <w:rsid w:val="00DC751D"/>
    <w:rsid w:val="00DD0280"/>
    <w:rsid w:val="00DD0CC2"/>
    <w:rsid w:val="00DD3755"/>
    <w:rsid w:val="00DD636B"/>
    <w:rsid w:val="00DE045C"/>
    <w:rsid w:val="00DE0AF4"/>
    <w:rsid w:val="00DE0D3A"/>
    <w:rsid w:val="00DE27CB"/>
    <w:rsid w:val="00DE3838"/>
    <w:rsid w:val="00DF097C"/>
    <w:rsid w:val="00DF0C81"/>
    <w:rsid w:val="00DF1E6F"/>
    <w:rsid w:val="00E048F9"/>
    <w:rsid w:val="00E05C7E"/>
    <w:rsid w:val="00E06D4F"/>
    <w:rsid w:val="00E07FE3"/>
    <w:rsid w:val="00E10817"/>
    <w:rsid w:val="00E10B6B"/>
    <w:rsid w:val="00E10FFA"/>
    <w:rsid w:val="00E1538A"/>
    <w:rsid w:val="00E158AC"/>
    <w:rsid w:val="00E170D1"/>
    <w:rsid w:val="00E17571"/>
    <w:rsid w:val="00E22A2E"/>
    <w:rsid w:val="00E22D1E"/>
    <w:rsid w:val="00E246DA"/>
    <w:rsid w:val="00E24ECB"/>
    <w:rsid w:val="00E25245"/>
    <w:rsid w:val="00E254AB"/>
    <w:rsid w:val="00E27DF1"/>
    <w:rsid w:val="00E30077"/>
    <w:rsid w:val="00E316C2"/>
    <w:rsid w:val="00E335AC"/>
    <w:rsid w:val="00E34782"/>
    <w:rsid w:val="00E35B46"/>
    <w:rsid w:val="00E35B92"/>
    <w:rsid w:val="00E37005"/>
    <w:rsid w:val="00E40B1B"/>
    <w:rsid w:val="00E41AB4"/>
    <w:rsid w:val="00E42223"/>
    <w:rsid w:val="00E430C6"/>
    <w:rsid w:val="00E4341E"/>
    <w:rsid w:val="00E44B3A"/>
    <w:rsid w:val="00E47912"/>
    <w:rsid w:val="00E50110"/>
    <w:rsid w:val="00E52843"/>
    <w:rsid w:val="00E5295C"/>
    <w:rsid w:val="00E52EFA"/>
    <w:rsid w:val="00E54A8E"/>
    <w:rsid w:val="00E626C3"/>
    <w:rsid w:val="00E64DFE"/>
    <w:rsid w:val="00E656CB"/>
    <w:rsid w:val="00E66323"/>
    <w:rsid w:val="00E70C55"/>
    <w:rsid w:val="00E70FF5"/>
    <w:rsid w:val="00E72590"/>
    <w:rsid w:val="00E813A6"/>
    <w:rsid w:val="00E83714"/>
    <w:rsid w:val="00E83DF4"/>
    <w:rsid w:val="00E83F54"/>
    <w:rsid w:val="00E848E5"/>
    <w:rsid w:val="00E87097"/>
    <w:rsid w:val="00E90846"/>
    <w:rsid w:val="00E91756"/>
    <w:rsid w:val="00E91861"/>
    <w:rsid w:val="00E93122"/>
    <w:rsid w:val="00E94BDB"/>
    <w:rsid w:val="00E967B8"/>
    <w:rsid w:val="00E96808"/>
    <w:rsid w:val="00E978BB"/>
    <w:rsid w:val="00E97BC0"/>
    <w:rsid w:val="00E97CD2"/>
    <w:rsid w:val="00E97F32"/>
    <w:rsid w:val="00EA12AD"/>
    <w:rsid w:val="00EA1B89"/>
    <w:rsid w:val="00EA2845"/>
    <w:rsid w:val="00EA2FFB"/>
    <w:rsid w:val="00EA30C9"/>
    <w:rsid w:val="00EA397A"/>
    <w:rsid w:val="00EA4D21"/>
    <w:rsid w:val="00EA4D83"/>
    <w:rsid w:val="00EA6A1C"/>
    <w:rsid w:val="00EB1B31"/>
    <w:rsid w:val="00EB257C"/>
    <w:rsid w:val="00EB5A4B"/>
    <w:rsid w:val="00EB5C43"/>
    <w:rsid w:val="00EB64B2"/>
    <w:rsid w:val="00EB6628"/>
    <w:rsid w:val="00EC0455"/>
    <w:rsid w:val="00EC0C98"/>
    <w:rsid w:val="00EC1301"/>
    <w:rsid w:val="00EC1EFE"/>
    <w:rsid w:val="00EC3AA8"/>
    <w:rsid w:val="00EC6F98"/>
    <w:rsid w:val="00EC7C90"/>
    <w:rsid w:val="00ED0055"/>
    <w:rsid w:val="00ED03BE"/>
    <w:rsid w:val="00ED064E"/>
    <w:rsid w:val="00ED1CEB"/>
    <w:rsid w:val="00ED3418"/>
    <w:rsid w:val="00ED36E1"/>
    <w:rsid w:val="00ED413E"/>
    <w:rsid w:val="00ED493D"/>
    <w:rsid w:val="00ED7873"/>
    <w:rsid w:val="00EE01F9"/>
    <w:rsid w:val="00EE0685"/>
    <w:rsid w:val="00EE2310"/>
    <w:rsid w:val="00EE237A"/>
    <w:rsid w:val="00EE2848"/>
    <w:rsid w:val="00EE402D"/>
    <w:rsid w:val="00EE7988"/>
    <w:rsid w:val="00EF0C68"/>
    <w:rsid w:val="00EF1525"/>
    <w:rsid w:val="00EF1B32"/>
    <w:rsid w:val="00EF2CA1"/>
    <w:rsid w:val="00EF2F75"/>
    <w:rsid w:val="00EF333D"/>
    <w:rsid w:val="00EF3B30"/>
    <w:rsid w:val="00EF52A8"/>
    <w:rsid w:val="00EF5E90"/>
    <w:rsid w:val="00EF781C"/>
    <w:rsid w:val="00EF7E6E"/>
    <w:rsid w:val="00F00025"/>
    <w:rsid w:val="00F01F04"/>
    <w:rsid w:val="00F043B8"/>
    <w:rsid w:val="00F055A0"/>
    <w:rsid w:val="00F07470"/>
    <w:rsid w:val="00F11E12"/>
    <w:rsid w:val="00F122FF"/>
    <w:rsid w:val="00F14E6C"/>
    <w:rsid w:val="00F151B0"/>
    <w:rsid w:val="00F1659D"/>
    <w:rsid w:val="00F17C20"/>
    <w:rsid w:val="00F219D7"/>
    <w:rsid w:val="00F23389"/>
    <w:rsid w:val="00F238EC"/>
    <w:rsid w:val="00F263CE"/>
    <w:rsid w:val="00F30BDE"/>
    <w:rsid w:val="00F32906"/>
    <w:rsid w:val="00F35942"/>
    <w:rsid w:val="00F35C38"/>
    <w:rsid w:val="00F363CE"/>
    <w:rsid w:val="00F375A1"/>
    <w:rsid w:val="00F37A6A"/>
    <w:rsid w:val="00F41595"/>
    <w:rsid w:val="00F42265"/>
    <w:rsid w:val="00F4499F"/>
    <w:rsid w:val="00F44A43"/>
    <w:rsid w:val="00F44ADA"/>
    <w:rsid w:val="00F47396"/>
    <w:rsid w:val="00F473AA"/>
    <w:rsid w:val="00F52284"/>
    <w:rsid w:val="00F524C6"/>
    <w:rsid w:val="00F54132"/>
    <w:rsid w:val="00F54FBA"/>
    <w:rsid w:val="00F6075C"/>
    <w:rsid w:val="00F60D35"/>
    <w:rsid w:val="00F60EBE"/>
    <w:rsid w:val="00F614F0"/>
    <w:rsid w:val="00F6474B"/>
    <w:rsid w:val="00F6566A"/>
    <w:rsid w:val="00F65ADD"/>
    <w:rsid w:val="00F67065"/>
    <w:rsid w:val="00F67BB8"/>
    <w:rsid w:val="00F706BA"/>
    <w:rsid w:val="00F72505"/>
    <w:rsid w:val="00F73B95"/>
    <w:rsid w:val="00F7592B"/>
    <w:rsid w:val="00F769B5"/>
    <w:rsid w:val="00F82230"/>
    <w:rsid w:val="00F82257"/>
    <w:rsid w:val="00F84B9C"/>
    <w:rsid w:val="00F85571"/>
    <w:rsid w:val="00F87036"/>
    <w:rsid w:val="00F937B2"/>
    <w:rsid w:val="00F940FB"/>
    <w:rsid w:val="00F947C7"/>
    <w:rsid w:val="00FA0DF7"/>
    <w:rsid w:val="00FA3855"/>
    <w:rsid w:val="00FA3A6B"/>
    <w:rsid w:val="00FA3F0B"/>
    <w:rsid w:val="00FA4CB6"/>
    <w:rsid w:val="00FA62D9"/>
    <w:rsid w:val="00FA657D"/>
    <w:rsid w:val="00FA6FD8"/>
    <w:rsid w:val="00FA7ADA"/>
    <w:rsid w:val="00FB1061"/>
    <w:rsid w:val="00FB1CE4"/>
    <w:rsid w:val="00FB38F6"/>
    <w:rsid w:val="00FB44EC"/>
    <w:rsid w:val="00FB5216"/>
    <w:rsid w:val="00FB6322"/>
    <w:rsid w:val="00FB66E4"/>
    <w:rsid w:val="00FB718A"/>
    <w:rsid w:val="00FB74F5"/>
    <w:rsid w:val="00FB7AC7"/>
    <w:rsid w:val="00FB7F6F"/>
    <w:rsid w:val="00FC1B47"/>
    <w:rsid w:val="00FC2A46"/>
    <w:rsid w:val="00FC3334"/>
    <w:rsid w:val="00FC4884"/>
    <w:rsid w:val="00FC4D46"/>
    <w:rsid w:val="00FC5808"/>
    <w:rsid w:val="00FC5D3F"/>
    <w:rsid w:val="00FC78A5"/>
    <w:rsid w:val="00FD1076"/>
    <w:rsid w:val="00FD29B3"/>
    <w:rsid w:val="00FD3B15"/>
    <w:rsid w:val="00FD7FAD"/>
    <w:rsid w:val="00FE0FD8"/>
    <w:rsid w:val="00FE3215"/>
    <w:rsid w:val="00FE3B57"/>
    <w:rsid w:val="00FE3E13"/>
    <w:rsid w:val="00FE46FB"/>
    <w:rsid w:val="00FE634A"/>
    <w:rsid w:val="00FE662C"/>
    <w:rsid w:val="00FE6AEA"/>
    <w:rsid w:val="00FE7C7C"/>
    <w:rsid w:val="00FF076E"/>
    <w:rsid w:val="00FF1043"/>
    <w:rsid w:val="00FF13CA"/>
    <w:rsid w:val="00FF339C"/>
    <w:rsid w:val="00FF357E"/>
    <w:rsid w:val="00FF4953"/>
    <w:rsid w:val="00FF6143"/>
    <w:rsid w:val="00FF63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EA0E87"/>
  <w14:defaultImageDpi w14:val="330"/>
  <w15:chartTrackingRefBased/>
  <w15:docId w15:val="{69F09A5D-C813-40D8-AA93-8A2DF2CB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3"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4E6C"/>
    <w:pPr>
      <w:spacing w:before="240" w:after="240" w:line="240" w:lineRule="auto"/>
    </w:pPr>
    <w:rPr>
      <w:rFonts w:ascii="Times New Roman" w:eastAsia="Times New Roman" w:hAnsi="Times New Roman" w:cs="Times New Roman"/>
      <w:color w:val="000000"/>
      <w:kern w:val="0"/>
      <w:sz w:val="24"/>
      <w:szCs w:val="24"/>
      <w14:ligatures w14:val="none"/>
    </w:rPr>
  </w:style>
  <w:style w:type="paragraph" w:styleId="Heading1">
    <w:name w:val="heading 1"/>
    <w:basedOn w:val="Normal"/>
    <w:next w:val="Normal"/>
    <w:link w:val="Heading1Char"/>
    <w:uiPriority w:val="3"/>
    <w:qFormat/>
    <w:rsid w:val="0084564E"/>
    <w:pPr>
      <w:numPr>
        <w:numId w:val="2"/>
      </w:numPr>
      <w:spacing w:before="360" w:after="360"/>
      <w:outlineLvl w:val="0"/>
    </w:pPr>
    <w:rPr>
      <w:b/>
      <w:bCs/>
      <w:kern w:val="36"/>
    </w:rPr>
  </w:style>
  <w:style w:type="paragraph" w:styleId="Heading2">
    <w:name w:val="heading 2"/>
    <w:basedOn w:val="Normal"/>
    <w:next w:val="Normal"/>
    <w:link w:val="Heading2Char"/>
    <w:uiPriority w:val="3"/>
    <w:qFormat/>
    <w:rsid w:val="0084564E"/>
    <w:pPr>
      <w:numPr>
        <w:ilvl w:val="1"/>
        <w:numId w:val="2"/>
      </w:numPr>
      <w:spacing w:before="360" w:after="360"/>
      <w:outlineLvl w:val="1"/>
    </w:pPr>
    <w:rPr>
      <w:b/>
      <w:bCs/>
    </w:rPr>
  </w:style>
  <w:style w:type="paragraph" w:styleId="Heading3">
    <w:name w:val="heading 3"/>
    <w:basedOn w:val="Normal"/>
    <w:next w:val="Normal"/>
    <w:link w:val="Heading3Char"/>
    <w:uiPriority w:val="3"/>
    <w:qFormat/>
    <w:rsid w:val="0084564E"/>
    <w:pPr>
      <w:numPr>
        <w:ilvl w:val="2"/>
        <w:numId w:val="2"/>
      </w:numPr>
      <w:spacing w:before="360" w:after="36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12"/>
    <w:qFormat/>
    <w:rsid w:val="0084564E"/>
    <w:pPr>
      <w:spacing w:before="0"/>
      <w:jc w:val="both"/>
    </w:pPr>
    <w:rPr>
      <w:b/>
      <w:bCs/>
      <w:sz w:val="22"/>
      <w:szCs w:val="22"/>
    </w:rPr>
  </w:style>
  <w:style w:type="character" w:customStyle="1" w:styleId="Heading2Char">
    <w:name w:val="Heading 2 Char"/>
    <w:basedOn w:val="DefaultParagraphFont"/>
    <w:link w:val="Heading2"/>
    <w:uiPriority w:val="3"/>
    <w:rsid w:val="0084564E"/>
    <w:rPr>
      <w:rFonts w:ascii="Times New Roman" w:eastAsia="Times New Roman" w:hAnsi="Times New Roman" w:cs="Times New Roman"/>
      <w:b/>
      <w:bCs/>
      <w:color w:val="000000"/>
      <w:kern w:val="0"/>
      <w:sz w:val="24"/>
      <w:szCs w:val="24"/>
      <w14:ligatures w14:val="none"/>
    </w:rPr>
  </w:style>
  <w:style w:type="character" w:customStyle="1" w:styleId="Heading3Char">
    <w:name w:val="Heading 3 Char"/>
    <w:basedOn w:val="DefaultParagraphFont"/>
    <w:link w:val="Heading3"/>
    <w:uiPriority w:val="3"/>
    <w:rsid w:val="0084564E"/>
    <w:rPr>
      <w:rFonts w:ascii="Times New Roman" w:eastAsia="Times New Roman" w:hAnsi="Times New Roman" w:cs="Times New Roman"/>
      <w:b/>
      <w:bCs/>
      <w:color w:val="000000"/>
      <w:kern w:val="0"/>
      <w:sz w:val="24"/>
      <w:szCs w:val="24"/>
      <w14:ligatures w14:val="none"/>
    </w:rPr>
  </w:style>
  <w:style w:type="character" w:customStyle="1" w:styleId="Heading1Char">
    <w:name w:val="Heading 1 Char"/>
    <w:basedOn w:val="DefaultParagraphFont"/>
    <w:link w:val="Heading1"/>
    <w:uiPriority w:val="3"/>
    <w:rsid w:val="0084564E"/>
    <w:rPr>
      <w:rFonts w:ascii="Times New Roman" w:eastAsia="Times New Roman" w:hAnsi="Times New Roman" w:cs="Times New Roman"/>
      <w:b/>
      <w:bCs/>
      <w:color w:val="000000"/>
      <w:kern w:val="36"/>
      <w:sz w:val="24"/>
      <w:szCs w:val="24"/>
      <w14:ligatures w14:val="none"/>
    </w:rPr>
  </w:style>
  <w:style w:type="paragraph" w:styleId="Title">
    <w:name w:val="Title"/>
    <w:basedOn w:val="Normal"/>
    <w:next w:val="Normal"/>
    <w:link w:val="TitleChar"/>
    <w:uiPriority w:val="6"/>
    <w:qFormat/>
    <w:rsid w:val="0084564E"/>
    <w:pPr>
      <w:spacing w:before="0" w:after="360"/>
    </w:pPr>
    <w:rPr>
      <w:sz w:val="48"/>
      <w:szCs w:val="48"/>
    </w:rPr>
  </w:style>
  <w:style w:type="character" w:customStyle="1" w:styleId="TitleChar">
    <w:name w:val="Title Char"/>
    <w:basedOn w:val="DefaultParagraphFont"/>
    <w:link w:val="Title"/>
    <w:uiPriority w:val="6"/>
    <w:rsid w:val="0084564E"/>
    <w:rPr>
      <w:rFonts w:ascii="Times New Roman" w:eastAsia="Times New Roman" w:hAnsi="Times New Roman" w:cs="Times New Roman"/>
      <w:color w:val="000000"/>
      <w:kern w:val="0"/>
      <w:sz w:val="48"/>
      <w:szCs w:val="48"/>
      <w14:ligatures w14:val="none"/>
    </w:rPr>
  </w:style>
  <w:style w:type="paragraph" w:styleId="ListParagraph">
    <w:name w:val="List Paragraph"/>
    <w:basedOn w:val="Normal"/>
    <w:link w:val="ListParagraphChar"/>
    <w:uiPriority w:val="34"/>
    <w:qFormat/>
    <w:rsid w:val="0084564E"/>
    <w:pPr>
      <w:ind w:left="720"/>
      <w:contextualSpacing/>
    </w:pPr>
  </w:style>
  <w:style w:type="paragraph" w:styleId="Subtitle">
    <w:name w:val="Subtitle"/>
    <w:basedOn w:val="Normal"/>
    <w:next w:val="Normal"/>
    <w:link w:val="SubtitleChar"/>
    <w:uiPriority w:val="9"/>
    <w:qFormat/>
    <w:rsid w:val="0084564E"/>
    <w:pPr>
      <w:spacing w:before="360" w:after="0"/>
      <w:jc w:val="center"/>
    </w:pPr>
    <w:rPr>
      <w:noProof/>
      <w:bdr w:val="none" w:sz="0" w:space="0" w:color="auto" w:frame="1"/>
    </w:rPr>
  </w:style>
  <w:style w:type="character" w:customStyle="1" w:styleId="SubtitleChar">
    <w:name w:val="Subtitle Char"/>
    <w:basedOn w:val="DefaultParagraphFont"/>
    <w:link w:val="Subtitle"/>
    <w:uiPriority w:val="9"/>
    <w:rsid w:val="0084564E"/>
    <w:rPr>
      <w:rFonts w:ascii="Times New Roman" w:eastAsia="Times New Roman" w:hAnsi="Times New Roman" w:cs="Times New Roman"/>
      <w:noProof/>
      <w:color w:val="000000"/>
      <w:kern w:val="0"/>
      <w:sz w:val="24"/>
      <w:szCs w:val="24"/>
      <w:bdr w:val="none" w:sz="0" w:space="0" w:color="auto" w:frame="1"/>
      <w14:ligatures w14:val="none"/>
    </w:rPr>
  </w:style>
  <w:style w:type="character" w:styleId="CommentReference">
    <w:name w:val="annotation reference"/>
    <w:basedOn w:val="DefaultParagraphFont"/>
    <w:uiPriority w:val="99"/>
    <w:semiHidden/>
    <w:unhideWhenUsed/>
    <w:rsid w:val="0084564E"/>
    <w:rPr>
      <w:sz w:val="16"/>
      <w:szCs w:val="16"/>
    </w:rPr>
  </w:style>
  <w:style w:type="paragraph" w:styleId="CommentText">
    <w:name w:val="annotation text"/>
    <w:basedOn w:val="Normal"/>
    <w:link w:val="CommentTextChar"/>
    <w:uiPriority w:val="99"/>
    <w:unhideWhenUsed/>
    <w:rsid w:val="0084564E"/>
    <w:rPr>
      <w:sz w:val="20"/>
      <w:szCs w:val="20"/>
    </w:rPr>
  </w:style>
  <w:style w:type="character" w:customStyle="1" w:styleId="CommentTextChar">
    <w:name w:val="Comment Text Char"/>
    <w:basedOn w:val="DefaultParagraphFont"/>
    <w:link w:val="CommentText"/>
    <w:uiPriority w:val="99"/>
    <w:rsid w:val="0084564E"/>
    <w:rPr>
      <w:rFonts w:ascii="Times New Roman" w:eastAsia="Times New Roman" w:hAnsi="Times New Roman" w:cs="Times New Roman"/>
      <w:color w:val="000000"/>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84564E"/>
    <w:rPr>
      <w:b/>
      <w:bCs/>
    </w:rPr>
  </w:style>
  <w:style w:type="character" w:customStyle="1" w:styleId="CommentSubjectChar">
    <w:name w:val="Comment Subject Char"/>
    <w:basedOn w:val="CommentTextChar"/>
    <w:link w:val="CommentSubject"/>
    <w:uiPriority w:val="99"/>
    <w:semiHidden/>
    <w:rsid w:val="0084564E"/>
    <w:rPr>
      <w:rFonts w:ascii="Times New Roman" w:eastAsia="Times New Roman" w:hAnsi="Times New Roman" w:cs="Times New Roman"/>
      <w:b/>
      <w:bCs/>
      <w:color w:val="000000"/>
      <w:kern w:val="0"/>
      <w:sz w:val="20"/>
      <w:szCs w:val="20"/>
      <w14:ligatures w14:val="none"/>
    </w:rPr>
  </w:style>
  <w:style w:type="paragraph" w:styleId="Revision">
    <w:name w:val="Revision"/>
    <w:hidden/>
    <w:uiPriority w:val="99"/>
    <w:semiHidden/>
    <w:rsid w:val="0084564E"/>
    <w:pPr>
      <w:spacing w:after="0" w:line="240" w:lineRule="auto"/>
    </w:pPr>
    <w:rPr>
      <w:rFonts w:ascii="Times New Roman" w:eastAsia="Times New Roman" w:hAnsi="Times New Roman" w:cs="Times New Roman"/>
      <w:color w:val="000000"/>
      <w:kern w:val="0"/>
      <w:sz w:val="24"/>
      <w:szCs w:val="24"/>
      <w14:ligatures w14:val="none"/>
    </w:rPr>
  </w:style>
  <w:style w:type="paragraph" w:styleId="NormalWeb">
    <w:name w:val="Normal (Web)"/>
    <w:basedOn w:val="Normal"/>
    <w:uiPriority w:val="99"/>
    <w:unhideWhenUsed/>
    <w:rsid w:val="0084564E"/>
    <w:pPr>
      <w:spacing w:before="100" w:beforeAutospacing="1" w:after="100" w:afterAutospacing="1"/>
    </w:pPr>
    <w:rPr>
      <w:color w:val="auto"/>
    </w:rPr>
  </w:style>
  <w:style w:type="character" w:styleId="Hyperlink">
    <w:name w:val="Hyperlink"/>
    <w:basedOn w:val="DefaultParagraphFont"/>
    <w:uiPriority w:val="99"/>
    <w:unhideWhenUsed/>
    <w:rsid w:val="0084564E"/>
    <w:rPr>
      <w:color w:val="0563C1" w:themeColor="hyperlink"/>
      <w:u w:val="single"/>
    </w:rPr>
  </w:style>
  <w:style w:type="character" w:styleId="UnresolvedMention">
    <w:name w:val="Unresolved Mention"/>
    <w:basedOn w:val="DefaultParagraphFont"/>
    <w:uiPriority w:val="99"/>
    <w:semiHidden/>
    <w:unhideWhenUsed/>
    <w:rsid w:val="004C5633"/>
    <w:rPr>
      <w:color w:val="605E5C"/>
      <w:shd w:val="clear" w:color="auto" w:fill="E1DFDD"/>
    </w:rPr>
  </w:style>
  <w:style w:type="table" w:styleId="TableGrid">
    <w:name w:val="Table Grid"/>
    <w:basedOn w:val="TableNormal"/>
    <w:uiPriority w:val="39"/>
    <w:rsid w:val="008456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A5927"/>
    <w:rPr>
      <w:color w:val="954F72" w:themeColor="followedHyperlink"/>
      <w:u w:val="single"/>
    </w:rPr>
  </w:style>
  <w:style w:type="character" w:customStyle="1" w:styleId="cf01">
    <w:name w:val="cf01"/>
    <w:basedOn w:val="DefaultParagraphFont"/>
    <w:rsid w:val="0084564E"/>
    <w:rPr>
      <w:rFonts w:ascii="Segoe UI" w:hAnsi="Segoe UI" w:cs="Segoe UI" w:hint="default"/>
      <w:sz w:val="18"/>
      <w:szCs w:val="18"/>
    </w:rPr>
  </w:style>
  <w:style w:type="paragraph" w:styleId="TOCHeading">
    <w:name w:val="TOC Heading"/>
    <w:basedOn w:val="Heading1"/>
    <w:next w:val="Normal"/>
    <w:uiPriority w:val="39"/>
    <w:unhideWhenUsed/>
    <w:qFormat/>
    <w:rsid w:val="0084564E"/>
    <w:pPr>
      <w:keepNext/>
      <w:keepLines/>
      <w:numPr>
        <w:numId w:val="0"/>
      </w:numPr>
      <w:spacing w:before="240" w:after="0" w:line="259" w:lineRule="auto"/>
      <w:outlineLvl w:val="9"/>
    </w:pPr>
    <w:rPr>
      <w:rFonts w:eastAsiaTheme="majorEastAsia"/>
      <w:color w:val="auto"/>
      <w:kern w:val="0"/>
      <w:sz w:val="28"/>
      <w:szCs w:val="28"/>
    </w:rPr>
  </w:style>
  <w:style w:type="paragraph" w:styleId="TOC1">
    <w:name w:val="toc 1"/>
    <w:basedOn w:val="Normal"/>
    <w:next w:val="Normal"/>
    <w:autoRedefine/>
    <w:uiPriority w:val="39"/>
    <w:unhideWhenUsed/>
    <w:rsid w:val="0084564E"/>
    <w:pPr>
      <w:tabs>
        <w:tab w:val="left" w:pos="480"/>
        <w:tab w:val="right" w:leader="dot" w:pos="9350"/>
      </w:tabs>
      <w:spacing w:before="160" w:after="100"/>
    </w:pPr>
    <w:rPr>
      <w:sz w:val="22"/>
    </w:rPr>
  </w:style>
  <w:style w:type="paragraph" w:styleId="TOC2">
    <w:name w:val="toc 2"/>
    <w:basedOn w:val="Normal"/>
    <w:next w:val="Normal"/>
    <w:autoRedefine/>
    <w:uiPriority w:val="39"/>
    <w:unhideWhenUsed/>
    <w:rsid w:val="0052110D"/>
    <w:pPr>
      <w:tabs>
        <w:tab w:val="left" w:pos="960"/>
        <w:tab w:val="right" w:leader="dot" w:pos="9350"/>
      </w:tabs>
      <w:spacing w:before="100" w:after="100"/>
    </w:pPr>
    <w:rPr>
      <w:sz w:val="22"/>
    </w:rPr>
  </w:style>
  <w:style w:type="paragraph" w:styleId="TOC3">
    <w:name w:val="toc 3"/>
    <w:basedOn w:val="Normal"/>
    <w:next w:val="Normal"/>
    <w:autoRedefine/>
    <w:uiPriority w:val="39"/>
    <w:unhideWhenUsed/>
    <w:rsid w:val="0084564E"/>
    <w:pPr>
      <w:spacing w:after="100"/>
      <w:ind w:left="480"/>
    </w:pPr>
  </w:style>
  <w:style w:type="paragraph" w:customStyle="1" w:styleId="Authors">
    <w:name w:val="Authors"/>
    <w:basedOn w:val="Normal"/>
    <w:link w:val="AuthorsChar"/>
    <w:uiPriority w:val="7"/>
    <w:qFormat/>
    <w:rsid w:val="0084564E"/>
    <w:rPr>
      <w:sz w:val="20"/>
      <w:szCs w:val="20"/>
      <w:shd w:val="clear" w:color="auto" w:fill="FFFFFF"/>
    </w:rPr>
  </w:style>
  <w:style w:type="character" w:customStyle="1" w:styleId="AuthorsChar">
    <w:name w:val="Authors Char"/>
    <w:basedOn w:val="DefaultParagraphFont"/>
    <w:link w:val="Authors"/>
    <w:uiPriority w:val="7"/>
    <w:rsid w:val="0084564E"/>
    <w:rPr>
      <w:rFonts w:ascii="Times New Roman" w:eastAsia="Times New Roman" w:hAnsi="Times New Roman" w:cs="Times New Roman"/>
      <w:color w:val="000000"/>
      <w:kern w:val="0"/>
      <w:sz w:val="20"/>
      <w:szCs w:val="20"/>
      <w14:ligatures w14:val="none"/>
    </w:rPr>
  </w:style>
  <w:style w:type="paragraph" w:customStyle="1" w:styleId="Affiliations">
    <w:name w:val="Affiliations"/>
    <w:basedOn w:val="Normal"/>
    <w:link w:val="AffiliationsChar"/>
    <w:uiPriority w:val="8"/>
    <w:qFormat/>
    <w:rsid w:val="0084564E"/>
    <w:pPr>
      <w:spacing w:before="0" w:after="0"/>
    </w:pPr>
    <w:rPr>
      <w:sz w:val="18"/>
      <w:szCs w:val="18"/>
      <w:shd w:val="clear" w:color="auto" w:fill="FFFFFF"/>
    </w:rPr>
  </w:style>
  <w:style w:type="character" w:customStyle="1" w:styleId="AffiliationsChar">
    <w:name w:val="Affiliations Char"/>
    <w:basedOn w:val="DefaultParagraphFont"/>
    <w:link w:val="Affiliations"/>
    <w:uiPriority w:val="8"/>
    <w:rsid w:val="0084564E"/>
    <w:rPr>
      <w:rFonts w:ascii="Times New Roman" w:eastAsia="Times New Roman" w:hAnsi="Times New Roman" w:cs="Times New Roman"/>
      <w:color w:val="000000"/>
      <w:kern w:val="0"/>
      <w:sz w:val="18"/>
      <w:szCs w:val="18"/>
      <w14:ligatures w14:val="none"/>
    </w:rPr>
  </w:style>
  <w:style w:type="paragraph" w:customStyle="1" w:styleId="Table">
    <w:name w:val="Table"/>
    <w:basedOn w:val="Normal"/>
    <w:link w:val="TableChar"/>
    <w:uiPriority w:val="2"/>
    <w:qFormat/>
    <w:rsid w:val="0084564E"/>
    <w:pPr>
      <w:spacing w:before="0" w:after="0"/>
      <w:jc w:val="center"/>
    </w:pPr>
    <w:rPr>
      <w:noProof/>
    </w:rPr>
  </w:style>
  <w:style w:type="character" w:customStyle="1" w:styleId="TableChar">
    <w:name w:val="Table Char"/>
    <w:basedOn w:val="DefaultParagraphFont"/>
    <w:link w:val="Table"/>
    <w:uiPriority w:val="2"/>
    <w:rsid w:val="0084564E"/>
    <w:rPr>
      <w:rFonts w:ascii="Times New Roman" w:eastAsia="Times New Roman" w:hAnsi="Times New Roman" w:cs="Times New Roman"/>
      <w:noProof/>
      <w:color w:val="000000"/>
      <w:kern w:val="0"/>
      <w:sz w:val="24"/>
      <w:szCs w:val="24"/>
      <w14:ligatures w14:val="none"/>
    </w:rPr>
  </w:style>
  <w:style w:type="paragraph" w:customStyle="1" w:styleId="TableCaption">
    <w:name w:val="Table Caption"/>
    <w:basedOn w:val="Caption"/>
    <w:link w:val="TableCaptionChar"/>
    <w:uiPriority w:val="2"/>
    <w:qFormat/>
    <w:rsid w:val="0084564E"/>
    <w:pPr>
      <w:spacing w:before="360" w:after="0"/>
    </w:pPr>
    <w:rPr>
      <w:b w:val="0"/>
      <w:bCs w:val="0"/>
    </w:rPr>
  </w:style>
  <w:style w:type="character" w:customStyle="1" w:styleId="CaptionChar">
    <w:name w:val="Caption Char"/>
    <w:basedOn w:val="DefaultParagraphFont"/>
    <w:link w:val="Caption"/>
    <w:uiPriority w:val="12"/>
    <w:rsid w:val="0084564E"/>
    <w:rPr>
      <w:rFonts w:ascii="Times New Roman" w:eastAsia="Times New Roman" w:hAnsi="Times New Roman" w:cs="Times New Roman"/>
      <w:b/>
      <w:bCs/>
      <w:color w:val="000000"/>
      <w:kern w:val="0"/>
      <w14:ligatures w14:val="none"/>
    </w:rPr>
  </w:style>
  <w:style w:type="character" w:customStyle="1" w:styleId="TableCaptionChar">
    <w:name w:val="Table Caption Char"/>
    <w:basedOn w:val="CaptionChar"/>
    <w:link w:val="TableCaption"/>
    <w:uiPriority w:val="2"/>
    <w:rsid w:val="0084564E"/>
    <w:rPr>
      <w:rFonts w:ascii="Times New Roman" w:eastAsia="Times New Roman" w:hAnsi="Times New Roman" w:cs="Times New Roman"/>
      <w:b w:val="0"/>
      <w:bCs w:val="0"/>
      <w:color w:val="000000"/>
      <w:kern w:val="0"/>
      <w14:ligatures w14:val="none"/>
    </w:rPr>
  </w:style>
  <w:style w:type="paragraph" w:customStyle="1" w:styleId="Figure">
    <w:name w:val="Figure"/>
    <w:basedOn w:val="Subtitle"/>
    <w:link w:val="FigureChar"/>
    <w:uiPriority w:val="1"/>
    <w:qFormat/>
    <w:rsid w:val="0084564E"/>
  </w:style>
  <w:style w:type="character" w:customStyle="1" w:styleId="FigureChar">
    <w:name w:val="Figure Char"/>
    <w:basedOn w:val="SubtitleChar"/>
    <w:link w:val="Figure"/>
    <w:uiPriority w:val="1"/>
    <w:rsid w:val="0084564E"/>
    <w:rPr>
      <w:rFonts w:ascii="Times New Roman" w:eastAsia="Times New Roman" w:hAnsi="Times New Roman" w:cs="Times New Roman"/>
      <w:noProof/>
      <w:color w:val="000000"/>
      <w:kern w:val="0"/>
      <w:sz w:val="24"/>
      <w:szCs w:val="24"/>
      <w:bdr w:val="none" w:sz="0" w:space="0" w:color="auto" w:frame="1"/>
      <w14:ligatures w14:val="none"/>
    </w:rPr>
  </w:style>
  <w:style w:type="paragraph" w:customStyle="1" w:styleId="FigureCaption">
    <w:name w:val="Figure Caption"/>
    <w:basedOn w:val="Caption"/>
    <w:link w:val="FigureCaptionChar"/>
    <w:uiPriority w:val="1"/>
    <w:qFormat/>
    <w:rsid w:val="0084564E"/>
    <w:pPr>
      <w:spacing w:after="360"/>
    </w:pPr>
    <w:rPr>
      <w:b w:val="0"/>
      <w:bCs w:val="0"/>
    </w:rPr>
  </w:style>
  <w:style w:type="character" w:customStyle="1" w:styleId="FigureCaptionChar">
    <w:name w:val="Figure Caption Char"/>
    <w:basedOn w:val="CaptionChar"/>
    <w:link w:val="FigureCaption"/>
    <w:uiPriority w:val="1"/>
    <w:rsid w:val="0084564E"/>
    <w:rPr>
      <w:rFonts w:ascii="Times New Roman" w:eastAsia="Times New Roman" w:hAnsi="Times New Roman" w:cs="Times New Roman"/>
      <w:b w:val="0"/>
      <w:bCs w:val="0"/>
      <w:color w:val="000000"/>
      <w:kern w:val="0"/>
      <w14:ligatures w14:val="none"/>
    </w:rPr>
  </w:style>
  <w:style w:type="paragraph" w:customStyle="1" w:styleId="BackMatter">
    <w:name w:val="Back Matter"/>
    <w:basedOn w:val="Heading1"/>
    <w:next w:val="Normal"/>
    <w:link w:val="BackMatterChar"/>
    <w:uiPriority w:val="4"/>
    <w:qFormat/>
    <w:rsid w:val="0084564E"/>
    <w:pPr>
      <w:numPr>
        <w:numId w:val="0"/>
      </w:numPr>
      <w:spacing w:before="480"/>
      <w:ind w:left="720" w:hanging="720"/>
    </w:pPr>
  </w:style>
  <w:style w:type="character" w:customStyle="1" w:styleId="BackMatterChar">
    <w:name w:val="Back Matter Char"/>
    <w:basedOn w:val="Heading1Char"/>
    <w:link w:val="BackMatter"/>
    <w:uiPriority w:val="4"/>
    <w:rsid w:val="0084564E"/>
    <w:rPr>
      <w:rFonts w:ascii="Times New Roman" w:eastAsia="Times New Roman" w:hAnsi="Times New Roman" w:cs="Times New Roman"/>
      <w:b/>
      <w:bCs/>
      <w:color w:val="000000"/>
      <w:kern w:val="36"/>
      <w:sz w:val="24"/>
      <w:szCs w:val="24"/>
      <w14:ligatures w14:val="none"/>
    </w:rPr>
  </w:style>
  <w:style w:type="paragraph" w:customStyle="1" w:styleId="Appendix">
    <w:name w:val="Appendix"/>
    <w:basedOn w:val="Heading2"/>
    <w:next w:val="Normal"/>
    <w:link w:val="AppendixChar"/>
    <w:uiPriority w:val="5"/>
    <w:qFormat/>
    <w:rsid w:val="00F263CE"/>
    <w:pPr>
      <w:pageBreakBefore/>
      <w:numPr>
        <w:ilvl w:val="0"/>
        <w:numId w:val="14"/>
      </w:numPr>
      <w:spacing w:after="480"/>
    </w:pPr>
  </w:style>
  <w:style w:type="character" w:customStyle="1" w:styleId="ListParagraphChar">
    <w:name w:val="List Paragraph Char"/>
    <w:basedOn w:val="DefaultParagraphFont"/>
    <w:link w:val="ListParagraph"/>
    <w:uiPriority w:val="34"/>
    <w:rsid w:val="0084564E"/>
    <w:rPr>
      <w:rFonts w:ascii="Times New Roman" w:eastAsia="Times New Roman" w:hAnsi="Times New Roman" w:cs="Times New Roman"/>
      <w:color w:val="000000"/>
      <w:kern w:val="0"/>
      <w:sz w:val="24"/>
      <w:szCs w:val="24"/>
      <w14:ligatures w14:val="none"/>
    </w:rPr>
  </w:style>
  <w:style w:type="character" w:customStyle="1" w:styleId="AppendixChar">
    <w:name w:val="Appendix Char"/>
    <w:basedOn w:val="ListParagraphChar"/>
    <w:link w:val="Appendix"/>
    <w:uiPriority w:val="5"/>
    <w:rsid w:val="00F263CE"/>
    <w:rPr>
      <w:rFonts w:ascii="Times New Roman" w:eastAsia="Times New Roman" w:hAnsi="Times New Roman" w:cs="Times New Roman"/>
      <w:b/>
      <w:bCs/>
      <w:color w:val="000000"/>
      <w:kern w:val="0"/>
      <w:sz w:val="24"/>
      <w:szCs w:val="24"/>
      <w14:ligatures w14:val="none"/>
    </w:rPr>
  </w:style>
  <w:style w:type="paragraph" w:customStyle="1" w:styleId="AppendixHeading2">
    <w:name w:val="Appendix Heading 2"/>
    <w:basedOn w:val="Heading3"/>
    <w:next w:val="Normal"/>
    <w:link w:val="AppendixHeading2Char"/>
    <w:uiPriority w:val="5"/>
    <w:qFormat/>
    <w:rsid w:val="00AD3C87"/>
    <w:pPr>
      <w:numPr>
        <w:ilvl w:val="1"/>
        <w:numId w:val="4"/>
      </w:numPr>
      <w:spacing w:after="240"/>
    </w:pPr>
  </w:style>
  <w:style w:type="character" w:customStyle="1" w:styleId="AppendixHeading2Char">
    <w:name w:val="Appendix Heading 2 Char"/>
    <w:basedOn w:val="AppendixChar"/>
    <w:link w:val="AppendixHeading2"/>
    <w:uiPriority w:val="5"/>
    <w:rsid w:val="00AD3C87"/>
    <w:rPr>
      <w:rFonts w:ascii="Times New Roman" w:eastAsia="Times New Roman" w:hAnsi="Times New Roman" w:cs="Times New Roman"/>
      <w:b/>
      <w:bCs/>
      <w:color w:val="000000"/>
      <w:kern w:val="0"/>
      <w:sz w:val="24"/>
      <w:szCs w:val="24"/>
      <w14:ligatures w14:val="none"/>
    </w:rPr>
  </w:style>
  <w:style w:type="character" w:styleId="Emphasis">
    <w:name w:val="Emphasis"/>
    <w:basedOn w:val="DefaultParagraphFont"/>
    <w:uiPriority w:val="20"/>
    <w:qFormat/>
    <w:rsid w:val="0069662E"/>
    <w:rPr>
      <w:b/>
      <w:bCs/>
      <w:color w:val="156082"/>
    </w:rPr>
  </w:style>
  <w:style w:type="paragraph" w:styleId="Bibliography">
    <w:name w:val="Bibliography"/>
    <w:basedOn w:val="Normal"/>
    <w:next w:val="Normal"/>
    <w:uiPriority w:val="37"/>
    <w:unhideWhenUsed/>
    <w:rsid w:val="0046065D"/>
    <w:pPr>
      <w:spacing w:after="0"/>
      <w:ind w:left="720" w:hanging="720"/>
    </w:pPr>
  </w:style>
  <w:style w:type="character" w:styleId="LineNumber">
    <w:name w:val="line number"/>
    <w:basedOn w:val="DefaultParagraphFont"/>
    <w:uiPriority w:val="99"/>
    <w:semiHidden/>
    <w:unhideWhenUsed/>
    <w:rsid w:val="002932BF"/>
  </w:style>
  <w:style w:type="character" w:styleId="PlaceholderText">
    <w:name w:val="Placeholder Text"/>
    <w:basedOn w:val="DefaultParagraphFont"/>
    <w:uiPriority w:val="99"/>
    <w:semiHidden/>
    <w:rsid w:val="00081FBD"/>
    <w:rPr>
      <w:color w:val="666666"/>
    </w:rPr>
  </w:style>
  <w:style w:type="numbering" w:customStyle="1" w:styleId="Style1">
    <w:name w:val="Style1"/>
    <w:uiPriority w:val="99"/>
    <w:rsid w:val="005760A4"/>
    <w:pPr>
      <w:numPr>
        <w:numId w:val="13"/>
      </w:numPr>
    </w:pPr>
  </w:style>
  <w:style w:type="paragraph" w:styleId="Header">
    <w:name w:val="header"/>
    <w:basedOn w:val="Normal"/>
    <w:link w:val="HeaderChar"/>
    <w:uiPriority w:val="99"/>
    <w:unhideWhenUsed/>
    <w:rsid w:val="00F263CE"/>
    <w:pPr>
      <w:tabs>
        <w:tab w:val="center" w:pos="4680"/>
        <w:tab w:val="right" w:pos="9360"/>
      </w:tabs>
      <w:spacing w:before="0" w:after="0"/>
    </w:pPr>
  </w:style>
  <w:style w:type="character" w:customStyle="1" w:styleId="HeaderChar">
    <w:name w:val="Header Char"/>
    <w:basedOn w:val="DefaultParagraphFont"/>
    <w:link w:val="Header"/>
    <w:uiPriority w:val="99"/>
    <w:rsid w:val="00F263CE"/>
    <w:rPr>
      <w:rFonts w:ascii="Times New Roman" w:eastAsia="Times New Roman" w:hAnsi="Times New Roman" w:cs="Times New Roman"/>
      <w:color w:val="000000"/>
      <w:kern w:val="0"/>
      <w:sz w:val="24"/>
      <w:szCs w:val="24"/>
      <w14:ligatures w14:val="none"/>
    </w:rPr>
  </w:style>
  <w:style w:type="paragraph" w:styleId="Footer">
    <w:name w:val="footer"/>
    <w:basedOn w:val="Normal"/>
    <w:link w:val="FooterChar"/>
    <w:uiPriority w:val="99"/>
    <w:unhideWhenUsed/>
    <w:rsid w:val="00F263CE"/>
    <w:pPr>
      <w:tabs>
        <w:tab w:val="center" w:pos="4680"/>
        <w:tab w:val="right" w:pos="9360"/>
      </w:tabs>
      <w:spacing w:before="0" w:after="0"/>
    </w:pPr>
  </w:style>
  <w:style w:type="character" w:customStyle="1" w:styleId="FooterChar">
    <w:name w:val="Footer Char"/>
    <w:basedOn w:val="DefaultParagraphFont"/>
    <w:link w:val="Footer"/>
    <w:uiPriority w:val="99"/>
    <w:rsid w:val="00F263CE"/>
    <w:rPr>
      <w:rFonts w:ascii="Times New Roman" w:eastAsia="Times New Roman" w:hAnsi="Times New Roman" w:cs="Times New Roman"/>
      <w:color w:val="000000"/>
      <w:kern w:val="0"/>
      <w:sz w:val="24"/>
      <w:szCs w:val="24"/>
      <w14:ligatures w14:val="none"/>
    </w:rPr>
  </w:style>
  <w:style w:type="paragraph" w:styleId="TableofFigures">
    <w:name w:val="table of figures"/>
    <w:basedOn w:val="Normal"/>
    <w:next w:val="Normal"/>
    <w:uiPriority w:val="99"/>
    <w:unhideWhenUsed/>
    <w:rsid w:val="006258A9"/>
    <w:pPr>
      <w:spacing w:before="0" w:after="0"/>
    </w:pPr>
    <w:rPr>
      <w:sz w:val="20"/>
    </w:rPr>
  </w:style>
  <w:style w:type="paragraph" w:customStyle="1" w:styleId="Style2">
    <w:name w:val="Style2"/>
    <w:basedOn w:val="TableCaption"/>
    <w:qFormat/>
    <w:rsid w:val="0037143E"/>
    <w:pPr>
      <w:spacing w:before="0"/>
      <w:jc w:val="left"/>
    </w:pPr>
    <w:rPr>
      <w:b/>
      <w:bCs/>
      <w:sz w:val="20"/>
      <w:szCs w:val="20"/>
    </w:rPr>
  </w:style>
  <w:style w:type="paragraph" w:customStyle="1" w:styleId="Style3">
    <w:name w:val="Style3"/>
    <w:basedOn w:val="TableCaption"/>
    <w:qFormat/>
    <w:rsid w:val="006258A9"/>
  </w:style>
  <w:style w:type="paragraph" w:customStyle="1" w:styleId="Style4">
    <w:name w:val="Style4"/>
    <w:basedOn w:val="FigureCaption"/>
    <w:qFormat/>
    <w:rsid w:val="006258A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098682">
      <w:bodyDiv w:val="1"/>
      <w:marLeft w:val="0"/>
      <w:marRight w:val="0"/>
      <w:marTop w:val="0"/>
      <w:marBottom w:val="0"/>
      <w:divBdr>
        <w:top w:val="none" w:sz="0" w:space="0" w:color="auto"/>
        <w:left w:val="none" w:sz="0" w:space="0" w:color="auto"/>
        <w:bottom w:val="none" w:sz="0" w:space="0" w:color="auto"/>
        <w:right w:val="none" w:sz="0" w:space="0" w:color="auto"/>
      </w:divBdr>
    </w:div>
    <w:div w:id="112788559">
      <w:bodyDiv w:val="1"/>
      <w:marLeft w:val="0"/>
      <w:marRight w:val="0"/>
      <w:marTop w:val="0"/>
      <w:marBottom w:val="0"/>
      <w:divBdr>
        <w:top w:val="none" w:sz="0" w:space="0" w:color="auto"/>
        <w:left w:val="none" w:sz="0" w:space="0" w:color="auto"/>
        <w:bottom w:val="none" w:sz="0" w:space="0" w:color="auto"/>
        <w:right w:val="none" w:sz="0" w:space="0" w:color="auto"/>
      </w:divBdr>
    </w:div>
    <w:div w:id="122578899">
      <w:bodyDiv w:val="1"/>
      <w:marLeft w:val="0"/>
      <w:marRight w:val="0"/>
      <w:marTop w:val="0"/>
      <w:marBottom w:val="0"/>
      <w:divBdr>
        <w:top w:val="none" w:sz="0" w:space="0" w:color="auto"/>
        <w:left w:val="none" w:sz="0" w:space="0" w:color="auto"/>
        <w:bottom w:val="none" w:sz="0" w:space="0" w:color="auto"/>
        <w:right w:val="none" w:sz="0" w:space="0" w:color="auto"/>
      </w:divBdr>
    </w:div>
    <w:div w:id="205533617">
      <w:bodyDiv w:val="1"/>
      <w:marLeft w:val="0"/>
      <w:marRight w:val="0"/>
      <w:marTop w:val="0"/>
      <w:marBottom w:val="0"/>
      <w:divBdr>
        <w:top w:val="none" w:sz="0" w:space="0" w:color="auto"/>
        <w:left w:val="none" w:sz="0" w:space="0" w:color="auto"/>
        <w:bottom w:val="none" w:sz="0" w:space="0" w:color="auto"/>
        <w:right w:val="none" w:sz="0" w:space="0" w:color="auto"/>
      </w:divBdr>
    </w:div>
    <w:div w:id="372585442">
      <w:bodyDiv w:val="1"/>
      <w:marLeft w:val="0"/>
      <w:marRight w:val="0"/>
      <w:marTop w:val="0"/>
      <w:marBottom w:val="0"/>
      <w:divBdr>
        <w:top w:val="none" w:sz="0" w:space="0" w:color="auto"/>
        <w:left w:val="none" w:sz="0" w:space="0" w:color="auto"/>
        <w:bottom w:val="none" w:sz="0" w:space="0" w:color="auto"/>
        <w:right w:val="none" w:sz="0" w:space="0" w:color="auto"/>
      </w:divBdr>
    </w:div>
    <w:div w:id="414935690">
      <w:bodyDiv w:val="1"/>
      <w:marLeft w:val="0"/>
      <w:marRight w:val="0"/>
      <w:marTop w:val="0"/>
      <w:marBottom w:val="0"/>
      <w:divBdr>
        <w:top w:val="none" w:sz="0" w:space="0" w:color="auto"/>
        <w:left w:val="none" w:sz="0" w:space="0" w:color="auto"/>
        <w:bottom w:val="none" w:sz="0" w:space="0" w:color="auto"/>
        <w:right w:val="none" w:sz="0" w:space="0" w:color="auto"/>
      </w:divBdr>
    </w:div>
    <w:div w:id="431827103">
      <w:bodyDiv w:val="1"/>
      <w:marLeft w:val="0"/>
      <w:marRight w:val="0"/>
      <w:marTop w:val="0"/>
      <w:marBottom w:val="0"/>
      <w:divBdr>
        <w:top w:val="none" w:sz="0" w:space="0" w:color="auto"/>
        <w:left w:val="none" w:sz="0" w:space="0" w:color="auto"/>
        <w:bottom w:val="none" w:sz="0" w:space="0" w:color="auto"/>
        <w:right w:val="none" w:sz="0" w:space="0" w:color="auto"/>
      </w:divBdr>
    </w:div>
    <w:div w:id="539824010">
      <w:bodyDiv w:val="1"/>
      <w:marLeft w:val="0"/>
      <w:marRight w:val="0"/>
      <w:marTop w:val="0"/>
      <w:marBottom w:val="0"/>
      <w:divBdr>
        <w:top w:val="none" w:sz="0" w:space="0" w:color="auto"/>
        <w:left w:val="none" w:sz="0" w:space="0" w:color="auto"/>
        <w:bottom w:val="none" w:sz="0" w:space="0" w:color="auto"/>
        <w:right w:val="none" w:sz="0" w:space="0" w:color="auto"/>
      </w:divBdr>
    </w:div>
    <w:div w:id="615914079">
      <w:bodyDiv w:val="1"/>
      <w:marLeft w:val="0"/>
      <w:marRight w:val="0"/>
      <w:marTop w:val="0"/>
      <w:marBottom w:val="0"/>
      <w:divBdr>
        <w:top w:val="none" w:sz="0" w:space="0" w:color="auto"/>
        <w:left w:val="none" w:sz="0" w:space="0" w:color="auto"/>
        <w:bottom w:val="none" w:sz="0" w:space="0" w:color="auto"/>
        <w:right w:val="none" w:sz="0" w:space="0" w:color="auto"/>
      </w:divBdr>
    </w:div>
    <w:div w:id="678625643">
      <w:bodyDiv w:val="1"/>
      <w:marLeft w:val="0"/>
      <w:marRight w:val="0"/>
      <w:marTop w:val="0"/>
      <w:marBottom w:val="0"/>
      <w:divBdr>
        <w:top w:val="none" w:sz="0" w:space="0" w:color="auto"/>
        <w:left w:val="none" w:sz="0" w:space="0" w:color="auto"/>
        <w:bottom w:val="none" w:sz="0" w:space="0" w:color="auto"/>
        <w:right w:val="none" w:sz="0" w:space="0" w:color="auto"/>
      </w:divBdr>
    </w:div>
    <w:div w:id="835151458">
      <w:bodyDiv w:val="1"/>
      <w:marLeft w:val="0"/>
      <w:marRight w:val="0"/>
      <w:marTop w:val="0"/>
      <w:marBottom w:val="0"/>
      <w:divBdr>
        <w:top w:val="none" w:sz="0" w:space="0" w:color="auto"/>
        <w:left w:val="none" w:sz="0" w:space="0" w:color="auto"/>
        <w:bottom w:val="none" w:sz="0" w:space="0" w:color="auto"/>
        <w:right w:val="none" w:sz="0" w:space="0" w:color="auto"/>
      </w:divBdr>
    </w:div>
    <w:div w:id="942567973">
      <w:bodyDiv w:val="1"/>
      <w:marLeft w:val="0"/>
      <w:marRight w:val="0"/>
      <w:marTop w:val="0"/>
      <w:marBottom w:val="0"/>
      <w:divBdr>
        <w:top w:val="none" w:sz="0" w:space="0" w:color="auto"/>
        <w:left w:val="none" w:sz="0" w:space="0" w:color="auto"/>
        <w:bottom w:val="none" w:sz="0" w:space="0" w:color="auto"/>
        <w:right w:val="none" w:sz="0" w:space="0" w:color="auto"/>
      </w:divBdr>
    </w:div>
    <w:div w:id="1182477019">
      <w:bodyDiv w:val="1"/>
      <w:marLeft w:val="0"/>
      <w:marRight w:val="0"/>
      <w:marTop w:val="0"/>
      <w:marBottom w:val="0"/>
      <w:divBdr>
        <w:top w:val="none" w:sz="0" w:space="0" w:color="auto"/>
        <w:left w:val="none" w:sz="0" w:space="0" w:color="auto"/>
        <w:bottom w:val="none" w:sz="0" w:space="0" w:color="auto"/>
        <w:right w:val="none" w:sz="0" w:space="0" w:color="auto"/>
      </w:divBdr>
    </w:div>
    <w:div w:id="1219703541">
      <w:bodyDiv w:val="1"/>
      <w:marLeft w:val="0"/>
      <w:marRight w:val="0"/>
      <w:marTop w:val="0"/>
      <w:marBottom w:val="0"/>
      <w:divBdr>
        <w:top w:val="none" w:sz="0" w:space="0" w:color="auto"/>
        <w:left w:val="none" w:sz="0" w:space="0" w:color="auto"/>
        <w:bottom w:val="none" w:sz="0" w:space="0" w:color="auto"/>
        <w:right w:val="none" w:sz="0" w:space="0" w:color="auto"/>
      </w:divBdr>
      <w:divsChild>
        <w:div w:id="253588073">
          <w:marLeft w:val="446"/>
          <w:marRight w:val="0"/>
          <w:marTop w:val="0"/>
          <w:marBottom w:val="0"/>
          <w:divBdr>
            <w:top w:val="none" w:sz="0" w:space="0" w:color="auto"/>
            <w:left w:val="none" w:sz="0" w:space="0" w:color="auto"/>
            <w:bottom w:val="none" w:sz="0" w:space="0" w:color="auto"/>
            <w:right w:val="none" w:sz="0" w:space="0" w:color="auto"/>
          </w:divBdr>
        </w:div>
        <w:div w:id="1895658740">
          <w:marLeft w:val="446"/>
          <w:marRight w:val="0"/>
          <w:marTop w:val="0"/>
          <w:marBottom w:val="0"/>
          <w:divBdr>
            <w:top w:val="none" w:sz="0" w:space="0" w:color="auto"/>
            <w:left w:val="none" w:sz="0" w:space="0" w:color="auto"/>
            <w:bottom w:val="none" w:sz="0" w:space="0" w:color="auto"/>
            <w:right w:val="none" w:sz="0" w:space="0" w:color="auto"/>
          </w:divBdr>
        </w:div>
        <w:div w:id="1732386167">
          <w:marLeft w:val="446"/>
          <w:marRight w:val="0"/>
          <w:marTop w:val="0"/>
          <w:marBottom w:val="240"/>
          <w:divBdr>
            <w:top w:val="none" w:sz="0" w:space="0" w:color="auto"/>
            <w:left w:val="none" w:sz="0" w:space="0" w:color="auto"/>
            <w:bottom w:val="none" w:sz="0" w:space="0" w:color="auto"/>
            <w:right w:val="none" w:sz="0" w:space="0" w:color="auto"/>
          </w:divBdr>
        </w:div>
        <w:div w:id="1826438227">
          <w:marLeft w:val="446"/>
          <w:marRight w:val="0"/>
          <w:marTop w:val="0"/>
          <w:marBottom w:val="0"/>
          <w:divBdr>
            <w:top w:val="none" w:sz="0" w:space="0" w:color="auto"/>
            <w:left w:val="none" w:sz="0" w:space="0" w:color="auto"/>
            <w:bottom w:val="none" w:sz="0" w:space="0" w:color="auto"/>
            <w:right w:val="none" w:sz="0" w:space="0" w:color="auto"/>
          </w:divBdr>
        </w:div>
      </w:divsChild>
    </w:div>
    <w:div w:id="1297949640">
      <w:bodyDiv w:val="1"/>
      <w:marLeft w:val="0"/>
      <w:marRight w:val="0"/>
      <w:marTop w:val="0"/>
      <w:marBottom w:val="0"/>
      <w:divBdr>
        <w:top w:val="none" w:sz="0" w:space="0" w:color="auto"/>
        <w:left w:val="none" w:sz="0" w:space="0" w:color="auto"/>
        <w:bottom w:val="none" w:sz="0" w:space="0" w:color="auto"/>
        <w:right w:val="none" w:sz="0" w:space="0" w:color="auto"/>
      </w:divBdr>
    </w:div>
    <w:div w:id="1308707195">
      <w:bodyDiv w:val="1"/>
      <w:marLeft w:val="0"/>
      <w:marRight w:val="0"/>
      <w:marTop w:val="0"/>
      <w:marBottom w:val="0"/>
      <w:divBdr>
        <w:top w:val="none" w:sz="0" w:space="0" w:color="auto"/>
        <w:left w:val="none" w:sz="0" w:space="0" w:color="auto"/>
        <w:bottom w:val="none" w:sz="0" w:space="0" w:color="auto"/>
        <w:right w:val="none" w:sz="0" w:space="0" w:color="auto"/>
      </w:divBdr>
    </w:div>
    <w:div w:id="1352146006">
      <w:bodyDiv w:val="1"/>
      <w:marLeft w:val="0"/>
      <w:marRight w:val="0"/>
      <w:marTop w:val="0"/>
      <w:marBottom w:val="0"/>
      <w:divBdr>
        <w:top w:val="none" w:sz="0" w:space="0" w:color="auto"/>
        <w:left w:val="none" w:sz="0" w:space="0" w:color="auto"/>
        <w:bottom w:val="none" w:sz="0" w:space="0" w:color="auto"/>
        <w:right w:val="none" w:sz="0" w:space="0" w:color="auto"/>
      </w:divBdr>
    </w:div>
    <w:div w:id="1387993566">
      <w:bodyDiv w:val="1"/>
      <w:marLeft w:val="0"/>
      <w:marRight w:val="0"/>
      <w:marTop w:val="0"/>
      <w:marBottom w:val="0"/>
      <w:divBdr>
        <w:top w:val="none" w:sz="0" w:space="0" w:color="auto"/>
        <w:left w:val="none" w:sz="0" w:space="0" w:color="auto"/>
        <w:bottom w:val="none" w:sz="0" w:space="0" w:color="auto"/>
        <w:right w:val="none" w:sz="0" w:space="0" w:color="auto"/>
      </w:divBdr>
      <w:divsChild>
        <w:div w:id="116338504">
          <w:marLeft w:val="446"/>
          <w:marRight w:val="0"/>
          <w:marTop w:val="0"/>
          <w:marBottom w:val="0"/>
          <w:divBdr>
            <w:top w:val="none" w:sz="0" w:space="0" w:color="auto"/>
            <w:left w:val="none" w:sz="0" w:space="0" w:color="auto"/>
            <w:bottom w:val="none" w:sz="0" w:space="0" w:color="auto"/>
            <w:right w:val="none" w:sz="0" w:space="0" w:color="auto"/>
          </w:divBdr>
        </w:div>
        <w:div w:id="1908178607">
          <w:marLeft w:val="446"/>
          <w:marRight w:val="0"/>
          <w:marTop w:val="0"/>
          <w:marBottom w:val="0"/>
          <w:divBdr>
            <w:top w:val="none" w:sz="0" w:space="0" w:color="auto"/>
            <w:left w:val="none" w:sz="0" w:space="0" w:color="auto"/>
            <w:bottom w:val="none" w:sz="0" w:space="0" w:color="auto"/>
            <w:right w:val="none" w:sz="0" w:space="0" w:color="auto"/>
          </w:divBdr>
        </w:div>
        <w:div w:id="1728259036">
          <w:marLeft w:val="1166"/>
          <w:marRight w:val="0"/>
          <w:marTop w:val="0"/>
          <w:marBottom w:val="0"/>
          <w:divBdr>
            <w:top w:val="none" w:sz="0" w:space="0" w:color="auto"/>
            <w:left w:val="none" w:sz="0" w:space="0" w:color="auto"/>
            <w:bottom w:val="none" w:sz="0" w:space="0" w:color="auto"/>
            <w:right w:val="none" w:sz="0" w:space="0" w:color="auto"/>
          </w:divBdr>
        </w:div>
        <w:div w:id="1812862419">
          <w:marLeft w:val="1166"/>
          <w:marRight w:val="0"/>
          <w:marTop w:val="0"/>
          <w:marBottom w:val="0"/>
          <w:divBdr>
            <w:top w:val="none" w:sz="0" w:space="0" w:color="auto"/>
            <w:left w:val="none" w:sz="0" w:space="0" w:color="auto"/>
            <w:bottom w:val="none" w:sz="0" w:space="0" w:color="auto"/>
            <w:right w:val="none" w:sz="0" w:space="0" w:color="auto"/>
          </w:divBdr>
        </w:div>
        <w:div w:id="1130243877">
          <w:marLeft w:val="1166"/>
          <w:marRight w:val="0"/>
          <w:marTop w:val="0"/>
          <w:marBottom w:val="0"/>
          <w:divBdr>
            <w:top w:val="none" w:sz="0" w:space="0" w:color="auto"/>
            <w:left w:val="none" w:sz="0" w:space="0" w:color="auto"/>
            <w:bottom w:val="none" w:sz="0" w:space="0" w:color="auto"/>
            <w:right w:val="none" w:sz="0" w:space="0" w:color="auto"/>
          </w:divBdr>
        </w:div>
      </w:divsChild>
    </w:div>
    <w:div w:id="1499494784">
      <w:bodyDiv w:val="1"/>
      <w:marLeft w:val="0"/>
      <w:marRight w:val="0"/>
      <w:marTop w:val="0"/>
      <w:marBottom w:val="0"/>
      <w:divBdr>
        <w:top w:val="none" w:sz="0" w:space="0" w:color="auto"/>
        <w:left w:val="none" w:sz="0" w:space="0" w:color="auto"/>
        <w:bottom w:val="none" w:sz="0" w:space="0" w:color="auto"/>
        <w:right w:val="none" w:sz="0" w:space="0" w:color="auto"/>
      </w:divBdr>
    </w:div>
    <w:div w:id="1517036690">
      <w:bodyDiv w:val="1"/>
      <w:marLeft w:val="0"/>
      <w:marRight w:val="0"/>
      <w:marTop w:val="0"/>
      <w:marBottom w:val="0"/>
      <w:divBdr>
        <w:top w:val="none" w:sz="0" w:space="0" w:color="auto"/>
        <w:left w:val="none" w:sz="0" w:space="0" w:color="auto"/>
        <w:bottom w:val="none" w:sz="0" w:space="0" w:color="auto"/>
        <w:right w:val="none" w:sz="0" w:space="0" w:color="auto"/>
      </w:divBdr>
      <w:divsChild>
        <w:div w:id="570895858">
          <w:marLeft w:val="0"/>
          <w:marRight w:val="0"/>
          <w:marTop w:val="0"/>
          <w:marBottom w:val="240"/>
          <w:divBdr>
            <w:top w:val="none" w:sz="0" w:space="0" w:color="auto"/>
            <w:left w:val="none" w:sz="0" w:space="0" w:color="auto"/>
            <w:bottom w:val="none" w:sz="0" w:space="0" w:color="auto"/>
            <w:right w:val="none" w:sz="0" w:space="0" w:color="auto"/>
          </w:divBdr>
        </w:div>
        <w:div w:id="713624526">
          <w:marLeft w:val="0"/>
          <w:marRight w:val="0"/>
          <w:marTop w:val="0"/>
          <w:marBottom w:val="240"/>
          <w:divBdr>
            <w:top w:val="none" w:sz="0" w:space="0" w:color="auto"/>
            <w:left w:val="none" w:sz="0" w:space="0" w:color="auto"/>
            <w:bottom w:val="none" w:sz="0" w:space="0" w:color="auto"/>
            <w:right w:val="none" w:sz="0" w:space="0" w:color="auto"/>
          </w:divBdr>
        </w:div>
      </w:divsChild>
    </w:div>
    <w:div w:id="1614172765">
      <w:bodyDiv w:val="1"/>
      <w:marLeft w:val="0"/>
      <w:marRight w:val="0"/>
      <w:marTop w:val="0"/>
      <w:marBottom w:val="0"/>
      <w:divBdr>
        <w:top w:val="none" w:sz="0" w:space="0" w:color="auto"/>
        <w:left w:val="none" w:sz="0" w:space="0" w:color="auto"/>
        <w:bottom w:val="none" w:sz="0" w:space="0" w:color="auto"/>
        <w:right w:val="none" w:sz="0" w:space="0" w:color="auto"/>
      </w:divBdr>
    </w:div>
    <w:div w:id="1659116250">
      <w:bodyDiv w:val="1"/>
      <w:marLeft w:val="0"/>
      <w:marRight w:val="0"/>
      <w:marTop w:val="0"/>
      <w:marBottom w:val="0"/>
      <w:divBdr>
        <w:top w:val="none" w:sz="0" w:space="0" w:color="auto"/>
        <w:left w:val="none" w:sz="0" w:space="0" w:color="auto"/>
        <w:bottom w:val="none" w:sz="0" w:space="0" w:color="auto"/>
        <w:right w:val="none" w:sz="0" w:space="0" w:color="auto"/>
      </w:divBdr>
    </w:div>
    <w:div w:id="1683311307">
      <w:bodyDiv w:val="1"/>
      <w:marLeft w:val="0"/>
      <w:marRight w:val="0"/>
      <w:marTop w:val="0"/>
      <w:marBottom w:val="0"/>
      <w:divBdr>
        <w:top w:val="none" w:sz="0" w:space="0" w:color="auto"/>
        <w:left w:val="none" w:sz="0" w:space="0" w:color="auto"/>
        <w:bottom w:val="none" w:sz="0" w:space="0" w:color="auto"/>
        <w:right w:val="none" w:sz="0" w:space="0" w:color="auto"/>
      </w:divBdr>
      <w:divsChild>
        <w:div w:id="994451397">
          <w:marLeft w:val="446"/>
          <w:marRight w:val="0"/>
          <w:marTop w:val="0"/>
          <w:marBottom w:val="0"/>
          <w:divBdr>
            <w:top w:val="none" w:sz="0" w:space="0" w:color="auto"/>
            <w:left w:val="none" w:sz="0" w:space="0" w:color="auto"/>
            <w:bottom w:val="none" w:sz="0" w:space="0" w:color="auto"/>
            <w:right w:val="none" w:sz="0" w:space="0" w:color="auto"/>
          </w:divBdr>
        </w:div>
        <w:div w:id="1961253957">
          <w:marLeft w:val="446"/>
          <w:marRight w:val="0"/>
          <w:marTop w:val="0"/>
          <w:marBottom w:val="0"/>
          <w:divBdr>
            <w:top w:val="none" w:sz="0" w:space="0" w:color="auto"/>
            <w:left w:val="none" w:sz="0" w:space="0" w:color="auto"/>
            <w:bottom w:val="none" w:sz="0" w:space="0" w:color="auto"/>
            <w:right w:val="none" w:sz="0" w:space="0" w:color="auto"/>
          </w:divBdr>
        </w:div>
        <w:div w:id="546531590">
          <w:marLeft w:val="446"/>
          <w:marRight w:val="0"/>
          <w:marTop w:val="0"/>
          <w:marBottom w:val="0"/>
          <w:divBdr>
            <w:top w:val="none" w:sz="0" w:space="0" w:color="auto"/>
            <w:left w:val="none" w:sz="0" w:space="0" w:color="auto"/>
            <w:bottom w:val="none" w:sz="0" w:space="0" w:color="auto"/>
            <w:right w:val="none" w:sz="0" w:space="0" w:color="auto"/>
          </w:divBdr>
        </w:div>
        <w:div w:id="1897661180">
          <w:marLeft w:val="446"/>
          <w:marRight w:val="0"/>
          <w:marTop w:val="0"/>
          <w:marBottom w:val="0"/>
          <w:divBdr>
            <w:top w:val="none" w:sz="0" w:space="0" w:color="auto"/>
            <w:left w:val="none" w:sz="0" w:space="0" w:color="auto"/>
            <w:bottom w:val="none" w:sz="0" w:space="0" w:color="auto"/>
            <w:right w:val="none" w:sz="0" w:space="0" w:color="auto"/>
          </w:divBdr>
        </w:div>
        <w:div w:id="1495418122">
          <w:marLeft w:val="1166"/>
          <w:marRight w:val="0"/>
          <w:marTop w:val="0"/>
          <w:marBottom w:val="0"/>
          <w:divBdr>
            <w:top w:val="none" w:sz="0" w:space="0" w:color="auto"/>
            <w:left w:val="none" w:sz="0" w:space="0" w:color="auto"/>
            <w:bottom w:val="none" w:sz="0" w:space="0" w:color="auto"/>
            <w:right w:val="none" w:sz="0" w:space="0" w:color="auto"/>
          </w:divBdr>
        </w:div>
        <w:div w:id="502356270">
          <w:marLeft w:val="1166"/>
          <w:marRight w:val="0"/>
          <w:marTop w:val="0"/>
          <w:marBottom w:val="0"/>
          <w:divBdr>
            <w:top w:val="none" w:sz="0" w:space="0" w:color="auto"/>
            <w:left w:val="none" w:sz="0" w:space="0" w:color="auto"/>
            <w:bottom w:val="none" w:sz="0" w:space="0" w:color="auto"/>
            <w:right w:val="none" w:sz="0" w:space="0" w:color="auto"/>
          </w:divBdr>
        </w:div>
      </w:divsChild>
    </w:div>
    <w:div w:id="1731489961">
      <w:bodyDiv w:val="1"/>
      <w:marLeft w:val="0"/>
      <w:marRight w:val="0"/>
      <w:marTop w:val="0"/>
      <w:marBottom w:val="0"/>
      <w:divBdr>
        <w:top w:val="none" w:sz="0" w:space="0" w:color="auto"/>
        <w:left w:val="none" w:sz="0" w:space="0" w:color="auto"/>
        <w:bottom w:val="none" w:sz="0" w:space="0" w:color="auto"/>
        <w:right w:val="none" w:sz="0" w:space="0" w:color="auto"/>
      </w:divBdr>
    </w:div>
    <w:div w:id="1761414340">
      <w:bodyDiv w:val="1"/>
      <w:marLeft w:val="0"/>
      <w:marRight w:val="0"/>
      <w:marTop w:val="0"/>
      <w:marBottom w:val="0"/>
      <w:divBdr>
        <w:top w:val="none" w:sz="0" w:space="0" w:color="auto"/>
        <w:left w:val="none" w:sz="0" w:space="0" w:color="auto"/>
        <w:bottom w:val="none" w:sz="0" w:space="0" w:color="auto"/>
        <w:right w:val="none" w:sz="0" w:space="0" w:color="auto"/>
      </w:divBdr>
      <w:divsChild>
        <w:div w:id="1983610805">
          <w:marLeft w:val="0"/>
          <w:marRight w:val="0"/>
          <w:marTop w:val="0"/>
          <w:marBottom w:val="240"/>
          <w:divBdr>
            <w:top w:val="none" w:sz="0" w:space="0" w:color="auto"/>
            <w:left w:val="none" w:sz="0" w:space="0" w:color="auto"/>
            <w:bottom w:val="none" w:sz="0" w:space="0" w:color="auto"/>
            <w:right w:val="none" w:sz="0" w:space="0" w:color="auto"/>
          </w:divBdr>
        </w:div>
        <w:div w:id="1773814251">
          <w:marLeft w:val="0"/>
          <w:marRight w:val="0"/>
          <w:marTop w:val="0"/>
          <w:marBottom w:val="240"/>
          <w:divBdr>
            <w:top w:val="none" w:sz="0" w:space="0" w:color="auto"/>
            <w:left w:val="none" w:sz="0" w:space="0" w:color="auto"/>
            <w:bottom w:val="none" w:sz="0" w:space="0" w:color="auto"/>
            <w:right w:val="none" w:sz="0" w:space="0" w:color="auto"/>
          </w:divBdr>
        </w:div>
      </w:divsChild>
    </w:div>
    <w:div w:id="1831169574">
      <w:bodyDiv w:val="1"/>
      <w:marLeft w:val="0"/>
      <w:marRight w:val="0"/>
      <w:marTop w:val="0"/>
      <w:marBottom w:val="0"/>
      <w:divBdr>
        <w:top w:val="none" w:sz="0" w:space="0" w:color="auto"/>
        <w:left w:val="none" w:sz="0" w:space="0" w:color="auto"/>
        <w:bottom w:val="none" w:sz="0" w:space="0" w:color="auto"/>
        <w:right w:val="none" w:sz="0" w:space="0" w:color="auto"/>
      </w:divBdr>
    </w:div>
    <w:div w:id="1844123057">
      <w:bodyDiv w:val="1"/>
      <w:marLeft w:val="0"/>
      <w:marRight w:val="0"/>
      <w:marTop w:val="0"/>
      <w:marBottom w:val="0"/>
      <w:divBdr>
        <w:top w:val="none" w:sz="0" w:space="0" w:color="auto"/>
        <w:left w:val="none" w:sz="0" w:space="0" w:color="auto"/>
        <w:bottom w:val="none" w:sz="0" w:space="0" w:color="auto"/>
        <w:right w:val="none" w:sz="0" w:space="0" w:color="auto"/>
      </w:divBdr>
    </w:div>
    <w:div w:id="1918514230">
      <w:bodyDiv w:val="1"/>
      <w:marLeft w:val="0"/>
      <w:marRight w:val="0"/>
      <w:marTop w:val="0"/>
      <w:marBottom w:val="0"/>
      <w:divBdr>
        <w:top w:val="none" w:sz="0" w:space="0" w:color="auto"/>
        <w:left w:val="none" w:sz="0" w:space="0" w:color="auto"/>
        <w:bottom w:val="none" w:sz="0" w:space="0" w:color="auto"/>
        <w:right w:val="none" w:sz="0" w:space="0" w:color="auto"/>
      </w:divBdr>
      <w:divsChild>
        <w:div w:id="692196799">
          <w:marLeft w:val="446"/>
          <w:marRight w:val="0"/>
          <w:marTop w:val="0"/>
          <w:marBottom w:val="0"/>
          <w:divBdr>
            <w:top w:val="none" w:sz="0" w:space="0" w:color="auto"/>
            <w:left w:val="none" w:sz="0" w:space="0" w:color="auto"/>
            <w:bottom w:val="none" w:sz="0" w:space="0" w:color="auto"/>
            <w:right w:val="none" w:sz="0" w:space="0" w:color="auto"/>
          </w:divBdr>
        </w:div>
        <w:div w:id="719595951">
          <w:marLeft w:val="446"/>
          <w:marRight w:val="0"/>
          <w:marTop w:val="0"/>
          <w:marBottom w:val="0"/>
          <w:divBdr>
            <w:top w:val="none" w:sz="0" w:space="0" w:color="auto"/>
            <w:left w:val="none" w:sz="0" w:space="0" w:color="auto"/>
            <w:bottom w:val="none" w:sz="0" w:space="0" w:color="auto"/>
            <w:right w:val="none" w:sz="0" w:space="0" w:color="auto"/>
          </w:divBdr>
        </w:div>
        <w:div w:id="1604918908">
          <w:marLeft w:val="1166"/>
          <w:marRight w:val="0"/>
          <w:marTop w:val="0"/>
          <w:marBottom w:val="0"/>
          <w:divBdr>
            <w:top w:val="none" w:sz="0" w:space="0" w:color="auto"/>
            <w:left w:val="none" w:sz="0" w:space="0" w:color="auto"/>
            <w:bottom w:val="none" w:sz="0" w:space="0" w:color="auto"/>
            <w:right w:val="none" w:sz="0" w:space="0" w:color="auto"/>
          </w:divBdr>
        </w:div>
        <w:div w:id="380639367">
          <w:marLeft w:val="1166"/>
          <w:marRight w:val="0"/>
          <w:marTop w:val="0"/>
          <w:marBottom w:val="0"/>
          <w:divBdr>
            <w:top w:val="none" w:sz="0" w:space="0" w:color="auto"/>
            <w:left w:val="none" w:sz="0" w:space="0" w:color="auto"/>
            <w:bottom w:val="none" w:sz="0" w:space="0" w:color="auto"/>
            <w:right w:val="none" w:sz="0" w:space="0" w:color="auto"/>
          </w:divBdr>
        </w:div>
        <w:div w:id="541596609">
          <w:marLeft w:val="1886"/>
          <w:marRight w:val="0"/>
          <w:marTop w:val="0"/>
          <w:marBottom w:val="0"/>
          <w:divBdr>
            <w:top w:val="none" w:sz="0" w:space="0" w:color="auto"/>
            <w:left w:val="none" w:sz="0" w:space="0" w:color="auto"/>
            <w:bottom w:val="none" w:sz="0" w:space="0" w:color="auto"/>
            <w:right w:val="none" w:sz="0" w:space="0" w:color="auto"/>
          </w:divBdr>
        </w:div>
        <w:div w:id="676033445">
          <w:marLeft w:val="1886"/>
          <w:marRight w:val="0"/>
          <w:marTop w:val="0"/>
          <w:marBottom w:val="0"/>
          <w:divBdr>
            <w:top w:val="none" w:sz="0" w:space="0" w:color="auto"/>
            <w:left w:val="none" w:sz="0" w:space="0" w:color="auto"/>
            <w:bottom w:val="none" w:sz="0" w:space="0" w:color="auto"/>
            <w:right w:val="none" w:sz="0" w:space="0" w:color="auto"/>
          </w:divBdr>
        </w:div>
        <w:div w:id="893085206">
          <w:marLeft w:val="1166"/>
          <w:marRight w:val="0"/>
          <w:marTop w:val="0"/>
          <w:marBottom w:val="0"/>
          <w:divBdr>
            <w:top w:val="none" w:sz="0" w:space="0" w:color="auto"/>
            <w:left w:val="none" w:sz="0" w:space="0" w:color="auto"/>
            <w:bottom w:val="none" w:sz="0" w:space="0" w:color="auto"/>
            <w:right w:val="none" w:sz="0" w:space="0" w:color="auto"/>
          </w:divBdr>
        </w:div>
      </w:divsChild>
    </w:div>
    <w:div w:id="1936354240">
      <w:bodyDiv w:val="1"/>
      <w:marLeft w:val="0"/>
      <w:marRight w:val="0"/>
      <w:marTop w:val="0"/>
      <w:marBottom w:val="0"/>
      <w:divBdr>
        <w:top w:val="none" w:sz="0" w:space="0" w:color="auto"/>
        <w:left w:val="none" w:sz="0" w:space="0" w:color="auto"/>
        <w:bottom w:val="none" w:sz="0" w:space="0" w:color="auto"/>
        <w:right w:val="none" w:sz="0" w:space="0" w:color="auto"/>
      </w:divBdr>
    </w:div>
    <w:div w:id="1961841907">
      <w:bodyDiv w:val="1"/>
      <w:marLeft w:val="0"/>
      <w:marRight w:val="0"/>
      <w:marTop w:val="0"/>
      <w:marBottom w:val="0"/>
      <w:divBdr>
        <w:top w:val="none" w:sz="0" w:space="0" w:color="auto"/>
        <w:left w:val="none" w:sz="0" w:space="0" w:color="auto"/>
        <w:bottom w:val="none" w:sz="0" w:space="0" w:color="auto"/>
        <w:right w:val="none" w:sz="0" w:space="0" w:color="auto"/>
      </w:divBdr>
      <w:divsChild>
        <w:div w:id="141117707">
          <w:marLeft w:val="446"/>
          <w:marRight w:val="0"/>
          <w:marTop w:val="0"/>
          <w:marBottom w:val="0"/>
          <w:divBdr>
            <w:top w:val="none" w:sz="0" w:space="0" w:color="auto"/>
            <w:left w:val="none" w:sz="0" w:space="0" w:color="auto"/>
            <w:bottom w:val="none" w:sz="0" w:space="0" w:color="auto"/>
            <w:right w:val="none" w:sz="0" w:space="0" w:color="auto"/>
          </w:divBdr>
        </w:div>
        <w:div w:id="1187600899">
          <w:marLeft w:val="1166"/>
          <w:marRight w:val="0"/>
          <w:marTop w:val="0"/>
          <w:marBottom w:val="0"/>
          <w:divBdr>
            <w:top w:val="none" w:sz="0" w:space="0" w:color="auto"/>
            <w:left w:val="none" w:sz="0" w:space="0" w:color="auto"/>
            <w:bottom w:val="none" w:sz="0" w:space="0" w:color="auto"/>
            <w:right w:val="none" w:sz="0" w:space="0" w:color="auto"/>
          </w:divBdr>
        </w:div>
        <w:div w:id="1629823005">
          <w:marLeft w:val="1166"/>
          <w:marRight w:val="0"/>
          <w:marTop w:val="0"/>
          <w:marBottom w:val="0"/>
          <w:divBdr>
            <w:top w:val="none" w:sz="0" w:space="0" w:color="auto"/>
            <w:left w:val="none" w:sz="0" w:space="0" w:color="auto"/>
            <w:bottom w:val="none" w:sz="0" w:space="0" w:color="auto"/>
            <w:right w:val="none" w:sz="0" w:space="0" w:color="auto"/>
          </w:divBdr>
        </w:div>
        <w:div w:id="782578909">
          <w:marLeft w:val="1166"/>
          <w:marRight w:val="0"/>
          <w:marTop w:val="0"/>
          <w:marBottom w:val="0"/>
          <w:divBdr>
            <w:top w:val="none" w:sz="0" w:space="0" w:color="auto"/>
            <w:left w:val="none" w:sz="0" w:space="0" w:color="auto"/>
            <w:bottom w:val="none" w:sz="0" w:space="0" w:color="auto"/>
            <w:right w:val="none" w:sz="0" w:space="0" w:color="auto"/>
          </w:divBdr>
        </w:div>
        <w:div w:id="1459566104">
          <w:marLeft w:val="446"/>
          <w:marRight w:val="0"/>
          <w:marTop w:val="0"/>
          <w:marBottom w:val="0"/>
          <w:divBdr>
            <w:top w:val="none" w:sz="0" w:space="0" w:color="auto"/>
            <w:left w:val="none" w:sz="0" w:space="0" w:color="auto"/>
            <w:bottom w:val="none" w:sz="0" w:space="0" w:color="auto"/>
            <w:right w:val="none" w:sz="0" w:space="0" w:color="auto"/>
          </w:divBdr>
        </w:div>
        <w:div w:id="1689871890">
          <w:marLeft w:val="446"/>
          <w:marRight w:val="0"/>
          <w:marTop w:val="0"/>
          <w:marBottom w:val="0"/>
          <w:divBdr>
            <w:top w:val="none" w:sz="0" w:space="0" w:color="auto"/>
            <w:left w:val="none" w:sz="0" w:space="0" w:color="auto"/>
            <w:bottom w:val="none" w:sz="0" w:space="0" w:color="auto"/>
            <w:right w:val="none" w:sz="0" w:space="0" w:color="auto"/>
          </w:divBdr>
        </w:div>
        <w:div w:id="1435520386">
          <w:marLeft w:val="1166"/>
          <w:marRight w:val="0"/>
          <w:marTop w:val="0"/>
          <w:marBottom w:val="0"/>
          <w:divBdr>
            <w:top w:val="none" w:sz="0" w:space="0" w:color="auto"/>
            <w:left w:val="none" w:sz="0" w:space="0" w:color="auto"/>
            <w:bottom w:val="none" w:sz="0" w:space="0" w:color="auto"/>
            <w:right w:val="none" w:sz="0" w:space="0" w:color="auto"/>
          </w:divBdr>
        </w:div>
        <w:div w:id="1571185695">
          <w:marLeft w:val="1166"/>
          <w:marRight w:val="0"/>
          <w:marTop w:val="0"/>
          <w:marBottom w:val="0"/>
          <w:divBdr>
            <w:top w:val="none" w:sz="0" w:space="0" w:color="auto"/>
            <w:left w:val="none" w:sz="0" w:space="0" w:color="auto"/>
            <w:bottom w:val="none" w:sz="0" w:space="0" w:color="auto"/>
            <w:right w:val="none" w:sz="0" w:space="0" w:color="auto"/>
          </w:divBdr>
        </w:div>
        <w:div w:id="1028605249">
          <w:marLeft w:val="1166"/>
          <w:marRight w:val="0"/>
          <w:marTop w:val="0"/>
          <w:marBottom w:val="0"/>
          <w:divBdr>
            <w:top w:val="none" w:sz="0" w:space="0" w:color="auto"/>
            <w:left w:val="none" w:sz="0" w:space="0" w:color="auto"/>
            <w:bottom w:val="none" w:sz="0" w:space="0" w:color="auto"/>
            <w:right w:val="none" w:sz="0" w:space="0" w:color="auto"/>
          </w:divBdr>
        </w:div>
      </w:divsChild>
    </w:div>
    <w:div w:id="2025011927">
      <w:bodyDiv w:val="1"/>
      <w:marLeft w:val="0"/>
      <w:marRight w:val="0"/>
      <w:marTop w:val="0"/>
      <w:marBottom w:val="0"/>
      <w:divBdr>
        <w:top w:val="none" w:sz="0" w:space="0" w:color="auto"/>
        <w:left w:val="none" w:sz="0" w:space="0" w:color="auto"/>
        <w:bottom w:val="none" w:sz="0" w:space="0" w:color="auto"/>
        <w:right w:val="none" w:sz="0" w:space="0" w:color="auto"/>
      </w:divBdr>
    </w:div>
    <w:div w:id="2070032948">
      <w:bodyDiv w:val="1"/>
      <w:marLeft w:val="0"/>
      <w:marRight w:val="0"/>
      <w:marTop w:val="0"/>
      <w:marBottom w:val="0"/>
      <w:divBdr>
        <w:top w:val="none" w:sz="0" w:space="0" w:color="auto"/>
        <w:left w:val="none" w:sz="0" w:space="0" w:color="auto"/>
        <w:bottom w:val="none" w:sz="0" w:space="0" w:color="auto"/>
        <w:right w:val="none" w:sz="0" w:space="0" w:color="auto"/>
      </w:divBdr>
    </w:div>
    <w:div w:id="2072537174">
      <w:bodyDiv w:val="1"/>
      <w:marLeft w:val="0"/>
      <w:marRight w:val="0"/>
      <w:marTop w:val="0"/>
      <w:marBottom w:val="0"/>
      <w:divBdr>
        <w:top w:val="none" w:sz="0" w:space="0" w:color="auto"/>
        <w:left w:val="none" w:sz="0" w:space="0" w:color="auto"/>
        <w:bottom w:val="none" w:sz="0" w:space="0" w:color="auto"/>
        <w:right w:val="none" w:sz="0" w:space="0" w:color="auto"/>
      </w:divBdr>
      <w:divsChild>
        <w:div w:id="852690987">
          <w:marLeft w:val="446"/>
          <w:marRight w:val="0"/>
          <w:marTop w:val="0"/>
          <w:marBottom w:val="0"/>
          <w:divBdr>
            <w:top w:val="none" w:sz="0" w:space="0" w:color="auto"/>
            <w:left w:val="none" w:sz="0" w:space="0" w:color="auto"/>
            <w:bottom w:val="none" w:sz="0" w:space="0" w:color="auto"/>
            <w:right w:val="none" w:sz="0" w:space="0" w:color="auto"/>
          </w:divBdr>
        </w:div>
        <w:div w:id="2009214384">
          <w:marLeft w:val="446"/>
          <w:marRight w:val="0"/>
          <w:marTop w:val="0"/>
          <w:marBottom w:val="0"/>
          <w:divBdr>
            <w:top w:val="none" w:sz="0" w:space="0" w:color="auto"/>
            <w:left w:val="none" w:sz="0" w:space="0" w:color="auto"/>
            <w:bottom w:val="none" w:sz="0" w:space="0" w:color="auto"/>
            <w:right w:val="none" w:sz="0" w:space="0" w:color="auto"/>
          </w:divBdr>
        </w:div>
        <w:div w:id="19354615">
          <w:marLeft w:val="446"/>
          <w:marRight w:val="0"/>
          <w:marTop w:val="0"/>
          <w:marBottom w:val="0"/>
          <w:divBdr>
            <w:top w:val="none" w:sz="0" w:space="0" w:color="auto"/>
            <w:left w:val="none" w:sz="0" w:space="0" w:color="auto"/>
            <w:bottom w:val="none" w:sz="0" w:space="0" w:color="auto"/>
            <w:right w:val="none" w:sz="0" w:space="0" w:color="auto"/>
          </w:divBdr>
        </w:div>
        <w:div w:id="1753043591">
          <w:marLeft w:val="446"/>
          <w:marRight w:val="0"/>
          <w:marTop w:val="0"/>
          <w:marBottom w:val="0"/>
          <w:divBdr>
            <w:top w:val="none" w:sz="0" w:space="0" w:color="auto"/>
            <w:left w:val="none" w:sz="0" w:space="0" w:color="auto"/>
            <w:bottom w:val="none" w:sz="0" w:space="0" w:color="auto"/>
            <w:right w:val="none" w:sz="0" w:space="0" w:color="auto"/>
          </w:divBdr>
        </w:div>
        <w:div w:id="560678738">
          <w:marLeft w:val="1166"/>
          <w:marRight w:val="0"/>
          <w:marTop w:val="0"/>
          <w:marBottom w:val="0"/>
          <w:divBdr>
            <w:top w:val="none" w:sz="0" w:space="0" w:color="auto"/>
            <w:left w:val="none" w:sz="0" w:space="0" w:color="auto"/>
            <w:bottom w:val="none" w:sz="0" w:space="0" w:color="auto"/>
            <w:right w:val="none" w:sz="0" w:space="0" w:color="auto"/>
          </w:divBdr>
        </w:div>
        <w:div w:id="1052774473">
          <w:marLeft w:val="1166"/>
          <w:marRight w:val="0"/>
          <w:marTop w:val="0"/>
          <w:marBottom w:val="0"/>
          <w:divBdr>
            <w:top w:val="none" w:sz="0" w:space="0" w:color="auto"/>
            <w:left w:val="none" w:sz="0" w:space="0" w:color="auto"/>
            <w:bottom w:val="none" w:sz="0" w:space="0" w:color="auto"/>
            <w:right w:val="none" w:sz="0" w:space="0" w:color="auto"/>
          </w:divBdr>
        </w:div>
        <w:div w:id="1133211018">
          <w:marLeft w:val="1166"/>
          <w:marRight w:val="0"/>
          <w:marTop w:val="0"/>
          <w:marBottom w:val="0"/>
          <w:divBdr>
            <w:top w:val="none" w:sz="0" w:space="0" w:color="auto"/>
            <w:left w:val="none" w:sz="0" w:space="0" w:color="auto"/>
            <w:bottom w:val="none" w:sz="0" w:space="0" w:color="auto"/>
            <w:right w:val="none" w:sz="0" w:space="0" w:color="auto"/>
          </w:divBdr>
        </w:div>
      </w:divsChild>
    </w:div>
    <w:div w:id="2123256627">
      <w:bodyDiv w:val="1"/>
      <w:marLeft w:val="0"/>
      <w:marRight w:val="0"/>
      <w:marTop w:val="0"/>
      <w:marBottom w:val="0"/>
      <w:divBdr>
        <w:top w:val="none" w:sz="0" w:space="0" w:color="auto"/>
        <w:left w:val="none" w:sz="0" w:space="0" w:color="auto"/>
        <w:bottom w:val="none" w:sz="0" w:space="0" w:color="auto"/>
        <w:right w:val="none" w:sz="0" w:space="0" w:color="auto"/>
      </w:divBdr>
    </w:div>
    <w:div w:id="2147164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ande.gov.py/" TargetMode="External"/><Relationship Id="rId18" Type="http://schemas.openxmlformats.org/officeDocument/2006/relationships/image" Target="media/image4.png"/><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https://www.transelec.cl/"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nergia.gob.cl/"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ntTable" Target="fontTable.xml"/><Relationship Id="rId10" Type="http://schemas.openxmlformats.org/officeDocument/2006/relationships/hyperlink" Target="https://www.gov.br/aneel/pt-br" TargetMode="External"/><Relationship Id="rId19" Type="http://schemas.openxmlformats.org/officeDocument/2006/relationships/image" Target="media/image5.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hyperlink" Target="https://www.gov.br/mme/pt-br" TargetMode="External"/><Relationship Id="rId14" Type="http://schemas.openxmlformats.org/officeDocument/2006/relationships/hyperlink" Target="https://www.ute.com.uy/"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1.xml"/><Relationship Id="rId8" Type="http://schemas.openxmlformats.org/officeDocument/2006/relationships/hyperlink" Target="https://www.argentina.gob.ar/enre" TargetMode="Externa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wesse03\Box\scratch\paper_template_jaw.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287A25-4BCF-47CB-B89E-CF1CE9379C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paper_template_jaw</Template>
  <TotalTime>597</TotalTime>
  <Pages>38</Pages>
  <Words>10775</Words>
  <Characters>61420</Characters>
  <Application>Microsoft Office Word</Application>
  <DocSecurity>0</DocSecurity>
  <Lines>511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Wessel, Jacob A</dc:creator>
  <cp:keywords/>
  <dc:description/>
  <cp:lastModifiedBy>Wessel, Jacob A</cp:lastModifiedBy>
  <cp:revision>45</cp:revision>
  <dcterms:created xsi:type="dcterms:W3CDTF">2025-03-31T17:39:00Z</dcterms:created>
  <dcterms:modified xsi:type="dcterms:W3CDTF">2025-04-03T17:09:00Z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id="KBUQzQqj"/&gt;&lt;style id="http://www.zotero.org/styles/nature" hasBibliography="1" bibliographyStyleHasBeenSet="1"/&gt;&lt;prefs&gt;&lt;pref name="fieldType" value="Field"/&gt;&lt;pref name="dontAskDelayCitationUpdate</vt:lpwstr>
  </property>
  <property fmtid="{D5CDD505-2E9C-101B-9397-08002B2CF9AE}" pid="3" name="ZOTERO_PREF_2">
    <vt:lpwstr>s" value="true"/&gt;&lt;/prefs&gt;&lt;/data&gt;</vt:lpwstr>
  </property>
  <property fmtid="{D5CDD505-2E9C-101B-9397-08002B2CF9AE}" pid="4" name="GrammarlyDocumentId">
    <vt:lpwstr>852ff1a88f15664fd8f8b19f842bec5a966c28eeb083832ad4bcd7c1fb2c17d6</vt:lpwstr>
  </property>
</Properties>
</file>