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6DC82" w14:textId="77777777" w:rsidR="003D010F" w:rsidRDefault="003D010F" w:rsidP="003D010F">
      <w:pPr>
        <w:jc w:val="both"/>
        <w:rPr>
          <w:b/>
          <w:sz w:val="24"/>
          <w:szCs w:val="24"/>
        </w:rPr>
      </w:pPr>
    </w:p>
    <w:p w14:paraId="34C63FDE" w14:textId="6F8932BB" w:rsidR="003D010F" w:rsidRDefault="003D010F" w:rsidP="003D010F">
      <w:pPr>
        <w:keepNext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  <w:r w:rsidRPr="003776DD">
        <w:rPr>
          <w:b/>
          <w:noProof/>
          <w:sz w:val="24"/>
          <w:szCs w:val="24"/>
          <w:lang w:val="cs-CZ"/>
        </w:rPr>
        <w:drawing>
          <wp:inline distT="0" distB="0" distL="0" distR="0" wp14:anchorId="1CCD389B" wp14:editId="228626A0">
            <wp:extent cx="5734050" cy="3105150"/>
            <wp:effectExtent l="0" t="0" r="0" b="0"/>
            <wp:docPr id="1182664142" name="Picture 4" descr="A group of images of a person's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664142" name="Picture 4" descr="A group of images of a person's bod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CFCEB" w14:textId="77777777" w:rsidR="003D010F" w:rsidRDefault="003D010F" w:rsidP="003D010F">
      <w:pPr>
        <w:pStyle w:val="p1"/>
        <w:rPr>
          <w:rFonts w:ascii="Arial" w:hAnsi="Arial" w:cs="Arial"/>
          <w:color w:val="000000"/>
          <w:sz w:val="20"/>
          <w:szCs w:val="20"/>
        </w:rPr>
      </w:pPr>
      <w:r w:rsidRPr="006F0049">
        <w:rPr>
          <w:rFonts w:ascii="Arial" w:eastAsia="Arial" w:hAnsi="Arial" w:cs="Arial"/>
          <w:b/>
          <w:bCs/>
          <w:color w:val="auto"/>
          <w:sz w:val="20"/>
          <w:szCs w:val="20"/>
          <w:lang w:val="en-GB"/>
        </w:rPr>
        <w:t>Supplementary Figure 1.</w:t>
      </w:r>
      <w:r w:rsidRPr="008B7C66">
        <w:rPr>
          <w:rFonts w:ascii="Arial" w:eastAsia="Arial" w:hAnsi="Arial" w:cs="Arial"/>
          <w:color w:val="auto"/>
          <w:sz w:val="20"/>
          <w:szCs w:val="20"/>
          <w:lang w:val="en-GB"/>
        </w:rPr>
        <w:br/>
      </w:r>
      <w:r w:rsidRPr="0091445C">
        <w:rPr>
          <w:rFonts w:ascii="Arial" w:hAnsi="Arial" w:cs="Arial"/>
          <w:b/>
          <w:bCs/>
          <w:color w:val="000000"/>
          <w:sz w:val="20"/>
          <w:szCs w:val="20"/>
        </w:rPr>
        <w:t xml:space="preserve">Flow cytometry gating strategy for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analyzes of </w:t>
      </w:r>
      <w:r w:rsidRPr="0091445C">
        <w:rPr>
          <w:rFonts w:ascii="Arial" w:hAnsi="Arial" w:cs="Arial"/>
          <w:b/>
          <w:bCs/>
          <w:color w:val="000000"/>
          <w:sz w:val="20"/>
          <w:szCs w:val="20"/>
        </w:rPr>
        <w:t>bone marrow neutrophils.</w:t>
      </w:r>
      <w:r w:rsidRPr="0091445C">
        <w:rPr>
          <w:rFonts w:ascii="Arial" w:hAnsi="Arial" w:cs="Arial"/>
          <w:color w:val="000000"/>
          <w:sz w:val="20"/>
          <w:szCs w:val="20"/>
        </w:rPr>
        <w:t xml:space="preserve"> Sequential gating shows </w:t>
      </w:r>
      <w:r>
        <w:rPr>
          <w:rFonts w:ascii="Arial" w:hAnsi="Arial" w:cs="Arial"/>
          <w:color w:val="000000"/>
          <w:sz w:val="20"/>
          <w:szCs w:val="20"/>
        </w:rPr>
        <w:t>the initial cell population based on forward and side scatter (FSC-A vs. SSC-A), followed by singlet identification (FSC-A vs. FSC-H)</w:t>
      </w:r>
      <w:r w:rsidRPr="0091445C">
        <w:rPr>
          <w:rFonts w:ascii="Arial" w:hAnsi="Arial" w:cs="Arial"/>
          <w:color w:val="000000"/>
          <w:sz w:val="20"/>
          <w:szCs w:val="20"/>
        </w:rPr>
        <w:t xml:space="preserve"> and subsequent analysis of neutrophil subsets based on </w:t>
      </w:r>
      <w:r>
        <w:rPr>
          <w:rFonts w:ascii="Arial" w:hAnsi="Arial" w:cs="Arial"/>
          <w:color w:val="000000"/>
          <w:sz w:val="20"/>
          <w:szCs w:val="20"/>
        </w:rPr>
        <w:t xml:space="preserve">cell </w:t>
      </w:r>
      <w:r w:rsidRPr="0091445C">
        <w:rPr>
          <w:rFonts w:ascii="Arial" w:hAnsi="Arial" w:cs="Arial"/>
          <w:color w:val="000000"/>
          <w:sz w:val="20"/>
          <w:szCs w:val="20"/>
        </w:rPr>
        <w:t xml:space="preserve">surface marker </w:t>
      </w:r>
      <w:r>
        <w:rPr>
          <w:rFonts w:ascii="Arial" w:hAnsi="Arial" w:cs="Arial"/>
          <w:color w:val="000000"/>
          <w:sz w:val="20"/>
          <w:szCs w:val="20"/>
        </w:rPr>
        <w:t>presence</w:t>
      </w:r>
      <w:r w:rsidRPr="0091445C">
        <w:rPr>
          <w:rFonts w:ascii="Arial" w:hAnsi="Arial" w:cs="Arial"/>
          <w:color w:val="000000"/>
          <w:sz w:val="20"/>
          <w:szCs w:val="20"/>
        </w:rPr>
        <w:t xml:space="preserve"> (CD11b, Ly6C, Ly6G, CXCR2, CD62L). Top row demonstrates the gating strategy for stained samples, while bottom row shows corresponding FMO (Fluorescence Minus One). Representative plots from one sample are shown.</w:t>
      </w:r>
    </w:p>
    <w:p w14:paraId="1FCF91F9" w14:textId="77777777" w:rsidR="003D010F" w:rsidRPr="007D1C7A" w:rsidRDefault="003D010F" w:rsidP="003D010F">
      <w:pPr>
        <w:pStyle w:val="p1"/>
        <w:rPr>
          <w:rFonts w:ascii="Arial" w:eastAsia="Arial" w:hAnsi="Arial" w:cs="Arial"/>
          <w:color w:val="auto"/>
          <w:sz w:val="20"/>
          <w:szCs w:val="20"/>
          <w:lang w:val="en-GB"/>
        </w:rPr>
      </w:pPr>
    </w:p>
    <w:p w14:paraId="791FC5AF" w14:textId="4CC52325" w:rsidR="003D010F" w:rsidRDefault="003D010F" w:rsidP="003D010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b/>
          <w:noProof/>
          <w:sz w:val="24"/>
          <w:szCs w:val="24"/>
          <w:lang w:val="cs-CZ"/>
        </w:rPr>
      </w:pPr>
      <w:r w:rsidRPr="003776DD">
        <w:rPr>
          <w:b/>
          <w:noProof/>
          <w:sz w:val="24"/>
          <w:szCs w:val="24"/>
          <w:lang w:val="cs-CZ"/>
        </w:rPr>
        <w:drawing>
          <wp:inline distT="0" distB="0" distL="0" distR="0" wp14:anchorId="08015021" wp14:editId="03530226">
            <wp:extent cx="5715000" cy="2667000"/>
            <wp:effectExtent l="0" t="0" r="0" b="0"/>
            <wp:docPr id="15274204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FCEAC" w14:textId="77777777" w:rsidR="003D010F" w:rsidRPr="007D1C7A" w:rsidRDefault="003D010F" w:rsidP="003D010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sz w:val="20"/>
          <w:szCs w:val="20"/>
        </w:rPr>
      </w:pPr>
      <w:r w:rsidRPr="00345C5B">
        <w:rPr>
          <w:b/>
          <w:bCs/>
          <w:sz w:val="20"/>
          <w:szCs w:val="20"/>
        </w:rPr>
        <w:t>Supplementary Figure 2.</w:t>
      </w:r>
      <w:r w:rsidRPr="007D1C7A">
        <w:rPr>
          <w:sz w:val="20"/>
          <w:szCs w:val="20"/>
        </w:rPr>
        <w:br/>
      </w:r>
      <w:r w:rsidRPr="00345C5B">
        <w:rPr>
          <w:b/>
          <w:bCs/>
          <w:sz w:val="20"/>
          <w:szCs w:val="20"/>
        </w:rPr>
        <w:t xml:space="preserve">Analysis of bacterial composition at day 14 </w:t>
      </w:r>
      <w:r>
        <w:rPr>
          <w:b/>
          <w:bCs/>
          <w:sz w:val="20"/>
          <w:szCs w:val="20"/>
        </w:rPr>
        <w:t xml:space="preserve">(i.e. immediately after </w:t>
      </w:r>
      <w:r w:rsidRPr="00345C5B">
        <w:rPr>
          <w:b/>
          <w:bCs/>
          <w:sz w:val="20"/>
          <w:szCs w:val="20"/>
        </w:rPr>
        <w:t>antibiotic treatment</w:t>
      </w:r>
      <w:r>
        <w:rPr>
          <w:b/>
          <w:bCs/>
          <w:sz w:val="20"/>
          <w:szCs w:val="20"/>
        </w:rPr>
        <w:t>)</w:t>
      </w:r>
      <w:r w:rsidRPr="00345C5B">
        <w:rPr>
          <w:b/>
          <w:bCs/>
          <w:sz w:val="20"/>
          <w:szCs w:val="20"/>
        </w:rPr>
        <w:t>.</w:t>
      </w:r>
      <w:r w:rsidRPr="00EC7477">
        <w:rPr>
          <w:sz w:val="20"/>
          <w:szCs w:val="20"/>
        </w:rPr>
        <w:t xml:space="preserve"> Stacked bar charts showing relative abundance at phylum, class, and order levels in control mice (C), antibiotic-treated mice (ATB), mice designated for subsequent EcO83 treatment (EcO83), and mice designated for combined antibiotic and EcO83 treatment (ATB+EcO83). Data represent mean relative abundance of </w:t>
      </w:r>
      <w:r w:rsidRPr="00EC7477">
        <w:rPr>
          <w:sz w:val="20"/>
          <w:szCs w:val="20"/>
        </w:rPr>
        <w:lastRenderedPageBreak/>
        <w:t>bacterial taxa.</w:t>
      </w:r>
      <w:r>
        <w:rPr>
          <w:sz w:val="20"/>
          <w:szCs w:val="20"/>
        </w:rPr>
        <w:t xml:space="preserve"> </w:t>
      </w:r>
      <w:r w:rsidRPr="00925C35">
        <w:rPr>
          <w:sz w:val="20"/>
          <w:szCs w:val="20"/>
        </w:rPr>
        <w:t xml:space="preserve">C - non-treated controls, EcO83 – </w:t>
      </w:r>
      <w:r w:rsidRPr="008C3412">
        <w:rPr>
          <w:i/>
          <w:iCs/>
          <w:sz w:val="20"/>
          <w:szCs w:val="20"/>
        </w:rPr>
        <w:t>Escherichia coli</w:t>
      </w:r>
      <w:r w:rsidRPr="00925C35">
        <w:rPr>
          <w:sz w:val="20"/>
          <w:szCs w:val="20"/>
        </w:rPr>
        <w:t xml:space="preserve"> O83:K24:H31-treated group, ATB - antibiotic-treated group to induce dysbiosis, ATB+EcO83 - combined antibiotic-treated group with subsequent </w:t>
      </w:r>
      <w:r w:rsidRPr="008C3412">
        <w:rPr>
          <w:i/>
          <w:iCs/>
          <w:sz w:val="20"/>
          <w:szCs w:val="20"/>
        </w:rPr>
        <w:t>Escherichia coli</w:t>
      </w:r>
      <w:r w:rsidRPr="00925C35">
        <w:rPr>
          <w:sz w:val="20"/>
          <w:szCs w:val="20"/>
        </w:rPr>
        <w:t xml:space="preserve"> O83:K24:H31 administration.</w:t>
      </w:r>
    </w:p>
    <w:p w14:paraId="54D87F50" w14:textId="27E5C4B8" w:rsidR="003D010F" w:rsidRDefault="003D010F" w:rsidP="003D010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cs-CZ"/>
        </w:rPr>
        <w:drawing>
          <wp:inline distT="0" distB="0" distL="0" distR="0" wp14:anchorId="356BAFD8" wp14:editId="0167B9E4">
            <wp:extent cx="5724525" cy="5048250"/>
            <wp:effectExtent l="0" t="0" r="9525" b="0"/>
            <wp:docPr id="969331632" name="Picture 2" descr="A group of graphs showing different colored and bla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331632" name="Picture 2" descr="A group of graphs showing different colored and blac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9104F" w14:textId="77777777" w:rsidR="003D010F" w:rsidRPr="007D1C7A" w:rsidRDefault="003D010F" w:rsidP="003D010F">
      <w:pPr>
        <w:spacing w:after="200" w:line="240" w:lineRule="auto"/>
        <w:rPr>
          <w:sz w:val="20"/>
          <w:szCs w:val="20"/>
        </w:rPr>
      </w:pPr>
      <w:r w:rsidRPr="00345C5B">
        <w:rPr>
          <w:b/>
          <w:bCs/>
          <w:sz w:val="20"/>
          <w:szCs w:val="20"/>
        </w:rPr>
        <w:t>Supplementary Figure 3.</w:t>
      </w:r>
      <w:r w:rsidRPr="007D1C7A">
        <w:rPr>
          <w:sz w:val="20"/>
          <w:szCs w:val="20"/>
        </w:rPr>
        <w:br/>
      </w:r>
      <w:r w:rsidRPr="00345C5B">
        <w:rPr>
          <w:b/>
          <w:bCs/>
          <w:sz w:val="20"/>
          <w:szCs w:val="20"/>
        </w:rPr>
        <w:t>Relative abundance of significantly altered bacterial taxa at</w:t>
      </w:r>
      <w:r>
        <w:rPr>
          <w:b/>
          <w:bCs/>
          <w:sz w:val="20"/>
          <w:szCs w:val="20"/>
        </w:rPr>
        <w:t xml:space="preserve"> the day of</w:t>
      </w:r>
      <w:r w:rsidRPr="00345C5B">
        <w:rPr>
          <w:b/>
          <w:bCs/>
          <w:sz w:val="20"/>
          <w:szCs w:val="20"/>
        </w:rPr>
        <w:t xml:space="preserve"> sacrifice.</w:t>
      </w:r>
      <w:r w:rsidRPr="007D1C7A">
        <w:rPr>
          <w:sz w:val="20"/>
          <w:szCs w:val="20"/>
        </w:rPr>
        <w:t xml:space="preserve"> </w:t>
      </w:r>
      <w:r w:rsidRPr="00345C5B">
        <w:rPr>
          <w:b/>
          <w:bCs/>
          <w:sz w:val="20"/>
          <w:szCs w:val="20"/>
        </w:rPr>
        <w:t>(A)</w:t>
      </w:r>
      <w:r w:rsidRPr="007D1C7A">
        <w:rPr>
          <w:sz w:val="20"/>
          <w:szCs w:val="20"/>
        </w:rPr>
        <w:t xml:space="preserve"> Changes in the relative abundance of bacterial phyla </w:t>
      </w:r>
      <w:r w:rsidRPr="00345C5B">
        <w:rPr>
          <w:i/>
          <w:iCs/>
          <w:sz w:val="20"/>
          <w:szCs w:val="20"/>
        </w:rPr>
        <w:t>Candidatus_</w:t>
      </w:r>
      <w:r w:rsidRPr="00B441C7">
        <w:rPr>
          <w:iCs/>
          <w:sz w:val="20"/>
          <w:szCs w:val="20"/>
        </w:rPr>
        <w:t>Saccharibacteri</w:t>
      </w:r>
      <w:r w:rsidRPr="003822F7">
        <w:rPr>
          <w:sz w:val="20"/>
          <w:szCs w:val="20"/>
        </w:rPr>
        <w:t>a</w:t>
      </w:r>
      <w:r w:rsidRPr="007D1C7A">
        <w:rPr>
          <w:sz w:val="20"/>
          <w:szCs w:val="20"/>
        </w:rPr>
        <w:t xml:space="preserve"> and </w:t>
      </w:r>
      <w:r w:rsidRPr="00345C5B">
        <w:rPr>
          <w:i/>
          <w:iCs/>
          <w:sz w:val="20"/>
          <w:szCs w:val="20"/>
        </w:rPr>
        <w:t>Deferribacteres</w:t>
      </w:r>
      <w:r w:rsidRPr="007D1C7A">
        <w:rPr>
          <w:sz w:val="20"/>
          <w:szCs w:val="20"/>
        </w:rPr>
        <w:t xml:space="preserve">. </w:t>
      </w:r>
      <w:r w:rsidRPr="00345C5B">
        <w:rPr>
          <w:b/>
          <w:bCs/>
          <w:sz w:val="20"/>
          <w:szCs w:val="20"/>
        </w:rPr>
        <w:t>(B)</w:t>
      </w:r>
      <w:r w:rsidRPr="007D1C7A">
        <w:rPr>
          <w:sz w:val="20"/>
          <w:szCs w:val="20"/>
        </w:rPr>
        <w:t xml:space="preserve"> Differences in bacterial classes </w:t>
      </w:r>
      <w:r w:rsidRPr="00345C5B">
        <w:rPr>
          <w:i/>
          <w:iCs/>
          <w:sz w:val="20"/>
          <w:szCs w:val="20"/>
        </w:rPr>
        <w:t>Flavobacteriia</w:t>
      </w:r>
      <w:r w:rsidRPr="007D1C7A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345C5B">
        <w:rPr>
          <w:i/>
          <w:iCs/>
          <w:sz w:val="20"/>
          <w:szCs w:val="20"/>
        </w:rPr>
        <w:t>Deferribacteres</w:t>
      </w:r>
      <w:r w:rsidRPr="007D1C7A">
        <w:rPr>
          <w:sz w:val="20"/>
          <w:szCs w:val="20"/>
        </w:rPr>
        <w:t xml:space="preserve">, </w:t>
      </w:r>
      <w:r w:rsidRPr="00345C5B">
        <w:rPr>
          <w:i/>
          <w:iCs/>
          <w:sz w:val="20"/>
          <w:szCs w:val="20"/>
        </w:rPr>
        <w:t>Sphingobacteriia</w:t>
      </w:r>
      <w:r w:rsidRPr="007D1C7A">
        <w:rPr>
          <w:sz w:val="20"/>
          <w:szCs w:val="20"/>
        </w:rPr>
        <w:t xml:space="preserve">, and </w:t>
      </w:r>
      <w:r w:rsidRPr="00345C5B">
        <w:rPr>
          <w:i/>
          <w:iCs/>
          <w:sz w:val="20"/>
          <w:szCs w:val="20"/>
        </w:rPr>
        <w:t>Mollicutes</w:t>
      </w:r>
      <w:r w:rsidRPr="007D1C7A">
        <w:rPr>
          <w:sz w:val="20"/>
          <w:szCs w:val="20"/>
        </w:rPr>
        <w:t xml:space="preserve">. </w:t>
      </w:r>
      <w:r w:rsidRPr="00345C5B">
        <w:rPr>
          <w:b/>
          <w:bCs/>
          <w:sz w:val="20"/>
          <w:szCs w:val="20"/>
        </w:rPr>
        <w:t xml:space="preserve">(C) </w:t>
      </w:r>
      <w:r w:rsidRPr="007D1C7A">
        <w:rPr>
          <w:sz w:val="20"/>
          <w:szCs w:val="20"/>
        </w:rPr>
        <w:t xml:space="preserve">Alterations in bacterial orders </w:t>
      </w:r>
      <w:r w:rsidRPr="00345C5B">
        <w:rPr>
          <w:i/>
          <w:iCs/>
          <w:sz w:val="20"/>
          <w:szCs w:val="20"/>
        </w:rPr>
        <w:t>Enterobacteriales</w:t>
      </w:r>
      <w:r w:rsidRPr="007D1C7A">
        <w:rPr>
          <w:sz w:val="20"/>
          <w:szCs w:val="20"/>
        </w:rPr>
        <w:t xml:space="preserve">, </w:t>
      </w:r>
      <w:r w:rsidRPr="00345C5B">
        <w:rPr>
          <w:i/>
          <w:iCs/>
          <w:sz w:val="20"/>
          <w:szCs w:val="20"/>
        </w:rPr>
        <w:t>Rhodospirillales</w:t>
      </w:r>
      <w:r w:rsidRPr="007D1C7A">
        <w:rPr>
          <w:sz w:val="20"/>
          <w:szCs w:val="20"/>
        </w:rPr>
        <w:t xml:space="preserve">, </w:t>
      </w:r>
      <w:r w:rsidRPr="00345C5B">
        <w:rPr>
          <w:i/>
          <w:iCs/>
          <w:sz w:val="20"/>
          <w:szCs w:val="20"/>
        </w:rPr>
        <w:t>Flavobacteriales</w:t>
      </w:r>
      <w:r w:rsidRPr="007D1C7A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345C5B">
        <w:rPr>
          <w:i/>
          <w:iCs/>
          <w:sz w:val="20"/>
          <w:szCs w:val="20"/>
        </w:rPr>
        <w:t>Deferribacterales</w:t>
      </w:r>
      <w:r w:rsidRPr="007D1C7A">
        <w:rPr>
          <w:sz w:val="20"/>
          <w:szCs w:val="20"/>
        </w:rPr>
        <w:t xml:space="preserve">, </w:t>
      </w:r>
      <w:r w:rsidRPr="00345C5B">
        <w:rPr>
          <w:i/>
          <w:iCs/>
          <w:sz w:val="20"/>
          <w:szCs w:val="20"/>
        </w:rPr>
        <w:t>Sphingobacteriales</w:t>
      </w:r>
      <w:r w:rsidRPr="007D1C7A">
        <w:rPr>
          <w:sz w:val="20"/>
          <w:szCs w:val="20"/>
        </w:rPr>
        <w:t xml:space="preserve">, </w:t>
      </w:r>
      <w:r w:rsidRPr="00345C5B">
        <w:rPr>
          <w:i/>
          <w:iCs/>
          <w:sz w:val="20"/>
          <w:szCs w:val="20"/>
        </w:rPr>
        <w:t>Anaeroplasmatales</w:t>
      </w:r>
      <w:r w:rsidRPr="007D1C7A">
        <w:rPr>
          <w:sz w:val="20"/>
          <w:szCs w:val="20"/>
        </w:rPr>
        <w:t xml:space="preserve">, </w:t>
      </w:r>
      <w:r w:rsidRPr="00345C5B">
        <w:rPr>
          <w:i/>
          <w:iCs/>
          <w:sz w:val="20"/>
          <w:szCs w:val="20"/>
        </w:rPr>
        <w:t>Nautiliales</w:t>
      </w:r>
      <w:r w:rsidRPr="007D1C7A">
        <w:rPr>
          <w:sz w:val="20"/>
          <w:szCs w:val="20"/>
        </w:rPr>
        <w:t xml:space="preserve">, and </w:t>
      </w:r>
      <w:r w:rsidRPr="00345C5B">
        <w:rPr>
          <w:i/>
          <w:iCs/>
          <w:sz w:val="20"/>
          <w:szCs w:val="20"/>
        </w:rPr>
        <w:t>Coriobacteriales</w:t>
      </w:r>
      <w:r w:rsidRPr="007D1C7A">
        <w:rPr>
          <w:sz w:val="20"/>
          <w:szCs w:val="20"/>
        </w:rPr>
        <w:t xml:space="preserve"> in control mice (C), mice designated for subsequent EcO83 treatment (EcO83), antibiotic-treated mice (ATB), and mice designated for combined antibiotic and EcO83 treatment (ATB+EcO83). Data are presented as mean ± SEM. Statistical significance was determined using one-way ANOVA or Kruskal-Wallis test based on data distribution, where *p&lt;0.05, **p&lt;0.01, ***p&lt;0.001. Absence of significance indicators represents non-significant differences.</w:t>
      </w:r>
      <w:r>
        <w:rPr>
          <w:sz w:val="20"/>
          <w:szCs w:val="20"/>
        </w:rPr>
        <w:t xml:space="preserve"> </w:t>
      </w:r>
      <w:r w:rsidRPr="00925C35">
        <w:rPr>
          <w:sz w:val="20"/>
          <w:szCs w:val="20"/>
        </w:rPr>
        <w:t xml:space="preserve">C - non-treated controls, EcO83 – </w:t>
      </w:r>
      <w:r w:rsidRPr="008C3412">
        <w:rPr>
          <w:i/>
          <w:iCs/>
          <w:sz w:val="20"/>
          <w:szCs w:val="20"/>
        </w:rPr>
        <w:t>Escherichia coli</w:t>
      </w:r>
      <w:r w:rsidRPr="00925C35">
        <w:rPr>
          <w:sz w:val="20"/>
          <w:szCs w:val="20"/>
        </w:rPr>
        <w:t xml:space="preserve"> O83:K24:H31-treated group, ATB - antibiotic-treated group to induce dysbiosis, ATB+EcO83 - combined antibiotic-treated group with subsequent </w:t>
      </w:r>
      <w:r w:rsidRPr="008C3412">
        <w:rPr>
          <w:i/>
          <w:iCs/>
          <w:sz w:val="20"/>
          <w:szCs w:val="20"/>
        </w:rPr>
        <w:t>Escherichia coli</w:t>
      </w:r>
      <w:r w:rsidRPr="00925C35">
        <w:rPr>
          <w:sz w:val="20"/>
          <w:szCs w:val="20"/>
        </w:rPr>
        <w:t xml:space="preserve"> O83:K24:H31 administration.</w:t>
      </w:r>
    </w:p>
    <w:p w14:paraId="5B135DEC" w14:textId="0969EE5E" w:rsidR="003D010F" w:rsidRDefault="003D010F" w:rsidP="003D010F">
      <w:pPr>
        <w:keepNext/>
        <w:jc w:val="both"/>
        <w:rPr>
          <w:b/>
          <w:sz w:val="24"/>
          <w:szCs w:val="24"/>
        </w:rPr>
      </w:pPr>
      <w:r w:rsidRPr="003776DD">
        <w:rPr>
          <w:b/>
          <w:noProof/>
          <w:sz w:val="24"/>
          <w:szCs w:val="24"/>
          <w:lang w:val="cs-CZ"/>
        </w:rPr>
        <w:lastRenderedPageBreak/>
        <w:drawing>
          <wp:inline distT="0" distB="0" distL="0" distR="0" wp14:anchorId="7F45D199" wp14:editId="400E8DFD">
            <wp:extent cx="2047875" cy="3552825"/>
            <wp:effectExtent l="0" t="0" r="9525" b="9525"/>
            <wp:docPr id="4692827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6FB8E" w14:textId="77777777" w:rsidR="003D010F" w:rsidRPr="00352070" w:rsidRDefault="003D010F" w:rsidP="003D010F">
      <w:pPr>
        <w:keepNext/>
        <w:rPr>
          <w:b/>
          <w:sz w:val="24"/>
          <w:szCs w:val="24"/>
        </w:rPr>
      </w:pPr>
      <w:r w:rsidRPr="003524FB">
        <w:rPr>
          <w:b/>
          <w:bCs/>
          <w:sz w:val="20"/>
          <w:szCs w:val="20"/>
        </w:rPr>
        <w:t>Supplementary Figure 4.</w:t>
      </w:r>
      <w:r w:rsidRPr="003524FB"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  <w:t>Detection of</w:t>
      </w:r>
      <w:r w:rsidRPr="00EB4D4C">
        <w:rPr>
          <w:b/>
          <w:bCs/>
          <w:sz w:val="20"/>
          <w:szCs w:val="20"/>
        </w:rPr>
        <w:t xml:space="preserve"> IL-1β </w:t>
      </w:r>
      <w:r>
        <w:rPr>
          <w:b/>
          <w:bCs/>
          <w:sz w:val="20"/>
          <w:szCs w:val="20"/>
        </w:rPr>
        <w:t>concentration in sera</w:t>
      </w:r>
      <w:r w:rsidRPr="00EB4D4C">
        <w:rPr>
          <w:b/>
          <w:bCs/>
          <w:sz w:val="20"/>
          <w:szCs w:val="20"/>
        </w:rPr>
        <w:t>.</w:t>
      </w:r>
      <w:r w:rsidRPr="00EB4D4C">
        <w:rPr>
          <w:sz w:val="20"/>
          <w:szCs w:val="20"/>
        </w:rPr>
        <w:t xml:space="preserve"> Concentration </w:t>
      </w:r>
      <w:r>
        <w:rPr>
          <w:sz w:val="20"/>
          <w:szCs w:val="20"/>
        </w:rPr>
        <w:t xml:space="preserve">of </w:t>
      </w:r>
      <w:r w:rsidRPr="00EB4D4C">
        <w:rPr>
          <w:b/>
          <w:bCs/>
          <w:sz w:val="20"/>
          <w:szCs w:val="20"/>
        </w:rPr>
        <w:t xml:space="preserve">IL-1β </w:t>
      </w:r>
      <w:r w:rsidRPr="00EB4D4C">
        <w:rPr>
          <w:sz w:val="20"/>
          <w:szCs w:val="20"/>
        </w:rPr>
        <w:t>was measured by ELISA in mice treated with antibiotics and/or probiotic EcO83, compared to untreated controls. Data represent mean ± SEM. No significant differences were observed between groups.</w:t>
      </w:r>
      <w:r>
        <w:rPr>
          <w:sz w:val="20"/>
          <w:szCs w:val="20"/>
        </w:rPr>
        <w:t xml:space="preserve"> </w:t>
      </w:r>
      <w:r w:rsidRPr="00925C35">
        <w:rPr>
          <w:sz w:val="20"/>
          <w:szCs w:val="20"/>
        </w:rPr>
        <w:t xml:space="preserve">C - non-treated controls, EcO83 – </w:t>
      </w:r>
      <w:r w:rsidRPr="008C3412">
        <w:rPr>
          <w:i/>
          <w:iCs/>
          <w:sz w:val="20"/>
          <w:szCs w:val="20"/>
        </w:rPr>
        <w:t>Escherichia coli</w:t>
      </w:r>
      <w:r w:rsidRPr="00925C35">
        <w:rPr>
          <w:sz w:val="20"/>
          <w:szCs w:val="20"/>
        </w:rPr>
        <w:t xml:space="preserve"> O83:K24:H31-treated group, ATB - antibiotic-treated group to induce dysbiosis, ATB+EcO83 - combined antibiotic-treated group with subsequent </w:t>
      </w:r>
      <w:r w:rsidRPr="008C3412">
        <w:rPr>
          <w:i/>
          <w:iCs/>
          <w:sz w:val="20"/>
          <w:szCs w:val="20"/>
        </w:rPr>
        <w:t>Escherichia coli</w:t>
      </w:r>
      <w:r w:rsidRPr="00925C35">
        <w:rPr>
          <w:sz w:val="20"/>
          <w:szCs w:val="20"/>
        </w:rPr>
        <w:t xml:space="preserve"> O83:K24:H31 administration.</w:t>
      </w:r>
    </w:p>
    <w:p w14:paraId="59E0735D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10F"/>
    <w:rsid w:val="002A5090"/>
    <w:rsid w:val="003D010F"/>
    <w:rsid w:val="003F36CB"/>
    <w:rsid w:val="005C6F5D"/>
    <w:rsid w:val="007620B2"/>
    <w:rsid w:val="00787B7D"/>
    <w:rsid w:val="007A529A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42873"/>
  <w15:chartTrackingRefBased/>
  <w15:docId w15:val="{ABAFF7D3-1051-4276-8E8D-939AD741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10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cs-C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01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01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010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010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010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010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010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010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010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0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0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0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0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0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0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0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0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0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0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0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10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0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010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0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010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0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0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0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010F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3D010F"/>
    <w:pPr>
      <w:spacing w:line="240" w:lineRule="auto"/>
    </w:pPr>
    <w:rPr>
      <w:rFonts w:ascii="Helvetica" w:eastAsia="Times New Roman" w:hAnsi="Helvetica" w:cs="Times New Roman"/>
      <w:color w:val="656561"/>
      <w:sz w:val="11"/>
      <w:szCs w:val="11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438</Words>
  <Characters>2501</Characters>
  <Application>Microsoft Office Word</Application>
  <DocSecurity>0</DocSecurity>
  <Lines>20</Lines>
  <Paragraphs>5</Paragraphs>
  <ScaleCrop>false</ScaleCrop>
  <Company>Springer Nature</Company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2025-05-20T06:41:00Z</dcterms:created>
  <dcterms:modified xsi:type="dcterms:W3CDTF">2025-05-20T06:41:00Z</dcterms:modified>
</cp:coreProperties>
</file>