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D6A3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default" w:cs="Times New Roman"/>
          <w:sz w:val="24"/>
          <w:szCs w:val="24"/>
          <w:lang w:eastAsia="zh-CN"/>
        </w:rPr>
      </w:pPr>
      <w:r>
        <w:rPr>
          <w:rFonts w:hint="default" w:cs="Times New Roman"/>
          <w:b/>
          <w:bCs/>
          <w:sz w:val="24"/>
          <w:szCs w:val="24"/>
          <w:lang w:val="en-US" w:eastAsia="zh-CN"/>
        </w:rPr>
        <w:t>Supplementary Figure 1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eastAsia="zh-CN"/>
        </w:rPr>
        <w:t>(A)</w:t>
      </w:r>
      <w:r>
        <w:rPr>
          <w:rFonts w:hint="default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eastAsia="zh-CN"/>
        </w:rPr>
        <w:t>The overlapped differentially expressed</w:t>
      </w:r>
      <w:r>
        <w:rPr>
          <w:rFonts w:hint="default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eastAsia="zh-CN"/>
        </w:rPr>
        <w:t>FRGs,</w:t>
      </w:r>
      <w:r>
        <w:rPr>
          <w:rFonts w:hint="default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eastAsia="zh-CN"/>
        </w:rPr>
        <w:t>ARGs and LMRGs in the training set</w:t>
      </w:r>
      <w:r>
        <w:rPr>
          <w:rFonts w:hint="default" w:cs="Times New Roman"/>
          <w:sz w:val="24"/>
          <w:szCs w:val="24"/>
          <w:lang w:val="en-US" w:eastAsia="zh-CN"/>
        </w:rPr>
        <w:t xml:space="preserve">. </w:t>
      </w:r>
      <w:r>
        <w:rPr>
          <w:rFonts w:hint="default" w:cs="Times New Roman"/>
          <w:sz w:val="24"/>
          <w:szCs w:val="24"/>
          <w:lang w:eastAsia="zh-CN"/>
        </w:rPr>
        <w:t>(</w:t>
      </w:r>
      <w:r>
        <w:rPr>
          <w:rFonts w:hint="default" w:cs="Times New Roman"/>
          <w:sz w:val="24"/>
          <w:szCs w:val="24"/>
          <w:lang w:val="en-US" w:eastAsia="zh-CN"/>
        </w:rPr>
        <w:t>B</w:t>
      </w:r>
      <w:r>
        <w:rPr>
          <w:rFonts w:hint="default" w:cs="Times New Roman"/>
          <w:sz w:val="24"/>
          <w:szCs w:val="24"/>
          <w:lang w:eastAsia="zh-CN"/>
        </w:rPr>
        <w:t>)</w:t>
      </w:r>
      <w:r>
        <w:rPr>
          <w:rFonts w:hint="default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eastAsia="zh-CN"/>
        </w:rPr>
        <w:t xml:space="preserve">Heatmap of </w:t>
      </w:r>
      <w:r>
        <w:rPr>
          <w:rFonts w:hint="default" w:cs="Times New Roman"/>
          <w:sz w:val="24"/>
          <w:szCs w:val="24"/>
          <w:lang w:val="en-US" w:eastAsia="zh-CN"/>
        </w:rPr>
        <w:t>the top 30 lipid metabolism-related differentially expressed genes in HCC</w:t>
      </w:r>
      <w:r>
        <w:rPr>
          <w:rFonts w:hint="default" w:cs="Times New Roman"/>
          <w:sz w:val="24"/>
          <w:szCs w:val="24"/>
          <w:lang w:eastAsia="zh-CN"/>
        </w:rPr>
        <w:t>.</w:t>
      </w:r>
      <w:r>
        <w:rPr>
          <w:rFonts w:hint="default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eastAsia="zh-CN"/>
        </w:rPr>
        <w:t>(</w:t>
      </w:r>
      <w:r>
        <w:rPr>
          <w:rFonts w:hint="default" w:cs="Times New Roman"/>
          <w:sz w:val="24"/>
          <w:szCs w:val="24"/>
          <w:lang w:val="en-US" w:eastAsia="zh-CN"/>
        </w:rPr>
        <w:t>C</w:t>
      </w:r>
      <w:r>
        <w:rPr>
          <w:rFonts w:hint="default" w:cs="Times New Roman"/>
          <w:sz w:val="24"/>
          <w:szCs w:val="24"/>
          <w:lang w:eastAsia="zh-CN"/>
        </w:rPr>
        <w:t>)</w:t>
      </w:r>
      <w:r>
        <w:rPr>
          <w:rFonts w:hint="default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eastAsia="zh-CN"/>
        </w:rPr>
        <w:t xml:space="preserve">Heatmap of </w:t>
      </w:r>
      <w:r>
        <w:rPr>
          <w:rFonts w:hint="default" w:cs="Times New Roman"/>
          <w:sz w:val="24"/>
          <w:szCs w:val="24"/>
          <w:lang w:val="en-US" w:eastAsia="zh-CN"/>
        </w:rPr>
        <w:t xml:space="preserve">the top 30 </w:t>
      </w:r>
      <w:r>
        <w:rPr>
          <w:rFonts w:hint="default" w:cs="Times New Roman"/>
          <w:sz w:val="24"/>
          <w:szCs w:val="24"/>
          <w:lang w:eastAsia="zh-CN"/>
        </w:rPr>
        <w:t>ferroptosis-related</w:t>
      </w:r>
      <w:r>
        <w:rPr>
          <w:rFonts w:hint="default" w:cs="Times New Roman"/>
          <w:sz w:val="24"/>
          <w:szCs w:val="24"/>
          <w:lang w:val="en-US" w:eastAsia="zh-CN"/>
        </w:rPr>
        <w:t xml:space="preserve"> differentially expressed genes in HCC</w:t>
      </w:r>
      <w:r>
        <w:rPr>
          <w:rFonts w:hint="default" w:cs="Times New Roman"/>
          <w:sz w:val="24"/>
          <w:szCs w:val="24"/>
          <w:lang w:eastAsia="zh-CN"/>
        </w:rPr>
        <w:t>.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eastAsia="zh-CN"/>
        </w:rPr>
        <w:t>(</w:t>
      </w:r>
      <w:r>
        <w:rPr>
          <w:rFonts w:hint="default" w:cs="Times New Roman"/>
          <w:sz w:val="24"/>
          <w:szCs w:val="24"/>
          <w:lang w:val="en-US" w:eastAsia="zh-CN"/>
        </w:rPr>
        <w:t>D</w:t>
      </w:r>
      <w:r>
        <w:rPr>
          <w:rFonts w:hint="default" w:cs="Times New Roman"/>
          <w:sz w:val="24"/>
          <w:szCs w:val="24"/>
          <w:lang w:eastAsia="zh-CN"/>
        </w:rPr>
        <w:t>)</w:t>
      </w:r>
      <w:r>
        <w:rPr>
          <w:rFonts w:hint="default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eastAsia="zh-CN"/>
        </w:rPr>
        <w:t>Heatmap of</w:t>
      </w:r>
      <w:r>
        <w:rPr>
          <w:rFonts w:hint="eastAsia" w:cs="Times New Roman"/>
          <w:sz w:val="24"/>
          <w:szCs w:val="24"/>
          <w:lang w:val="en-US" w:eastAsia="zh-CN"/>
        </w:rPr>
        <w:t xml:space="preserve"> 27</w:t>
      </w:r>
      <w:r>
        <w:rPr>
          <w:rFonts w:hint="default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eastAsia="zh-CN"/>
        </w:rPr>
        <w:t>autophagy-related differential genes in HCC.</w:t>
      </w:r>
    </w:p>
    <w:p w14:paraId="28DBD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default" w:cs="Times New Roman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eastAsia="zh-CN"/>
        </w:rPr>
        <w:drawing>
          <wp:inline distT="0" distB="0" distL="114300" distR="114300">
            <wp:extent cx="6111240" cy="6844665"/>
            <wp:effectExtent l="0" t="0" r="0" b="13335"/>
            <wp:docPr id="1" name="图片 1" descr="Supplementary Figure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 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684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C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default" w:cs="Times New Roman"/>
          <w:b/>
          <w:bCs/>
          <w:sz w:val="24"/>
          <w:szCs w:val="24"/>
          <w:lang w:val="en-US" w:eastAsia="zh-CN"/>
        </w:rPr>
        <w:sectPr>
          <w:endnotePr>
            <w:numFmt w:val="decimal"/>
          </w:endnotePr>
          <w:pgSz w:w="11906" w:h="16838"/>
          <w:pgMar w:top="1440" w:right="1134" w:bottom="1440" w:left="1134" w:header="851" w:footer="992" w:gutter="0"/>
          <w:lnNumType w:countBy="0" w:restart="continuous"/>
          <w:cols w:space="425" w:num="1"/>
          <w:docGrid w:type="lines" w:linePitch="312" w:charSpace="0"/>
        </w:sectPr>
      </w:pPr>
    </w:p>
    <w:p w14:paraId="3FDBA0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default" w:cs="Times New Roman"/>
          <w:sz w:val="24"/>
          <w:szCs w:val="24"/>
          <w:lang w:val="en-US" w:eastAsia="zh-CN"/>
        </w:rPr>
      </w:pPr>
      <w:r>
        <w:rPr>
          <w:rFonts w:hint="default" w:cs="Times New Roman"/>
          <w:b/>
          <w:bCs/>
          <w:sz w:val="24"/>
          <w:szCs w:val="24"/>
          <w:lang w:val="en-US" w:eastAsia="zh-CN"/>
        </w:rPr>
        <w:t xml:space="preserve">Supplementary Figure 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val="en-US" w:eastAsia="zh-CN"/>
        </w:rPr>
        <w:t xml:space="preserve">(A) PPI network of </w:t>
      </w:r>
      <w:r>
        <w:rPr>
          <w:rFonts w:hint="eastAsia" w:cs="Times New Roman"/>
          <w:sz w:val="24"/>
          <w:szCs w:val="24"/>
          <w:lang w:val="en-US" w:eastAsia="zh-CN"/>
        </w:rPr>
        <w:t>56</w:t>
      </w:r>
      <w:r>
        <w:rPr>
          <w:rFonts w:hint="default" w:cs="Times New Roman"/>
          <w:sz w:val="24"/>
          <w:szCs w:val="24"/>
          <w:lang w:val="en-US" w:eastAsia="zh-CN"/>
        </w:rPr>
        <w:t xml:space="preserve"> Fer-Aut-LMRGs differential gene. (B) The hub genes of PPI network.</w:t>
      </w:r>
    </w:p>
    <w:p w14:paraId="5C4DC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default" w:cs="Times New Roman"/>
          <w:b/>
          <w:bCs/>
          <w:sz w:val="24"/>
          <w:szCs w:val="24"/>
          <w:lang w:val="en-US" w:eastAsia="zh-CN"/>
        </w:rPr>
      </w:pPr>
    </w:p>
    <w:p w14:paraId="1F1BB3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default" w:cs="Times New Roman"/>
          <w:b/>
          <w:bCs/>
          <w:sz w:val="24"/>
          <w:szCs w:val="24"/>
          <w:lang w:val="en-US" w:eastAsia="zh-CN"/>
        </w:rPr>
        <w:sectPr>
          <w:endnotePr>
            <w:numFmt w:val="decimal"/>
          </w:endnotePr>
          <w:pgSz w:w="11906" w:h="16838"/>
          <w:pgMar w:top="1440" w:right="1134" w:bottom="1440" w:left="1134" w:header="851" w:footer="992" w:gutter="0"/>
          <w:lnNumType w:countBy="0" w:restart="continuous"/>
          <w:cols w:space="425" w:num="1"/>
          <w:docGrid w:type="lines" w:linePitch="312" w:charSpace="0"/>
        </w:sectPr>
      </w:pPr>
      <w:r>
        <w:rPr>
          <w:rFonts w:hint="default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6115685" cy="3335655"/>
            <wp:effectExtent l="0" t="0" r="10795" b="1905"/>
            <wp:docPr id="2" name="图片 2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A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default" w:cs="Times New Roman"/>
          <w:b/>
          <w:bCs/>
          <w:sz w:val="24"/>
          <w:szCs w:val="24"/>
          <w:lang w:val="en-US" w:eastAsia="zh-CN"/>
        </w:rPr>
        <w:t xml:space="preserve">Supplementary Figure 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3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val="en-US" w:eastAsia="zh-CN"/>
        </w:rPr>
        <w:t>Identification of risk signature in the TCGA cohort. </w:t>
      </w:r>
      <w:r>
        <w:rPr>
          <w:rFonts w:hint="eastAsia" w:cs="Times New Roman"/>
          <w:sz w:val="24"/>
          <w:szCs w:val="24"/>
          <w:lang w:val="en-US" w:eastAsia="zh-CN"/>
        </w:rPr>
        <w:t xml:space="preserve">(A) </w:t>
      </w:r>
      <w:r>
        <w:rPr>
          <w:rFonts w:hint="default" w:cs="Times New Roman"/>
          <w:sz w:val="24"/>
          <w:szCs w:val="24"/>
          <w:lang w:val="en-US" w:eastAsia="zh-CN"/>
        </w:rPr>
        <w:t>Least absolute shrinkage and selection operator (LASSO) regression of the OS-related genes. </w:t>
      </w:r>
      <w:r>
        <w:rPr>
          <w:rFonts w:hint="eastAsia" w:cs="Times New Roman"/>
          <w:sz w:val="24"/>
          <w:szCs w:val="24"/>
          <w:lang w:val="en-US" w:eastAsia="zh-CN"/>
        </w:rPr>
        <w:t xml:space="preserve">(B) </w:t>
      </w:r>
      <w:r>
        <w:rPr>
          <w:rFonts w:hint="default" w:cs="Times New Roman"/>
          <w:sz w:val="24"/>
          <w:szCs w:val="24"/>
          <w:lang w:val="en-US" w:eastAsia="zh-CN"/>
        </w:rPr>
        <w:t>Cross-validation for tuning the parameter selection in the LASSO regression</w:t>
      </w:r>
      <w:r>
        <w:rPr>
          <w:rFonts w:hint="eastAsia" w:cs="Times New Roman"/>
          <w:sz w:val="24"/>
          <w:szCs w:val="24"/>
          <w:lang w:val="en-US" w:eastAsia="zh-CN"/>
        </w:rPr>
        <w:t>.</w:t>
      </w:r>
    </w:p>
    <w:p w14:paraId="19619E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6577AB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sz w:val="24"/>
          <w:szCs w:val="24"/>
          <w:lang w:val="en-US" w:eastAsia="zh-CN"/>
        </w:rPr>
        <w:sectPr>
          <w:endnotePr>
            <w:numFmt w:val="decimal"/>
          </w:endnotePr>
          <w:pgSz w:w="11906" w:h="16838"/>
          <w:pgMar w:top="1440" w:right="1134" w:bottom="1440" w:left="1134" w:header="851" w:footer="992" w:gutter="0"/>
          <w:lnNumType w:countBy="0" w:restart="continuous"/>
          <w:cols w:space="425" w:num="1"/>
          <w:docGrid w:type="lines" w:linePitch="312" w:charSpace="0"/>
        </w:sectPr>
      </w:pPr>
      <w:r>
        <w:rPr>
          <w:rFonts w:hint="eastAsia" w:cs="Times New Roman"/>
          <w:sz w:val="24"/>
          <w:szCs w:val="24"/>
          <w:lang w:val="en-US" w:eastAsia="zh-CN"/>
        </w:rPr>
        <w:drawing>
          <wp:inline distT="0" distB="0" distL="114300" distR="114300">
            <wp:extent cx="6118225" cy="3529330"/>
            <wp:effectExtent l="0" t="0" r="8255" b="6350"/>
            <wp:docPr id="5" name="图片 5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34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default" w:cs="Times New Roman"/>
          <w:sz w:val="24"/>
          <w:szCs w:val="24"/>
          <w:lang w:val="en-US" w:eastAsia="zh-CN"/>
        </w:rPr>
      </w:pPr>
      <w:r>
        <w:rPr>
          <w:rFonts w:hint="default" w:cs="Times New Roman"/>
          <w:b/>
          <w:bCs/>
          <w:sz w:val="24"/>
          <w:szCs w:val="24"/>
          <w:lang w:val="en-US" w:eastAsia="zh-CN"/>
        </w:rPr>
        <w:t>Supplementary Figure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 4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val="en-US" w:eastAsia="zh-CN"/>
        </w:rPr>
        <w:t xml:space="preserve">PCA analyzes the stratification ability of signature genes. (A) Lipid metabolism‐related signature genes. (B) </w:t>
      </w:r>
      <w:r>
        <w:rPr>
          <w:rFonts w:hint="eastAsia" w:cs="Times New Roman"/>
          <w:sz w:val="24"/>
          <w:szCs w:val="24"/>
          <w:lang w:val="en-US" w:eastAsia="zh-CN"/>
        </w:rPr>
        <w:t>56</w:t>
      </w:r>
      <w:r>
        <w:rPr>
          <w:rFonts w:hint="default" w:cs="Times New Roman"/>
          <w:sz w:val="24"/>
          <w:szCs w:val="24"/>
          <w:lang w:val="en-US" w:eastAsia="zh-CN"/>
        </w:rPr>
        <w:t xml:space="preserve"> differentially expressed Fer-Aut-LMRGs. (C) </w:t>
      </w:r>
      <w:r>
        <w:rPr>
          <w:rFonts w:hint="eastAsia" w:cs="Times New Roman"/>
          <w:sz w:val="24"/>
          <w:szCs w:val="24"/>
          <w:lang w:val="en-US" w:eastAsia="zh-CN"/>
        </w:rPr>
        <w:t>220</w:t>
      </w:r>
      <w:r>
        <w:rPr>
          <w:rFonts w:hint="default" w:cs="Times New Roman"/>
          <w:sz w:val="24"/>
          <w:szCs w:val="24"/>
          <w:lang w:val="en-US" w:eastAsia="zh-CN"/>
        </w:rPr>
        <w:t xml:space="preserve"> differentially expressed lipid metabolic genes. (D) All gene expression profiles.</w:t>
      </w:r>
    </w:p>
    <w:p w14:paraId="39F323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drawing>
          <wp:inline distT="0" distB="0" distL="114300" distR="114300">
            <wp:extent cx="4864735" cy="4864735"/>
            <wp:effectExtent l="0" t="0" r="12065" b="12065"/>
            <wp:docPr id="4" name="图片 4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60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b/>
          <w:bCs/>
          <w:sz w:val="24"/>
          <w:szCs w:val="24"/>
          <w:lang w:val="en-US" w:eastAsia="zh-CN"/>
        </w:rPr>
        <w:sectPr>
          <w:endnotePr>
            <w:numFmt w:val="decimal"/>
          </w:endnotePr>
          <w:pgSz w:w="11906" w:h="16838"/>
          <w:pgMar w:top="1440" w:right="1134" w:bottom="1440" w:left="1134" w:header="851" w:footer="992" w:gutter="0"/>
          <w:lnNumType w:countBy="0" w:restart="continuous"/>
          <w:cols w:space="425" w:num="1"/>
          <w:docGrid w:type="lines" w:linePitch="312" w:charSpace="0"/>
        </w:sectPr>
      </w:pPr>
    </w:p>
    <w:p w14:paraId="5E94D7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>Supplementary Figure 5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val="en-US" w:eastAsia="zh-CN"/>
        </w:rPr>
        <w:t>Correlation between risk scores and clinicopathological characteristics in the TCGA dataset.</w:t>
      </w:r>
    </w:p>
    <w:p w14:paraId="07F945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b/>
          <w:bCs/>
          <w:sz w:val="24"/>
          <w:szCs w:val="24"/>
          <w:lang w:val="en-US" w:eastAsia="zh-CN"/>
        </w:rPr>
      </w:pPr>
    </w:p>
    <w:p w14:paraId="0DB07C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b/>
          <w:bCs/>
          <w:sz w:val="24"/>
          <w:szCs w:val="24"/>
          <w:lang w:val="en-US" w:eastAsia="zh-CN"/>
        </w:rPr>
        <w:sectPr>
          <w:endnotePr>
            <w:numFmt w:val="decimal"/>
          </w:endnotePr>
          <w:pgSz w:w="11906" w:h="16838"/>
          <w:pgMar w:top="1440" w:right="1134" w:bottom="1440" w:left="1134" w:header="851" w:footer="992" w:gutter="0"/>
          <w:lnNumType w:countBy="0" w:restart="continuous"/>
          <w:cols w:space="425" w:num="1"/>
          <w:docGrid w:type="lines" w:linePitch="312" w:charSpace="0"/>
        </w:sect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6103620" cy="5289550"/>
            <wp:effectExtent l="0" t="0" r="7620" b="13970"/>
            <wp:docPr id="3" name="图片 3" descr="Supplementary 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2544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>Supplementary Figure 6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val="en-US" w:eastAsia="zh-CN"/>
        </w:rPr>
        <w:t>Correlation between risk scores and clinicopathological characteristics in the TCGA dataset.</w:t>
      </w:r>
    </w:p>
    <w:p w14:paraId="3B3B24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drawing>
          <wp:inline distT="0" distB="0" distL="114300" distR="114300">
            <wp:extent cx="5878195" cy="5143500"/>
            <wp:effectExtent l="0" t="0" r="4445" b="7620"/>
            <wp:docPr id="7" name="图片 7" descr="补充-6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补充-6.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92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b/>
          <w:bCs/>
          <w:sz w:val="24"/>
          <w:szCs w:val="24"/>
          <w:lang w:val="en-US" w:eastAsia="zh-CN"/>
        </w:rPr>
        <w:sectPr>
          <w:endnotePr>
            <w:numFmt w:val="decimal"/>
          </w:endnotePr>
          <w:pgSz w:w="11906" w:h="16838"/>
          <w:pgMar w:top="1440" w:right="1134" w:bottom="1440" w:left="1134" w:header="851" w:footer="992" w:gutter="0"/>
          <w:lnNumType w:countBy="0" w:restart="continuous"/>
          <w:cols w:space="425" w:num="1"/>
          <w:docGrid w:type="lines" w:linePitch="312" w:charSpace="0"/>
        </w:sectPr>
      </w:pPr>
    </w:p>
    <w:p w14:paraId="14208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Supplementary Figure 7 </w:t>
      </w:r>
      <w:r>
        <w:rPr>
          <w:rFonts w:hint="eastAsia" w:cs="Times New Roman"/>
          <w:sz w:val="24"/>
          <w:szCs w:val="24"/>
          <w:lang w:val="en-US" w:eastAsia="zh-CN"/>
        </w:rPr>
        <w:t xml:space="preserve">(A) </w:t>
      </w:r>
      <w:r>
        <w:rPr>
          <w:rFonts w:hint="default" w:cs="Times New Roman"/>
          <w:sz w:val="24"/>
          <w:szCs w:val="24"/>
          <w:lang w:val="en-US" w:eastAsia="zh-CN"/>
        </w:rPr>
        <w:t>TXNRD1 Correlation of the levels of immune infiltration in HCC.</w:t>
      </w:r>
      <w:r>
        <w:rPr>
          <w:rFonts w:hint="eastAsia" w:cs="Times New Roman"/>
          <w:sz w:val="24"/>
          <w:szCs w:val="24"/>
          <w:lang w:val="en-US" w:eastAsia="zh-CN"/>
        </w:rPr>
        <w:t xml:space="preserve"> (B) ALAS1</w:t>
      </w:r>
      <w:r>
        <w:rPr>
          <w:rFonts w:hint="default" w:cs="Times New Roman"/>
          <w:sz w:val="24"/>
          <w:szCs w:val="24"/>
          <w:lang w:val="en-US" w:eastAsia="zh-CN"/>
        </w:rPr>
        <w:t xml:space="preserve"> Correlation of the levels of immune infiltration in HCC.</w:t>
      </w:r>
    </w:p>
    <w:p w14:paraId="6E8524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b/>
          <w:bCs/>
          <w:sz w:val="24"/>
          <w:szCs w:val="24"/>
          <w:lang w:val="en-US" w:eastAsia="zh-CN"/>
        </w:rPr>
      </w:pPr>
    </w:p>
    <w:p w14:paraId="09DECA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b/>
          <w:bCs/>
          <w:sz w:val="24"/>
          <w:szCs w:val="24"/>
          <w:lang w:val="en-US" w:eastAsia="zh-CN"/>
        </w:rPr>
        <w:sectPr>
          <w:endnotePr>
            <w:numFmt w:val="decimal"/>
          </w:endnotePr>
          <w:pgSz w:w="11906" w:h="16838"/>
          <w:pgMar w:top="1440" w:right="1134" w:bottom="1440" w:left="1134" w:header="851" w:footer="992" w:gutter="0"/>
          <w:lnNumType w:countBy="0" w:restart="continuous"/>
          <w:cols w:space="425" w:num="1"/>
          <w:docGrid w:type="lines" w:linePitch="312" w:charSpace="0"/>
        </w:sect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6106160" cy="2827020"/>
            <wp:effectExtent l="0" t="0" r="5080" b="7620"/>
            <wp:docPr id="8" name="图片 8" descr="Supplementary 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ary Fig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9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3A2F93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>Supplementary Figure 8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hint="default" w:cs="Times New Roman"/>
          <w:sz w:val="24"/>
          <w:szCs w:val="24"/>
          <w:lang w:val="en-US" w:eastAsia="zh-CN"/>
        </w:rPr>
        <w:t>Types of 12 subgroups of cells in the GSE146115 single-cell dataset</w:t>
      </w:r>
      <w:r>
        <w:rPr>
          <w:rFonts w:hint="eastAsia" w:cs="Times New Roman"/>
          <w:sz w:val="24"/>
          <w:szCs w:val="24"/>
          <w:lang w:val="en-US" w:eastAsia="zh-CN"/>
        </w:rPr>
        <w:t>.</w:t>
      </w:r>
    </w:p>
    <w:p w14:paraId="748480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145A63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</w:pPr>
      <w:r>
        <w:rPr>
          <w:rFonts w:hint="eastAsia" w:cs="Times New Roman"/>
          <w:sz w:val="24"/>
          <w:szCs w:val="24"/>
          <w:lang w:val="en-US" w:eastAsia="zh-CN"/>
        </w:rPr>
        <w:drawing>
          <wp:inline distT="0" distB="0" distL="114300" distR="114300">
            <wp:extent cx="6096000" cy="5486400"/>
            <wp:effectExtent l="0" t="0" r="0" b="0"/>
            <wp:docPr id="9" name="图片 9" descr="Supplementary Fig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upplementary Figur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numFmt w:val="decimal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3MmIzOWY4MmVhZGI1NjlhMzVkZjhjMWVjOTFlM2IifQ=="/>
  </w:docVars>
  <w:rsids>
    <w:rsidRoot w:val="441B74E4"/>
    <w:rsid w:val="441B74E4"/>
    <w:rsid w:val="5E7C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723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tiff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203</Words>
  <Characters>1257</Characters>
  <Lines>0</Lines>
  <Paragraphs>0</Paragraphs>
  <TotalTime>8</TotalTime>
  <ScaleCrop>false</ScaleCrop>
  <LinksUpToDate>false</LinksUpToDate>
  <CharactersWithSpaces>1452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2024-06-18T01:38:00Z</dcterms:created>
  <dc:creator>草莓蛋糕</dc:creator>
  <cp:lastModifiedBy>草莓蛋糕</cp:lastModifiedBy>
  <dcterms:modified xsi:type="dcterms:W3CDTF">2025-02-13T07:51:22Z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B976F8B3960E4D77AF825531C46FD14E_13</vt:lpwstr>
  </property>
  <property fmtid="{D5CDD505-2E9C-101B-9397-08002B2CF9AE}" pid="4" name="KSOTemplateDocerSaveRecord">
    <vt:lpwstr>eyJoZGlkIjoiMDI3MmIzOWY4MmVhZGI1NjlhMzVkZjhjMWVjOTFlM2IiLCJ1c2VySWQiOiI0MDUxODc1MjQifQ==</vt:lpwstr>
  </property>
</Properties>
</file>