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396C2" w14:textId="545F6E75" w:rsidR="009D5AE0" w:rsidRPr="009D5AE0" w:rsidRDefault="009D5AE0" w:rsidP="009D5AE0">
      <w:r w:rsidRPr="009D5AE0">
        <w:drawing>
          <wp:inline distT="0" distB="0" distL="0" distR="0" wp14:anchorId="40B6FE53" wp14:editId="3D4CEA20">
            <wp:extent cx="5943600" cy="2438400"/>
            <wp:effectExtent l="0" t="0" r="0" b="0"/>
            <wp:docPr id="78285260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B56D5" w14:textId="77777777" w:rsidR="009D5AE0" w:rsidRPr="009D5AE0" w:rsidRDefault="009D5AE0" w:rsidP="009D5AE0">
      <w:r w:rsidRPr="009D5AE0">
        <w:t>Chart 1: Factors influencing participant selection; source: author.</w:t>
      </w:r>
    </w:p>
    <w:p w14:paraId="0B3F18BA" w14:textId="50BFCADB" w:rsidR="009D5AE0" w:rsidRPr="009D5AE0" w:rsidRDefault="009D5AE0" w:rsidP="009D5AE0">
      <w:r w:rsidRPr="009D5AE0">
        <w:drawing>
          <wp:inline distT="0" distB="0" distL="0" distR="0" wp14:anchorId="47478EF1" wp14:editId="639A9B83">
            <wp:extent cx="3524250" cy="1924050"/>
            <wp:effectExtent l="0" t="0" r="0" b="0"/>
            <wp:docPr id="12623539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5C710" w14:textId="70F6A57E" w:rsidR="009D5AE0" w:rsidRDefault="009D5AE0">
      <w:r w:rsidRPr="009D5AE0">
        <w:t>Chart 2: Stages of conducting the experiment based on different gender pairings; source: author.</w:t>
      </w:r>
    </w:p>
    <w:p w14:paraId="2442A65E" w14:textId="77777777" w:rsidR="009D5AE0" w:rsidRDefault="009D5AE0"/>
    <w:p w14:paraId="7A384600" w14:textId="77777777" w:rsidR="009D5AE0" w:rsidRDefault="009D5AE0"/>
    <w:p w14:paraId="19A4A777" w14:textId="77777777" w:rsidR="009D5AE0" w:rsidRDefault="009D5AE0"/>
    <w:p w14:paraId="480A180A" w14:textId="77777777" w:rsidR="009D5AE0" w:rsidRDefault="009D5AE0"/>
    <w:p w14:paraId="7A4496BE" w14:textId="77777777" w:rsidR="009D5AE0" w:rsidRDefault="009D5AE0"/>
    <w:p w14:paraId="319C2038" w14:textId="77777777" w:rsidR="009D5AE0" w:rsidRDefault="009D5AE0"/>
    <w:p w14:paraId="123D76C7" w14:textId="77777777" w:rsidR="009D5AE0" w:rsidRDefault="009D5AE0" w:rsidP="009D5AE0">
      <w:pPr>
        <w:spacing w:before="240" w:after="240" w:line="360" w:lineRule="auto"/>
      </w:pPr>
    </w:p>
    <w:p w14:paraId="5B02735A" w14:textId="31498B72" w:rsidR="009D5AE0" w:rsidRDefault="009D5AE0" w:rsidP="009D5AE0">
      <w:pPr>
        <w:bidi/>
        <w:spacing w:line="360" w:lineRule="auto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3CADB713" wp14:editId="42C24122">
            <wp:extent cx="5943600" cy="3163570"/>
            <wp:effectExtent l="0" t="0" r="0" b="0"/>
            <wp:docPr id="107537065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03358" w14:textId="77777777" w:rsidR="009D5AE0" w:rsidRDefault="009D5AE0" w:rsidP="009D5AE0">
      <w:pPr>
        <w:spacing w:line="360" w:lineRule="auto"/>
        <w:jc w:val="center"/>
        <w:rPr>
          <w:color w:val="000000"/>
        </w:rPr>
      </w:pPr>
      <w:r>
        <w:t>Charts 3: Timing and categorization of photographic data; source: author.</w:t>
      </w:r>
    </w:p>
    <w:p w14:paraId="708E5CCE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208B40A0" w14:textId="2E0ACB3B" w:rsidR="009D5AE0" w:rsidRDefault="009D5AE0" w:rsidP="009D5AE0">
      <w:pPr>
        <w:bidi/>
        <w:spacing w:line="360" w:lineRule="auto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F55208D" wp14:editId="7F8F0DA1">
            <wp:extent cx="5943600" cy="2914650"/>
            <wp:effectExtent l="0" t="0" r="0" b="0"/>
            <wp:docPr id="2659198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B0249" w14:textId="77777777" w:rsidR="009D5AE0" w:rsidRDefault="009D5AE0" w:rsidP="009D5AE0">
      <w:pPr>
        <w:spacing w:line="360" w:lineRule="auto"/>
        <w:jc w:val="center"/>
        <w:rPr>
          <w:color w:val="000000"/>
        </w:rPr>
      </w:pPr>
      <w:r>
        <w:t>Charts 4: Timing and categorization of photographic data; source: author.</w:t>
      </w:r>
    </w:p>
    <w:p w14:paraId="07D35AED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7A28A791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04B17145" w14:textId="75472C8A" w:rsidR="009D5AE0" w:rsidRDefault="009D5AE0" w:rsidP="009D5AE0">
      <w:pPr>
        <w:bidi/>
        <w:spacing w:line="360" w:lineRule="auto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2FCEBA75" wp14:editId="3DE0D48E">
            <wp:extent cx="5943600" cy="3016250"/>
            <wp:effectExtent l="0" t="0" r="0" b="0"/>
            <wp:docPr id="1112093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326D4" w14:textId="77777777" w:rsidR="009D5AE0" w:rsidRDefault="009D5AE0" w:rsidP="009D5AE0">
      <w:pPr>
        <w:spacing w:line="360" w:lineRule="auto"/>
        <w:jc w:val="center"/>
        <w:rPr>
          <w:color w:val="000000"/>
        </w:rPr>
      </w:pPr>
      <w:r>
        <w:t>Charts 5: Timing and categorization of photographic data; source: author.</w:t>
      </w:r>
    </w:p>
    <w:p w14:paraId="5F0566C9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6D4509B4" w14:textId="375EBA52" w:rsidR="009D5AE0" w:rsidRDefault="009D5AE0" w:rsidP="009D5AE0">
      <w:pPr>
        <w:bidi/>
        <w:spacing w:line="360" w:lineRule="auto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28D3F073" wp14:editId="2D3723A2">
            <wp:extent cx="5943600" cy="2902585"/>
            <wp:effectExtent l="0" t="0" r="0" b="0"/>
            <wp:docPr id="18008745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A259A" w14:textId="4137BC1F" w:rsidR="009D5AE0" w:rsidRDefault="009D5AE0" w:rsidP="009D5AE0">
      <w:pPr>
        <w:spacing w:line="360" w:lineRule="auto"/>
        <w:jc w:val="center"/>
        <w:rPr>
          <w:color w:val="000000"/>
        </w:rPr>
      </w:pPr>
      <w:r>
        <w:t>Charts 6: Timing and categorization of photographic data; source: author.</w:t>
      </w:r>
    </w:p>
    <w:p w14:paraId="00D16455" w14:textId="64E66B2D" w:rsidR="009D5AE0" w:rsidRDefault="009D5AE0" w:rsidP="009D5AE0">
      <w:pPr>
        <w:bidi/>
        <w:spacing w:line="360" w:lineRule="auto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65BC2C5D" wp14:editId="74F48D87">
            <wp:extent cx="5943600" cy="2830830"/>
            <wp:effectExtent l="0" t="0" r="0" b="7620"/>
            <wp:docPr id="11745092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2CD1E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1283F99B" w14:textId="77777777" w:rsidR="009D5AE0" w:rsidRDefault="009D5AE0" w:rsidP="009D5AE0">
      <w:pPr>
        <w:spacing w:line="360" w:lineRule="auto"/>
        <w:jc w:val="center"/>
        <w:rPr>
          <w:color w:val="000000"/>
        </w:rPr>
      </w:pPr>
      <w:r>
        <w:t>Charts 7: Timing and categorization of photographic data; source: author.</w:t>
      </w:r>
    </w:p>
    <w:p w14:paraId="6C0B5824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0A415D0F" w14:textId="7502E4FB" w:rsidR="009D5AE0" w:rsidRDefault="009D5AE0" w:rsidP="009D5AE0">
      <w:pPr>
        <w:bidi/>
        <w:spacing w:line="360" w:lineRule="auto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7EFEDBA6" wp14:editId="74BC407D">
            <wp:extent cx="5943600" cy="2826385"/>
            <wp:effectExtent l="0" t="0" r="0" b="0"/>
            <wp:docPr id="20142558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BC538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52C75D66" w14:textId="1238DA17" w:rsidR="009D5AE0" w:rsidRDefault="009D5AE0" w:rsidP="009D5AE0">
      <w:pPr>
        <w:spacing w:line="360" w:lineRule="auto"/>
        <w:jc w:val="center"/>
        <w:rPr>
          <w:color w:val="000000"/>
        </w:rPr>
      </w:pPr>
      <w:r>
        <w:t>Charts 8: Timing and categorization of photographic data; source: author.</w:t>
      </w:r>
    </w:p>
    <w:p w14:paraId="4556E85F" w14:textId="77777777" w:rsidR="009D5AE0" w:rsidRDefault="009D5AE0" w:rsidP="009D5AE0">
      <w:pPr>
        <w:spacing w:line="360" w:lineRule="auto"/>
        <w:rPr>
          <w:sz w:val="20"/>
          <w:szCs w:val="20"/>
        </w:rPr>
      </w:pPr>
    </w:p>
    <w:tbl>
      <w:tblPr>
        <w:tblpPr w:leftFromText="180" w:rightFromText="180" w:topFromText="180" w:bottomFromText="180" w:vertAnchor="text" w:tblpX="-30" w:tblpY="5"/>
        <w:tblW w:w="876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2550"/>
        <w:gridCol w:w="2250"/>
        <w:gridCol w:w="2460"/>
      </w:tblGrid>
      <w:tr w:rsidR="009D5AE0" w14:paraId="13F03B69" w14:textId="77777777" w:rsidTr="009D5AE0">
        <w:trPr>
          <w:trHeight w:val="72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21D67F1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Effective Factors on Proxemic Behaviors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D2963D1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Observed Situations in Layout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7E7058B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Predicted Situations and Behaviors Between Same-Sex Individuals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4CC7D4F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Predicted Situations and Behaviors Between Opposite-Sex Individuals</w:t>
            </w:r>
          </w:p>
        </w:tc>
      </w:tr>
      <w:tr w:rsidR="009D5AE0" w14:paraId="63318BC5" w14:textId="77777777" w:rsidTr="009D5AE0">
        <w:trPr>
          <w:trHeight w:val="94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23DA5A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Postural / Gender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7C72CE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the designed experiment, most individuals were seated.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4D26F3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Both individuals usually sat facing each other with a slight tilt.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DC0827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 the beginning of the conversation, individuals sat with a tilt and avoided direct facing.</w:t>
            </w:r>
          </w:p>
        </w:tc>
      </w:tr>
      <w:tr w:rsidR="009D5AE0" w14:paraId="0120A266" w14:textId="77777777" w:rsidTr="009D5AE0">
        <w:trPr>
          <w:trHeight w:val="118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ECBE8F8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Social / Antisocial Orientation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FB55B37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same-sex interactions, individuals tended to sit at a specific angle, mostly facing each other.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794731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During same-sex conversations, individuals maintained more direct orientation toward each other.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6ACE02B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Opposite-sex participants tended to sit at angles or avoid direct body orientation toward each other.</w:t>
            </w:r>
          </w:p>
        </w:tc>
      </w:tr>
      <w:tr w:rsidR="009D5AE0" w14:paraId="167902D8" w14:textId="77777777" w:rsidTr="009D5AE0">
        <w:trPr>
          <w:trHeight w:val="14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02CF30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Kinetic / Movements Factors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D33DC0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Considering the table size (80×80 cm), the distance between participants was relatively constant (either touching or almost touching the table edges).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F4E7D6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same-sex interactions, the distance was slightly reduced during the conversation (closer physical proximity).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A6EC499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Opposite-sex individuals maintained greater distance throughout the conversation (e.g., 2.0 distance — forearm length or further).</w:t>
            </w:r>
          </w:p>
        </w:tc>
      </w:tr>
      <w:tr w:rsidR="009D5AE0" w14:paraId="52F3E7BA" w14:textId="77777777" w:rsidTr="009D5AE0">
        <w:trPr>
          <w:trHeight w:val="94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B6EC31B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Tactile/Touch Code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33FA3D9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Due to the structure of the experiment, no physical touch was expected between participants.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B7D88C8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same-sex interactions, no intentional physical contact occurred (case 5: incidental contact).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F54F66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opposite-sex interactions, no intentional physical contact occurred.</w:t>
            </w:r>
          </w:p>
        </w:tc>
      </w:tr>
      <w:tr w:rsidR="009D5AE0" w14:paraId="16863143" w14:textId="77777777" w:rsidTr="009D5AE0">
        <w:trPr>
          <w:trHeight w:val="118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0DA528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Visual Code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85E087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According to video analysis, eye contact in same-sex interactions was either </w:t>
            </w:r>
            <w:r>
              <w:rPr>
                <w:sz w:val="20"/>
                <w:szCs w:val="20"/>
              </w:rPr>
              <w:lastRenderedPageBreak/>
              <w:t>macular (M) or occasionally peripheral (P).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B034B38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In same-sex conversations, visual contact was generally </w:t>
            </w:r>
            <w:r>
              <w:rPr>
                <w:sz w:val="20"/>
                <w:szCs w:val="20"/>
              </w:rPr>
              <w:lastRenderedPageBreak/>
              <w:t>macular and occasionally peripheral.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8699BAE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In opposite-sex conversations, visual </w:t>
            </w:r>
            <w:r>
              <w:rPr>
                <w:sz w:val="20"/>
                <w:szCs w:val="20"/>
              </w:rPr>
              <w:lastRenderedPageBreak/>
              <w:t>contact was mostly peripheral and less direct.</w:t>
            </w:r>
          </w:p>
        </w:tc>
      </w:tr>
      <w:tr w:rsidR="009D5AE0" w14:paraId="300B7683" w14:textId="77777777" w:rsidTr="009D5AE0">
        <w:trPr>
          <w:trHeight w:val="94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1CA305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Thermal Code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A6BBD4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Due to the size of the table, participants' perception of body warmth was minimal or nonexistent.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58072A7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Participants did not report feeling each other’s body warmth.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BBB6B2E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Participants did not report feeling each other’s body warmth.</w:t>
            </w:r>
          </w:p>
        </w:tc>
      </w:tr>
      <w:tr w:rsidR="009D5AE0" w14:paraId="6A884949" w14:textId="77777777" w:rsidTr="009D5AE0">
        <w:trPr>
          <w:trHeight w:val="72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CE5F46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Olfaction Code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29D88D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Due to the set distance, the perception of each other’s scent was unlikely.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653DB7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Participants did not report sensing the smell of others.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FD5A91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Participants did not report sensing the smell of others.</w:t>
            </w:r>
          </w:p>
        </w:tc>
      </w:tr>
      <w:tr w:rsidR="009D5AE0" w14:paraId="79CDD8BE" w14:textId="77777777" w:rsidTr="009D5AE0">
        <w:trPr>
          <w:trHeight w:val="94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7062D8" w14:textId="77777777" w:rsidR="009D5AE0" w:rsidRDefault="009D5AE0">
            <w:pPr>
              <w:spacing w:before="240" w:after="240"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Voice Loudness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8CAC78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recording equipment, voice loudness was measured and remained relatively stable throughout the sessions.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C153AF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Voice loudness remained stable across same-sex conversations.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5B41D1E" w14:textId="77777777" w:rsidR="009D5AE0" w:rsidRDefault="009D5AE0">
            <w:pPr>
              <w:spacing w:before="240"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Voice loudness remained stable across opposite-sex conversations.</w:t>
            </w:r>
          </w:p>
        </w:tc>
      </w:tr>
    </w:tbl>
    <w:p w14:paraId="6900F0D9" w14:textId="77777777" w:rsidR="009D5AE0" w:rsidRDefault="009D5AE0" w:rsidP="009D5AE0">
      <w:pPr>
        <w:spacing w:line="360" w:lineRule="auto"/>
        <w:rPr>
          <w:rFonts w:ascii="Arial" w:hAnsi="Arial" w:cs="Arial"/>
          <w:sz w:val="22"/>
          <w:szCs w:val="22"/>
        </w:rPr>
      </w:pPr>
    </w:p>
    <w:p w14:paraId="6424B089" w14:textId="77777777" w:rsidR="009D5AE0" w:rsidRDefault="009D5AE0" w:rsidP="009D5AE0">
      <w:pPr>
        <w:bidi/>
        <w:spacing w:line="360" w:lineRule="auto"/>
        <w:rPr>
          <w:color w:val="000000"/>
        </w:rPr>
      </w:pPr>
    </w:p>
    <w:p w14:paraId="6E9573B3" w14:textId="77777777" w:rsidR="009D5AE0" w:rsidRDefault="009D5AE0" w:rsidP="009D5AE0">
      <w:pPr>
        <w:spacing w:before="240" w:after="240" w:line="360" w:lineRule="auto"/>
      </w:pPr>
    </w:p>
    <w:p w14:paraId="7684847F" w14:textId="77777777" w:rsidR="009D5AE0" w:rsidRDefault="009D5AE0" w:rsidP="009D5AE0">
      <w:pPr>
        <w:spacing w:before="240" w:after="240" w:line="360" w:lineRule="auto"/>
      </w:pPr>
      <w:r>
        <w:t xml:space="preserve"> </w:t>
      </w:r>
    </w:p>
    <w:p w14:paraId="54DC00AF" w14:textId="77777777" w:rsidR="009D5AE0" w:rsidRDefault="009D5AE0" w:rsidP="009D5AE0">
      <w:pPr>
        <w:spacing w:before="240" w:after="240" w:line="360" w:lineRule="auto"/>
      </w:pPr>
    </w:p>
    <w:p w14:paraId="17131FDB" w14:textId="77777777" w:rsidR="009D5AE0" w:rsidRDefault="009D5AE0" w:rsidP="009D5AE0">
      <w:pPr>
        <w:spacing w:before="240" w:after="240" w:line="360" w:lineRule="auto"/>
      </w:pPr>
    </w:p>
    <w:p w14:paraId="53B9C5B6" w14:textId="77777777" w:rsidR="009D5AE0" w:rsidRDefault="009D5AE0" w:rsidP="009D5AE0">
      <w:pPr>
        <w:spacing w:before="240" w:after="240" w:line="360" w:lineRule="auto"/>
      </w:pPr>
    </w:p>
    <w:p w14:paraId="18E2B6F4" w14:textId="77777777" w:rsidR="009D5AE0" w:rsidRDefault="009D5AE0" w:rsidP="009D5AE0">
      <w:pPr>
        <w:spacing w:before="240" w:after="240" w:line="360" w:lineRule="auto"/>
      </w:pPr>
    </w:p>
    <w:p w14:paraId="4C916E54" w14:textId="77777777" w:rsidR="009D5AE0" w:rsidRDefault="009D5AE0" w:rsidP="009D5AE0">
      <w:pPr>
        <w:spacing w:before="240" w:after="240" w:line="360" w:lineRule="auto"/>
      </w:pPr>
    </w:p>
    <w:p w14:paraId="0242757F" w14:textId="77777777" w:rsidR="009D5AE0" w:rsidRDefault="009D5AE0" w:rsidP="009D5AE0">
      <w:pPr>
        <w:spacing w:before="240" w:after="240" w:line="360" w:lineRule="auto"/>
      </w:pPr>
    </w:p>
    <w:p w14:paraId="4AA2289B" w14:textId="77777777" w:rsidR="009D5AE0" w:rsidRDefault="009D5AE0" w:rsidP="009D5AE0">
      <w:pPr>
        <w:spacing w:before="240" w:after="240" w:line="360" w:lineRule="auto"/>
      </w:pPr>
    </w:p>
    <w:p w14:paraId="49FCA73D" w14:textId="77777777" w:rsidR="009D5AE0" w:rsidRDefault="009D5AE0" w:rsidP="009D5AE0">
      <w:pPr>
        <w:spacing w:before="240" w:after="240" w:line="360" w:lineRule="auto"/>
      </w:pPr>
    </w:p>
    <w:p w14:paraId="7CA8B356" w14:textId="77777777" w:rsidR="009D5AE0" w:rsidRDefault="009D5AE0" w:rsidP="009D5AE0">
      <w:pPr>
        <w:spacing w:before="240" w:after="240" w:line="360" w:lineRule="auto"/>
      </w:pPr>
      <w:r>
        <w:t>Chart 9: Analysis of effective factors influencing proxemic behaviors in the experiment. Source: Author.</w:t>
      </w:r>
    </w:p>
    <w:p w14:paraId="06CB87AB" w14:textId="77777777" w:rsidR="009D5AE0" w:rsidRPr="009D5AE0" w:rsidRDefault="009D5AE0" w:rsidP="009D5AE0"/>
    <w:p w14:paraId="492056CE" w14:textId="77777777" w:rsidR="009D5AE0" w:rsidRPr="009D5AE0" w:rsidRDefault="009D5AE0" w:rsidP="009D5AE0"/>
    <w:p w14:paraId="78AEF2B3" w14:textId="2C8BBE79" w:rsidR="009D5AE0" w:rsidRPr="009D5AE0" w:rsidRDefault="009D5AE0" w:rsidP="009D5AE0">
      <w:r w:rsidRPr="009D5AE0">
        <w:lastRenderedPageBreak/>
        <w:drawing>
          <wp:inline distT="0" distB="0" distL="0" distR="0" wp14:anchorId="75A645AA" wp14:editId="3133D554">
            <wp:extent cx="4962525" cy="4476750"/>
            <wp:effectExtent l="0" t="0" r="9525" b="0"/>
            <wp:docPr id="213501207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1C35F" w14:textId="77777777" w:rsidR="009D5AE0" w:rsidRPr="009D5AE0" w:rsidRDefault="009D5AE0" w:rsidP="009D5AE0">
      <w:r w:rsidRPr="009D5AE0">
        <w:t>Chart 10: Analysis of social/antisocial orientation in interactions between same-sex and opposite-sex individuals. Source: Author.</w:t>
      </w:r>
    </w:p>
    <w:p w14:paraId="00DDD6FD" w14:textId="18C41D9D" w:rsidR="009D5AE0" w:rsidRPr="009D5AE0" w:rsidRDefault="009D5AE0" w:rsidP="009D5AE0">
      <w:r w:rsidRPr="009D5AE0">
        <w:lastRenderedPageBreak/>
        <w:drawing>
          <wp:inline distT="0" distB="0" distL="0" distR="0" wp14:anchorId="079BD8EE" wp14:editId="4AA4364E">
            <wp:extent cx="5943600" cy="4724400"/>
            <wp:effectExtent l="0" t="0" r="0" b="0"/>
            <wp:docPr id="155984460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D680C" w14:textId="77777777" w:rsidR="009D5AE0" w:rsidRPr="009D5AE0" w:rsidRDefault="009D5AE0" w:rsidP="009D5AE0">
      <w:r w:rsidRPr="009D5AE0">
        <w:t>Chart 11: Analysis of kinetic/movement factors in interactions between same-sex and opposite-sex individuals. Source: Author.</w:t>
      </w:r>
    </w:p>
    <w:p w14:paraId="3B10867B" w14:textId="10C5915E" w:rsidR="009D5AE0" w:rsidRPr="009D5AE0" w:rsidRDefault="009D5AE0" w:rsidP="009D5AE0">
      <w:r w:rsidRPr="009D5AE0">
        <w:lastRenderedPageBreak/>
        <w:drawing>
          <wp:inline distT="0" distB="0" distL="0" distR="0" wp14:anchorId="5F0417C3" wp14:editId="7299C91F">
            <wp:extent cx="5943600" cy="4791075"/>
            <wp:effectExtent l="0" t="0" r="0" b="9525"/>
            <wp:docPr id="115121730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3F314" w14:textId="77777777" w:rsidR="009D5AE0" w:rsidRPr="009D5AE0" w:rsidRDefault="009D5AE0" w:rsidP="009D5AE0">
      <w:r w:rsidRPr="009D5AE0">
        <w:t>Chart 12: Analysis of visual communication factors in interactions between same-sex and opposite-sex individuals. Source: Author.</w:t>
      </w:r>
    </w:p>
    <w:p w14:paraId="30769FC6" w14:textId="77777777" w:rsidR="009D5AE0" w:rsidRDefault="009D5AE0"/>
    <w:sectPr w:rsidR="009D5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AE0"/>
    <w:rsid w:val="00732981"/>
    <w:rsid w:val="00936FF8"/>
    <w:rsid w:val="009D5AE0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D6793"/>
  <w15:chartTrackingRefBased/>
  <w15:docId w15:val="{E7B76CB4-59BB-454C-9E72-F5D12D5D2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5A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5A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5A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5A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5A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5A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5A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5A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5A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5A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5A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5A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5A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5A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5A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5A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5A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5A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5A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5A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5A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5A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5A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5A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5A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5A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5A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5A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5A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543</Words>
  <Characters>3097</Characters>
  <Application>Microsoft Office Word</Application>
  <DocSecurity>0</DocSecurity>
  <Lines>25</Lines>
  <Paragraphs>7</Paragraphs>
  <ScaleCrop>false</ScaleCrop>
  <Company>Springer Nature</Company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2025-04-25T05:06:00Z</dcterms:created>
  <dcterms:modified xsi:type="dcterms:W3CDTF">2025-04-25T05:11:00Z</dcterms:modified>
</cp:coreProperties>
</file>