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7C6DD" w14:textId="77777777" w:rsidR="00FA03AE" w:rsidRDefault="00000000">
      <w:pPr>
        <w:pStyle w:val="AuthorsFull"/>
        <w:spacing w:beforeLines="150" w:before="360" w:afterLines="150" w:after="360" w:line="360" w:lineRule="auto"/>
        <w:jc w:val="center"/>
        <w:rPr>
          <w:rFonts w:eastAsiaTheme="minorEastAsia"/>
          <w:kern w:val="2"/>
          <w:sz w:val="36"/>
          <w:szCs w:val="36"/>
          <w:lang w:eastAsia="zh-CN"/>
        </w:rPr>
      </w:pPr>
      <w:bookmarkStart w:id="0" w:name="_Hlk100907551"/>
      <w:bookmarkStart w:id="1" w:name="_Hlk92726759"/>
      <w:bookmarkStart w:id="2" w:name="_Hlk96028015"/>
      <w:r>
        <w:rPr>
          <w:rFonts w:eastAsiaTheme="minorEastAsia"/>
          <w:b/>
          <w:i w:val="0"/>
          <w:kern w:val="2"/>
          <w:sz w:val="36"/>
          <w:szCs w:val="36"/>
          <w:lang w:eastAsia="zh-CN"/>
        </w:rPr>
        <w:t>Supplementary Information</w:t>
      </w:r>
    </w:p>
    <w:p w14:paraId="30E4FCFB" w14:textId="77777777" w:rsidR="00FA03AE" w:rsidRDefault="00000000">
      <w:pPr>
        <w:pStyle w:val="AuthorsFull"/>
        <w:spacing w:beforeLines="150" w:before="360" w:afterLines="150" w:after="360" w:line="360" w:lineRule="auto"/>
        <w:jc w:val="both"/>
        <w:rPr>
          <w:rFonts w:eastAsia="宋体"/>
          <w:b/>
          <w:i w:val="0"/>
          <w:iCs/>
          <w:kern w:val="2"/>
          <w:sz w:val="36"/>
          <w:szCs w:val="36"/>
          <w:lang w:eastAsia="zh-CN"/>
        </w:rPr>
      </w:pPr>
      <w:r>
        <w:rPr>
          <w:rFonts w:eastAsiaTheme="minorEastAsia" w:hint="eastAsia"/>
          <w:b/>
          <w:i w:val="0"/>
          <w:kern w:val="2"/>
          <w:sz w:val="36"/>
          <w:szCs w:val="36"/>
          <w:lang w:eastAsia="zh-CN"/>
        </w:rPr>
        <w:t>E</w:t>
      </w:r>
      <w:r>
        <w:rPr>
          <w:rFonts w:eastAsiaTheme="minorEastAsia"/>
          <w:b/>
          <w:i w:val="0"/>
          <w:kern w:val="2"/>
          <w:sz w:val="36"/>
          <w:szCs w:val="36"/>
          <w:lang w:eastAsia="zh-CN"/>
        </w:rPr>
        <w:t>lectrosynthesis of NH</w:t>
      </w:r>
      <w:r>
        <w:rPr>
          <w:rFonts w:eastAsiaTheme="minorEastAsia"/>
          <w:b/>
          <w:i w:val="0"/>
          <w:kern w:val="2"/>
          <w:sz w:val="36"/>
          <w:szCs w:val="36"/>
          <w:vertAlign w:val="subscript"/>
          <w:lang w:eastAsia="zh-CN"/>
        </w:rPr>
        <w:t>3</w:t>
      </w:r>
      <w:r>
        <w:rPr>
          <w:rFonts w:eastAsiaTheme="minorEastAsia" w:hint="eastAsia"/>
          <w:b/>
          <w:i w:val="0"/>
          <w:kern w:val="2"/>
          <w:sz w:val="36"/>
          <w:szCs w:val="36"/>
          <w:lang w:eastAsia="zh-CN"/>
        </w:rPr>
        <w:t xml:space="preserve"> </w:t>
      </w:r>
      <w:r>
        <w:rPr>
          <w:rFonts w:eastAsiaTheme="minorEastAsia"/>
          <w:b/>
          <w:i w:val="0"/>
          <w:kern w:val="2"/>
          <w:sz w:val="36"/>
          <w:szCs w:val="36"/>
          <w:lang w:eastAsia="zh-CN"/>
        </w:rPr>
        <w:t>from low-concentration NO</w:t>
      </w:r>
      <w:r>
        <w:rPr>
          <w:rFonts w:eastAsiaTheme="minorEastAsia" w:hint="eastAsia"/>
          <w:b/>
          <w:i w:val="0"/>
          <w:kern w:val="2"/>
          <w:sz w:val="36"/>
          <w:szCs w:val="36"/>
          <w:lang w:eastAsia="zh-CN"/>
        </w:rPr>
        <w:t xml:space="preserve"> on c</w:t>
      </w:r>
      <w:r>
        <w:rPr>
          <w:rFonts w:eastAsiaTheme="minorEastAsia"/>
          <w:b/>
          <w:i w:val="0"/>
          <w:kern w:val="2"/>
          <w:sz w:val="36"/>
          <w:szCs w:val="36"/>
          <w:lang w:eastAsia="zh-CN"/>
        </w:rPr>
        <w:t>ascade dual-site catalysts in neutral media</w:t>
      </w:r>
    </w:p>
    <w:p w14:paraId="5BC9E3DA" w14:textId="160A415C" w:rsidR="00FA03AE" w:rsidRDefault="000820ED">
      <w:pPr>
        <w:pStyle w:val="Addresses"/>
        <w:spacing w:afterLines="100" w:after="240" w:line="480" w:lineRule="auto"/>
        <w:jc w:val="both"/>
        <w:rPr>
          <w:rFonts w:eastAsia="宋体"/>
          <w:lang w:eastAsia="zh-CN"/>
        </w:rPr>
      </w:pPr>
      <w:bookmarkStart w:id="3" w:name="_Hlk100254435"/>
      <w:bookmarkEnd w:id="0"/>
      <w:bookmarkEnd w:id="1"/>
      <w:bookmarkEnd w:id="2"/>
      <w:r>
        <w:rPr>
          <w:rFonts w:eastAsia="宋体"/>
          <w:lang w:eastAsia="zh-CN"/>
        </w:rPr>
        <w:t>X</w:t>
      </w:r>
      <w:r>
        <w:rPr>
          <w:rFonts w:eastAsia="宋体" w:hint="eastAsia"/>
          <w:lang w:eastAsia="zh-CN"/>
        </w:rPr>
        <w:t>iaoxi</w:t>
      </w:r>
      <w:r>
        <w:rPr>
          <w:rFonts w:eastAsia="宋体"/>
          <w:lang w:eastAsia="zh-CN"/>
        </w:rPr>
        <w:t xml:space="preserve"> G</w:t>
      </w:r>
      <w:r>
        <w:rPr>
          <w:rFonts w:eastAsia="宋体" w:hint="eastAsia"/>
          <w:lang w:eastAsia="zh-CN"/>
        </w:rPr>
        <w:t>uo</w:t>
      </w:r>
      <w:r>
        <w:rPr>
          <w:rFonts w:eastAsia="宋体"/>
          <w:lang w:eastAsia="zh-CN"/>
        </w:rPr>
        <w:t>,</w:t>
      </w:r>
      <w:r>
        <w:rPr>
          <w:rFonts w:eastAsia="宋体" w:hint="eastAsia"/>
          <w:vertAlign w:val="superscript"/>
          <w:lang w:eastAsia="zh-CN"/>
        </w:rPr>
        <w:t>1,</w:t>
      </w:r>
      <w:r>
        <w:rPr>
          <w:vertAlign w:val="superscript"/>
        </w:rPr>
        <w:t>‡</w:t>
      </w:r>
      <w:r w:rsidRPr="000820ED">
        <w:rPr>
          <w:rFonts w:eastAsiaTheme="minorEastAsia" w:hint="eastAsia"/>
          <w:lang w:eastAsia="zh-CN"/>
        </w:rPr>
        <w:t xml:space="preserve"> </w:t>
      </w:r>
      <w:r>
        <w:rPr>
          <w:rFonts w:eastAsia="宋体"/>
          <w:lang w:eastAsia="zh-CN"/>
        </w:rPr>
        <w:t>Tongwei Wu,</w:t>
      </w:r>
      <w:r>
        <w:rPr>
          <w:rFonts w:eastAsia="宋体" w:hint="eastAsia"/>
          <w:vertAlign w:val="superscript"/>
          <w:lang w:eastAsia="zh-CN"/>
        </w:rPr>
        <w:t>3</w:t>
      </w:r>
      <w:r>
        <w:rPr>
          <w:rFonts w:eastAsia="宋体"/>
          <w:vertAlign w:val="superscript"/>
          <w:lang w:eastAsia="zh-CN"/>
        </w:rPr>
        <w:t>,</w:t>
      </w:r>
      <w:r>
        <w:rPr>
          <w:vertAlign w:val="superscript"/>
        </w:rPr>
        <w:t>‡</w:t>
      </w:r>
      <w:r>
        <w:rPr>
          <w:rFonts w:eastAsia="宋体" w:hint="eastAsia"/>
          <w:vertAlign w:val="superscript"/>
          <w:lang w:eastAsia="zh-CN"/>
        </w:rPr>
        <w:t xml:space="preserve"> </w:t>
      </w:r>
      <w:r>
        <w:rPr>
          <w:rFonts w:eastAsia="宋体"/>
          <w:lang w:eastAsia="zh-CN"/>
        </w:rPr>
        <w:t>H</w:t>
      </w:r>
      <w:r>
        <w:rPr>
          <w:rFonts w:eastAsia="宋体" w:hint="eastAsia"/>
          <w:lang w:eastAsia="zh-CN"/>
        </w:rPr>
        <w:t>e</w:t>
      </w:r>
      <w:r>
        <w:rPr>
          <w:rFonts w:eastAsia="宋体"/>
          <w:lang w:eastAsia="zh-CN"/>
        </w:rPr>
        <w:t>ngfeng Li</w:t>
      </w:r>
      <w:r>
        <w:rPr>
          <w:rFonts w:eastAsia="宋体" w:hint="eastAsia"/>
          <w:lang w:eastAsia="zh-CN"/>
        </w:rPr>
        <w:t>,</w:t>
      </w:r>
      <w:r>
        <w:rPr>
          <w:rFonts w:eastAsia="宋体" w:hint="eastAsia"/>
          <w:vertAlign w:val="superscript"/>
          <w:lang w:eastAsia="zh-CN"/>
        </w:rPr>
        <w:t>2</w:t>
      </w:r>
      <w:r>
        <w:rPr>
          <w:rFonts w:eastAsia="宋体" w:hint="eastAsia"/>
          <w:lang w:eastAsia="zh-CN"/>
        </w:rPr>
        <w:t xml:space="preserve"> Yanning Zhang,</w:t>
      </w:r>
      <w:r>
        <w:rPr>
          <w:rFonts w:eastAsia="宋体" w:hint="eastAsia"/>
          <w:vertAlign w:val="superscript"/>
          <w:lang w:eastAsia="zh-CN"/>
        </w:rPr>
        <w:t>3</w:t>
      </w:r>
      <w:r>
        <w:rPr>
          <w:rFonts w:eastAsia="宋体" w:hint="eastAsia"/>
          <w:lang w:eastAsia="zh-CN"/>
        </w:rPr>
        <w:t xml:space="preserve"> Chao Ma,</w:t>
      </w:r>
      <w:r>
        <w:rPr>
          <w:rFonts w:eastAsia="宋体"/>
          <w:vertAlign w:val="superscript"/>
          <w:lang w:eastAsia="zh-CN"/>
        </w:rPr>
        <w:t>4</w:t>
      </w:r>
      <w:r>
        <w:rPr>
          <w:rFonts w:eastAsia="宋体" w:hint="eastAsia"/>
          <w:lang w:eastAsia="zh-CN"/>
        </w:rPr>
        <w:t xml:space="preserve"> Hongmei Li,</w:t>
      </w:r>
      <w:r>
        <w:rPr>
          <w:rFonts w:eastAsia="宋体" w:hint="eastAsia"/>
          <w:vertAlign w:val="superscript"/>
          <w:lang w:eastAsia="zh-CN"/>
        </w:rPr>
        <w:t>1</w:t>
      </w:r>
      <w:r>
        <w:rPr>
          <w:rFonts w:eastAsia="宋体" w:hint="eastAsia"/>
          <w:lang w:eastAsia="zh-CN"/>
        </w:rPr>
        <w:t xml:space="preserve"> Liyuan Chai,</w:t>
      </w:r>
      <w:r>
        <w:rPr>
          <w:rFonts w:eastAsia="宋体" w:hint="eastAsia"/>
          <w:vertAlign w:val="superscript"/>
          <w:lang w:eastAsia="zh-CN"/>
        </w:rPr>
        <w:t>5</w:t>
      </w:r>
      <w:r>
        <w:rPr>
          <w:rFonts w:eastAsia="宋体" w:hint="eastAsia"/>
          <w:lang w:eastAsia="zh-CN"/>
        </w:rPr>
        <w:t xml:space="preserve"> Haitao Zhao</w:t>
      </w:r>
      <w:r>
        <w:rPr>
          <w:rFonts w:eastAsia="宋体" w:hint="eastAsia"/>
          <w:vertAlign w:val="superscript"/>
          <w:lang w:eastAsia="zh-CN"/>
        </w:rPr>
        <w:t xml:space="preserve">6 </w:t>
      </w:r>
      <w:r>
        <w:rPr>
          <w:rFonts w:eastAsia="宋体"/>
          <w:lang w:eastAsia="zh-CN"/>
        </w:rPr>
        <w:t>and</w:t>
      </w:r>
      <w:r>
        <w:rPr>
          <w:rFonts w:eastAsia="宋体" w:hint="eastAsia"/>
          <w:lang w:eastAsia="zh-CN"/>
        </w:rPr>
        <w:t xml:space="preserve"> </w:t>
      </w:r>
      <w:r>
        <w:rPr>
          <w:rFonts w:eastAsia="宋体"/>
          <w:lang w:eastAsia="zh-CN"/>
        </w:rPr>
        <w:t>Min Liu</w:t>
      </w:r>
      <w:r>
        <w:rPr>
          <w:rFonts w:eastAsia="宋体" w:hint="eastAsia"/>
          <w:vertAlign w:val="superscript"/>
          <w:lang w:eastAsia="zh-CN"/>
        </w:rPr>
        <w:t>1</w:t>
      </w:r>
      <w:r>
        <w:rPr>
          <w:rFonts w:eastAsia="宋体"/>
          <w:vertAlign w:val="superscript"/>
          <w:lang w:eastAsia="zh-CN"/>
        </w:rPr>
        <w:t>,</w:t>
      </w:r>
      <w:r>
        <w:rPr>
          <w:rFonts w:eastAsia="宋体" w:hint="eastAsia"/>
          <w:vertAlign w:val="superscript"/>
          <w:lang w:eastAsia="zh-CN"/>
        </w:rPr>
        <w:t>5</w:t>
      </w:r>
      <w:r>
        <w:rPr>
          <w:rFonts w:eastAsia="宋体"/>
          <w:vertAlign w:val="superscript"/>
          <w:lang w:eastAsia="zh-CN"/>
        </w:rPr>
        <w:t>*</w:t>
      </w:r>
    </w:p>
    <w:p w14:paraId="6B3704A6" w14:textId="77777777" w:rsidR="00FA03AE" w:rsidRDefault="00000000">
      <w:pPr>
        <w:pStyle w:val="Addresses"/>
        <w:spacing w:line="480" w:lineRule="auto"/>
        <w:jc w:val="both"/>
        <w:rPr>
          <w:rFonts w:eastAsia="宋体"/>
          <w:lang w:eastAsia="zh-CN"/>
        </w:rPr>
      </w:pPr>
      <w:bookmarkStart w:id="4" w:name="_Hlk190109196"/>
      <w:bookmarkEnd w:id="3"/>
      <w:r>
        <w:rPr>
          <w:rFonts w:eastAsiaTheme="minorEastAsia" w:hint="eastAsia"/>
          <w:vertAlign w:val="superscript"/>
          <w:lang w:eastAsia="zh-CN"/>
        </w:rPr>
        <w:t>1</w:t>
      </w:r>
      <w:r>
        <w:rPr>
          <w:rFonts w:eastAsia="宋体"/>
        </w:rPr>
        <w:t>Hunan Joint International Research Center for Carbon Dioxide Resource Utilization, State Key Laboratory of Powder Metallurgy, School of Physics, Central South University, Changsha, 410083, China.</w:t>
      </w:r>
      <w:r>
        <w:rPr>
          <w:rFonts w:eastAsia="宋体" w:hint="eastAsia"/>
          <w:lang w:eastAsia="zh-CN"/>
        </w:rPr>
        <w:t xml:space="preserve"> </w:t>
      </w:r>
    </w:p>
    <w:p w14:paraId="38BA4812" w14:textId="77777777" w:rsidR="00FA03AE" w:rsidRDefault="00000000">
      <w:pPr>
        <w:pStyle w:val="Addresses"/>
        <w:spacing w:line="480" w:lineRule="auto"/>
        <w:jc w:val="both"/>
        <w:rPr>
          <w:rFonts w:eastAsia="宋体"/>
        </w:rPr>
      </w:pPr>
      <w:r>
        <w:rPr>
          <w:rFonts w:eastAsia="宋体" w:hint="eastAsia"/>
          <w:vertAlign w:val="superscript"/>
          <w:lang w:eastAsia="zh-CN"/>
        </w:rPr>
        <w:t>2</w:t>
      </w:r>
      <w:r>
        <w:rPr>
          <w:rFonts w:eastAsia="宋体"/>
        </w:rPr>
        <w:t>School of Materials Science and Engineering, Central South University, Changsha, 410083</w:t>
      </w:r>
      <w:r>
        <w:rPr>
          <w:rFonts w:eastAsia="宋体" w:hint="eastAsia"/>
          <w:lang w:eastAsia="zh-CN"/>
        </w:rPr>
        <w:t>,</w:t>
      </w:r>
      <w:r>
        <w:rPr>
          <w:rFonts w:eastAsia="宋体"/>
        </w:rPr>
        <w:t xml:space="preserve"> China.</w:t>
      </w:r>
    </w:p>
    <w:p w14:paraId="5D6BA671" w14:textId="77777777" w:rsidR="00FA03AE" w:rsidRDefault="00000000">
      <w:pPr>
        <w:pStyle w:val="Addresses"/>
        <w:spacing w:line="480" w:lineRule="auto"/>
        <w:jc w:val="both"/>
        <w:rPr>
          <w:rFonts w:eastAsiaTheme="minorEastAsia"/>
          <w:lang w:eastAsia="zh-CN"/>
        </w:rPr>
      </w:pPr>
      <w:r>
        <w:rPr>
          <w:rFonts w:eastAsia="宋体" w:hint="eastAsia"/>
          <w:vertAlign w:val="superscript"/>
          <w:lang w:eastAsia="zh-CN"/>
        </w:rPr>
        <w:t>3</w:t>
      </w:r>
      <w:r>
        <w:rPr>
          <w:rFonts w:eastAsia="宋体"/>
        </w:rPr>
        <w:t>Institute of Fundamental and Frontier Sciences, University of Electronic Science and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="宋体"/>
        </w:rPr>
        <w:t>Technology of China, Chengdu 610054, Sichuan, China.</w:t>
      </w:r>
    </w:p>
    <w:p w14:paraId="05DD16F8" w14:textId="77777777" w:rsidR="00FA03AE" w:rsidRDefault="00000000">
      <w:pPr>
        <w:pStyle w:val="Addresses"/>
        <w:spacing w:line="480" w:lineRule="auto"/>
        <w:jc w:val="both"/>
        <w:rPr>
          <w:rFonts w:eastAsia="宋体"/>
          <w:lang w:eastAsia="zh-CN"/>
        </w:rPr>
      </w:pPr>
      <w:r>
        <w:rPr>
          <w:rFonts w:eastAsia="宋体"/>
          <w:vertAlign w:val="superscript"/>
          <w:lang w:eastAsia="zh-CN"/>
        </w:rPr>
        <w:t>4</w:t>
      </w:r>
      <w:r>
        <w:rPr>
          <w:rFonts w:eastAsia="宋体"/>
          <w:lang w:eastAsia="zh-CN"/>
        </w:rPr>
        <w:t>College of Materials Science and Engineering, Hunan University, Changsha 410082, China.</w:t>
      </w:r>
    </w:p>
    <w:p w14:paraId="0DC6DA60" w14:textId="77777777" w:rsidR="00FA03AE" w:rsidRDefault="00000000">
      <w:pPr>
        <w:pStyle w:val="Addresses"/>
        <w:spacing w:line="480" w:lineRule="auto"/>
        <w:jc w:val="both"/>
        <w:rPr>
          <w:rFonts w:eastAsia="宋体"/>
          <w:lang w:eastAsia="zh-CN"/>
        </w:rPr>
      </w:pPr>
      <w:r>
        <w:rPr>
          <w:rFonts w:eastAsia="宋体" w:hint="eastAsia"/>
          <w:vertAlign w:val="superscript"/>
          <w:lang w:eastAsia="zh-CN"/>
        </w:rPr>
        <w:t>5</w:t>
      </w:r>
      <w:r>
        <w:rPr>
          <w:rFonts w:eastAsia="宋体"/>
          <w:lang w:eastAsia="zh-CN"/>
        </w:rPr>
        <w:t>School of Metallurgy and Environment, Central South University, Changsha 410083, China</w:t>
      </w:r>
    </w:p>
    <w:p w14:paraId="20B443C8" w14:textId="77777777" w:rsidR="00FA03AE" w:rsidRDefault="00000000">
      <w:pPr>
        <w:pStyle w:val="Addresses"/>
        <w:spacing w:line="480" w:lineRule="auto"/>
        <w:jc w:val="both"/>
        <w:rPr>
          <w:rFonts w:eastAsia="宋体"/>
          <w:lang w:eastAsia="zh-CN"/>
        </w:rPr>
      </w:pPr>
      <w:r>
        <w:rPr>
          <w:rFonts w:eastAsia="宋体" w:hint="eastAsia"/>
          <w:vertAlign w:val="superscript"/>
          <w:lang w:eastAsia="zh-CN"/>
        </w:rPr>
        <w:t>6</w:t>
      </w:r>
      <w:r>
        <w:rPr>
          <w:rFonts w:hint="eastAsia"/>
          <w:lang w:val="en-GB"/>
        </w:rPr>
        <w:t>Department of Electrical and Electronic Engineering, The Hong Kong Polytechnic University, Hong Kong, China</w:t>
      </w:r>
    </w:p>
    <w:p w14:paraId="3E991E42" w14:textId="04079B54" w:rsidR="00FA03AE" w:rsidRDefault="00000000">
      <w:pPr>
        <w:pStyle w:val="Addresses"/>
        <w:spacing w:line="480" w:lineRule="auto"/>
        <w:jc w:val="both"/>
        <w:rPr>
          <w:rFonts w:eastAsia="宋体"/>
          <w:vertAlign w:val="superscript"/>
          <w:lang w:val="en-GB" w:eastAsia="zh-CN"/>
        </w:rPr>
      </w:pPr>
      <w:r>
        <w:rPr>
          <w:vertAlign w:val="superscript"/>
        </w:rPr>
        <w:t>‡</w:t>
      </w:r>
      <w:r w:rsidR="00D80E29">
        <w:rPr>
          <w:rFonts w:eastAsiaTheme="minorEastAsia" w:hint="eastAsia"/>
          <w:lang w:eastAsia="zh-CN"/>
        </w:rPr>
        <w:t>X. Guo</w:t>
      </w:r>
      <w:r w:rsidR="00D80E29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 xml:space="preserve">and </w:t>
      </w:r>
      <w:r w:rsidR="00D80E29">
        <w:rPr>
          <w:rFonts w:eastAsiaTheme="minorEastAsia" w:hint="eastAsia"/>
          <w:lang w:eastAsia="zh-CN"/>
        </w:rPr>
        <w:t>T. Wu</w:t>
      </w:r>
      <w:r w:rsidR="00D80E29">
        <w:t xml:space="preserve"> </w:t>
      </w:r>
      <w:r>
        <w:t>contributed equally to this work.</w:t>
      </w:r>
    </w:p>
    <w:p w14:paraId="132A9236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rFonts w:eastAsia="宋体"/>
          <w:lang w:val="en-GB" w:eastAsia="zh-CN"/>
        </w:rPr>
      </w:pPr>
      <w:r>
        <w:rPr>
          <w:rFonts w:eastAsia="宋体"/>
          <w:vertAlign w:val="superscript"/>
          <w:lang w:val="en-GB" w:eastAsia="zh-CN"/>
        </w:rPr>
        <w:t>*</w:t>
      </w:r>
      <w:r>
        <w:rPr>
          <w:rFonts w:eastAsia="宋体"/>
          <w:lang w:val="en-GB" w:eastAsia="zh-CN"/>
        </w:rPr>
        <w:t>Correspondence and requests for materials should be addressed to M.L. (email: minliu@csu.edu.cn)</w:t>
      </w:r>
      <w:bookmarkEnd w:id="4"/>
    </w:p>
    <w:p w14:paraId="6337D8FD" w14:textId="77777777" w:rsidR="00FA03AE" w:rsidRDefault="00000000">
      <w:pPr>
        <w:spacing w:beforeLines="150" w:before="360" w:afterLines="150" w:after="360" w:line="360" w:lineRule="auto"/>
      </w:pPr>
      <w:r>
        <w:rPr>
          <w:rFonts w:eastAsia="宋体"/>
          <w:lang w:val="en-GB"/>
        </w:rPr>
        <w:br w:type="page"/>
      </w:r>
    </w:p>
    <w:p w14:paraId="708C44AA" w14:textId="77777777" w:rsidR="00FA03AE" w:rsidRDefault="00000000">
      <w:pPr>
        <w:pStyle w:val="SMcaption"/>
        <w:spacing w:beforeLines="150" w:before="360" w:afterLines="150" w:after="360" w:line="360" w:lineRule="auto"/>
        <w:rPr>
          <w:b/>
          <w:bCs/>
          <w:lang w:eastAsia="zh-CN"/>
        </w:rPr>
      </w:pPr>
      <w:r>
        <w:rPr>
          <w:b/>
          <w:bCs/>
          <w:lang w:eastAsia="zh-CN"/>
        </w:rPr>
        <w:lastRenderedPageBreak/>
        <w:t>Experimental Section:</w:t>
      </w:r>
    </w:p>
    <w:p w14:paraId="50331708" w14:textId="77777777" w:rsidR="00FA03AE" w:rsidRDefault="00000000">
      <w:pPr>
        <w:spacing w:beforeLines="150" w:before="360" w:afterLines="150" w:after="360" w:line="360" w:lineRule="auto"/>
        <w:rPr>
          <w:rFonts w:eastAsia="Times New Roman"/>
          <w:szCs w:val="24"/>
        </w:rPr>
      </w:pPr>
      <w:r>
        <w:rPr>
          <w:b/>
          <w:szCs w:val="21"/>
        </w:rPr>
        <w:t>Material characterizations</w:t>
      </w:r>
    </w:p>
    <w:p w14:paraId="53076FB0" w14:textId="77777777" w:rsidR="00FA03AE" w:rsidRDefault="00000000">
      <w:pPr>
        <w:pStyle w:val="SMcaption"/>
        <w:spacing w:beforeLines="150" w:before="360" w:afterLines="150" w:after="360" w:line="360" w:lineRule="auto"/>
        <w:ind w:firstLineChars="200" w:firstLine="480"/>
        <w:jc w:val="both"/>
        <w:rPr>
          <w:lang w:eastAsia="zh-CN"/>
        </w:rPr>
      </w:pPr>
      <w:r>
        <w:rPr>
          <w:szCs w:val="21"/>
        </w:rPr>
        <w:t xml:space="preserve">XRD patterns were collected by a LabX XRD-6100 X-ray diffractometer with Cu Kα radiation (40 kV, 30 mA) of wavelength 0.154 nm (SHIMADZU, Japan). TEM images were acquired on a Hitachi H-8100 electron microscopy (HITACHI, Japan), equipped with EDS mapping. XPS measurements were conducted on an ESCALABMK II X-ray photoelectron spectrometer using Mg as the exciting source. </w:t>
      </w:r>
      <w:r>
        <w:rPr>
          <w:i/>
          <w:iCs/>
          <w:szCs w:val="21"/>
        </w:rPr>
        <w:t>In situ</w:t>
      </w:r>
      <w:r>
        <w:rPr>
          <w:szCs w:val="21"/>
        </w:rPr>
        <w:t xml:space="preserve"> electrochemical ATR-FTIR spectra were obtained by using a Thermo iS50. The XAS spectra were performed at the BL11B beamline of Shanghai Synchrotron Radiation Facility (SSRF). The incident photons were monochromatized by a Si (111) double-crystal monochromator. The absorbance data of spectrophotometer were measured on SHIMADZU UV-1800 ultraviolet-visible (UV-Vis) spectrophotometer.</w:t>
      </w:r>
    </w:p>
    <w:p w14:paraId="5F548E59" w14:textId="77777777" w:rsidR="00FA03AE" w:rsidRDefault="00000000">
      <w:pPr>
        <w:spacing w:beforeLines="150" w:before="360" w:afterLines="150" w:after="360" w:line="360" w:lineRule="auto"/>
        <w:rPr>
          <w:lang w:eastAsia="zh-CN"/>
        </w:rPr>
      </w:pPr>
      <w:r>
        <w:rPr>
          <w:lang w:eastAsia="zh-CN"/>
        </w:rPr>
        <w:br w:type="page"/>
      </w:r>
    </w:p>
    <w:p w14:paraId="49E5DD40" w14:textId="77777777" w:rsidR="00FA03AE" w:rsidRDefault="00000000">
      <w:pPr>
        <w:pStyle w:val="SMcaption"/>
        <w:spacing w:beforeLines="150" w:before="360" w:afterLines="150" w:after="360"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9A4080F" wp14:editId="64D5E8C9">
            <wp:extent cx="4319905" cy="3305810"/>
            <wp:effectExtent l="0" t="0" r="4445" b="8890"/>
            <wp:docPr id="2124690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9091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AFD4" w14:textId="77777777" w:rsidR="00FA03AE" w:rsidRDefault="00000000">
      <w:pPr>
        <w:pStyle w:val="SMcaption"/>
        <w:spacing w:beforeLines="150" w:before="360" w:afterLines="150" w:after="360" w:line="360" w:lineRule="auto"/>
        <w:jc w:val="center"/>
        <w:rPr>
          <w:lang w:eastAsia="zh-CN"/>
        </w:rPr>
      </w:pPr>
      <w:r>
        <w:rPr>
          <w:b/>
        </w:rPr>
        <w:t xml:space="preserve">Supplementary Fig. 1 | </w:t>
      </w:r>
      <w:r>
        <w:t>XRD patterns for Pt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 xml:space="preserve"> and Fe</w:t>
      </w:r>
      <w:r>
        <w:rPr>
          <w:vertAlign w:val="subscript"/>
        </w:rPr>
        <w:t>SAC</w:t>
      </w:r>
      <w:r>
        <w:rPr>
          <w:lang w:eastAsia="zh-CN"/>
        </w:rPr>
        <w:t>.</w:t>
      </w:r>
    </w:p>
    <w:p w14:paraId="621707BE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br w:type="page"/>
      </w:r>
    </w:p>
    <w:p w14:paraId="2890F8EA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D504FD7" wp14:editId="0D13EFBB">
            <wp:extent cx="2519680" cy="6720205"/>
            <wp:effectExtent l="0" t="0" r="0" b="4445"/>
            <wp:docPr id="10774481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48137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7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EA45" w14:textId="77777777" w:rsidR="00FA03AE" w:rsidRDefault="00000000">
      <w:pPr>
        <w:pStyle w:val="SMcaption"/>
        <w:spacing w:beforeLines="150" w:before="360" w:afterLines="150" w:after="360" w:line="360" w:lineRule="auto"/>
        <w:jc w:val="center"/>
        <w:rPr>
          <w:lang w:eastAsia="zh-CN"/>
        </w:rPr>
      </w:pPr>
      <w:r>
        <w:rPr>
          <w:b/>
        </w:rPr>
        <w:t xml:space="preserve">Supplementary Fig. 2 | </w:t>
      </w:r>
      <w:r>
        <w:t>FT-EXAFS fitting curves of Fe foil, Fe</w:t>
      </w:r>
      <w:r>
        <w:rPr>
          <w:vertAlign w:val="subscript"/>
        </w:rPr>
        <w:t>SAC</w:t>
      </w:r>
      <w:r>
        <w:t xml:space="preserve"> and Pt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rPr>
          <w:lang w:eastAsia="zh-CN"/>
        </w:rPr>
        <w:t>.</w:t>
      </w:r>
    </w:p>
    <w:p w14:paraId="7D8D3AEB" w14:textId="77777777" w:rsidR="00FA03AE" w:rsidRDefault="00000000">
      <w:pPr>
        <w:spacing w:beforeLines="150" w:before="360" w:afterLines="150" w:after="360" w:line="360" w:lineRule="auto"/>
        <w:rPr>
          <w:rFonts w:eastAsia="MS Mincho"/>
          <w:szCs w:val="24"/>
          <w:lang w:eastAsia="ja-JP"/>
        </w:rPr>
      </w:pPr>
      <w:r>
        <w:br w:type="page"/>
      </w:r>
    </w:p>
    <w:p w14:paraId="2E1A521E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0E09FE4" wp14:editId="5462C831">
            <wp:extent cx="2519680" cy="6062345"/>
            <wp:effectExtent l="0" t="0" r="0" b="0"/>
            <wp:docPr id="16030361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3618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0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0F68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rPr>
          <w:b/>
        </w:rPr>
        <w:t xml:space="preserve">Supplementary Fig. 3 | </w:t>
      </w:r>
      <w:r>
        <w:rPr>
          <w:rFonts w:eastAsiaTheme="minorEastAsia"/>
        </w:rPr>
        <w:t>WT contour spectra of Fe atom in Fe</w:t>
      </w:r>
      <w:r>
        <w:rPr>
          <w:rFonts w:eastAsiaTheme="minorEastAsia"/>
          <w:vertAlign w:val="subscript"/>
        </w:rPr>
        <w:t>SAC</w:t>
      </w:r>
      <w:r>
        <w:rPr>
          <w:rFonts w:eastAsiaTheme="minorEastAsia"/>
        </w:rPr>
        <w:t>, Pt</w:t>
      </w:r>
      <w:r>
        <w:rPr>
          <w:rFonts w:eastAsiaTheme="minorEastAsia"/>
          <w:vertAlign w:val="subscript"/>
        </w:rPr>
        <w:t>NPs</w:t>
      </w:r>
      <w:r>
        <w:rPr>
          <w:rFonts w:eastAsiaTheme="minorEastAsia"/>
        </w:rPr>
        <w:t>/Fe</w:t>
      </w:r>
      <w:r>
        <w:rPr>
          <w:rFonts w:eastAsiaTheme="minorEastAsia"/>
          <w:vertAlign w:val="subscript"/>
        </w:rPr>
        <w:t>SAC</w:t>
      </w:r>
      <w:r>
        <w:rPr>
          <w:rFonts w:eastAsiaTheme="minorEastAsia"/>
        </w:rPr>
        <w:t xml:space="preserve"> and reference samples.</w:t>
      </w:r>
    </w:p>
    <w:p w14:paraId="4FD4DFB3" w14:textId="77777777" w:rsidR="00FA03AE" w:rsidRDefault="00000000">
      <w:pPr>
        <w:spacing w:beforeLines="150" w:before="360" w:afterLines="150" w:after="360" w:line="360" w:lineRule="auto"/>
        <w:rPr>
          <w:rFonts w:eastAsia="MS Mincho"/>
          <w:bCs/>
          <w:iCs/>
          <w:lang w:eastAsia="ja-JP"/>
        </w:rPr>
      </w:pPr>
      <w:r>
        <w:rPr>
          <w:bCs/>
          <w:iCs/>
        </w:rPr>
        <w:br w:type="page"/>
      </w:r>
    </w:p>
    <w:p w14:paraId="3496A47A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CA6DBE3" wp14:editId="584E765E">
            <wp:extent cx="4319905" cy="3016250"/>
            <wp:effectExtent l="0" t="0" r="4445" b="0"/>
            <wp:docPr id="1575835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3588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BCFB" w14:textId="77777777" w:rsidR="00FA03AE" w:rsidRDefault="00000000">
      <w:pPr>
        <w:pStyle w:val="Addresses"/>
        <w:spacing w:beforeLines="150" w:before="360" w:afterLines="150" w:after="360" w:line="360" w:lineRule="auto"/>
        <w:jc w:val="center"/>
        <w:rPr>
          <w:bCs/>
        </w:rPr>
      </w:pPr>
      <w:r>
        <w:rPr>
          <w:b/>
        </w:rPr>
        <w:t xml:space="preserve">Supplementary Fig. 4 | </w:t>
      </w:r>
      <w:r>
        <w:rPr>
          <w:rFonts w:eastAsiaTheme="minorEastAsia"/>
        </w:rPr>
        <w:t>XPS spectra of Pt</w:t>
      </w:r>
      <w:r>
        <w:rPr>
          <w:rFonts w:eastAsiaTheme="minorEastAsia"/>
          <w:vertAlign w:val="subscript"/>
        </w:rPr>
        <w:t>NPs</w:t>
      </w:r>
      <w:r>
        <w:rPr>
          <w:rFonts w:eastAsiaTheme="minorEastAsia"/>
        </w:rPr>
        <w:t>/Fe</w:t>
      </w:r>
      <w:r>
        <w:rPr>
          <w:rFonts w:eastAsiaTheme="minorEastAsia"/>
          <w:vertAlign w:val="subscript"/>
        </w:rPr>
        <w:t>SAC</w:t>
      </w:r>
      <w:r>
        <w:rPr>
          <w:rFonts w:eastAsiaTheme="minorEastAsia"/>
        </w:rPr>
        <w:t xml:space="preserve"> and Fe</w:t>
      </w:r>
      <w:r>
        <w:rPr>
          <w:rFonts w:eastAsiaTheme="minorEastAsia"/>
          <w:vertAlign w:val="subscript"/>
        </w:rPr>
        <w:t>SAC</w:t>
      </w:r>
      <w:r>
        <w:rPr>
          <w:rFonts w:eastAsiaTheme="minorEastAsia"/>
        </w:rPr>
        <w:t xml:space="preserve"> in N 1s region</w:t>
      </w:r>
    </w:p>
    <w:p w14:paraId="72CEA8CC" w14:textId="77777777" w:rsidR="00FA03AE" w:rsidRDefault="00000000">
      <w:pPr>
        <w:spacing w:beforeLines="150" w:before="360" w:afterLines="150" w:after="360" w:line="360" w:lineRule="auto"/>
        <w:rPr>
          <w:rFonts w:eastAsia="MS Mincho"/>
          <w:szCs w:val="24"/>
          <w:lang w:eastAsia="ja-JP"/>
        </w:rPr>
      </w:pPr>
      <w:r>
        <w:br w:type="page"/>
      </w:r>
    </w:p>
    <w:p w14:paraId="7D2E7C1D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51FEB5C" wp14:editId="449501E3">
            <wp:extent cx="4319905" cy="3305175"/>
            <wp:effectExtent l="0" t="0" r="4445" b="9525"/>
            <wp:docPr id="3536578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57837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54D9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rPr>
          <w:b/>
        </w:rPr>
        <w:t xml:space="preserve">Supplementary Fig. 5 | </w:t>
      </w:r>
      <w:r>
        <w:rPr>
          <w:rFonts w:eastAsiaTheme="minorEastAsia"/>
        </w:rPr>
        <w:t>The DMPO-involved EPR spectra of Pt</w:t>
      </w:r>
      <w:r>
        <w:rPr>
          <w:rFonts w:eastAsiaTheme="minorEastAsia"/>
          <w:vertAlign w:val="subscript"/>
        </w:rPr>
        <w:t>NPs</w:t>
      </w:r>
      <w:r>
        <w:rPr>
          <w:rFonts w:eastAsiaTheme="minorEastAsia"/>
        </w:rPr>
        <w:t>/Fe</w:t>
      </w:r>
      <w:r>
        <w:rPr>
          <w:rFonts w:eastAsiaTheme="minorEastAsia"/>
          <w:vertAlign w:val="subscript"/>
        </w:rPr>
        <w:t>SAC</w:t>
      </w:r>
      <w:r>
        <w:rPr>
          <w:rFonts w:eastAsiaTheme="minorEastAsia"/>
        </w:rPr>
        <w:t xml:space="preserve"> and Fe</w:t>
      </w:r>
      <w:r>
        <w:rPr>
          <w:rFonts w:eastAsiaTheme="minorEastAsia"/>
          <w:vertAlign w:val="subscript"/>
        </w:rPr>
        <w:t>SAC</w:t>
      </w:r>
      <w:r>
        <w:rPr>
          <w:rFonts w:eastAsiaTheme="minorEastAsia"/>
        </w:rPr>
        <w:t xml:space="preserve"> collected after 10 min electrolysis at -0.6 V and -0.7 V, respectively, under Ar atmosphere.</w:t>
      </w:r>
    </w:p>
    <w:p w14:paraId="203013D4" w14:textId="77777777" w:rsidR="00FA03AE" w:rsidRDefault="00000000">
      <w:pPr>
        <w:pStyle w:val="Addresses"/>
        <w:spacing w:beforeLines="150" w:before="360" w:afterLines="150" w:after="360" w:line="360" w:lineRule="auto"/>
      </w:pPr>
      <w:r>
        <w:br w:type="page"/>
      </w:r>
    </w:p>
    <w:p w14:paraId="6F755D64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37636A9" wp14:editId="091BB908">
            <wp:extent cx="4319905" cy="3303905"/>
            <wp:effectExtent l="0" t="0" r="4445" b="0"/>
            <wp:docPr id="14312453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45334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BA12" w14:textId="77777777" w:rsidR="00FA03AE" w:rsidRDefault="00000000">
      <w:pPr>
        <w:spacing w:beforeLines="150" w:before="360" w:afterLines="150" w:after="360" w:line="360" w:lineRule="auto"/>
      </w:pPr>
      <w:r>
        <w:rPr>
          <w:b/>
        </w:rPr>
        <w:t xml:space="preserve">Supplementary Fig. 6 | </w:t>
      </w:r>
      <w:r>
        <w:t>LSV curves of NC, Pt</w:t>
      </w:r>
      <w:r>
        <w:rPr>
          <w:vertAlign w:val="subscript"/>
        </w:rPr>
        <w:t>NPs</w:t>
      </w:r>
      <w:r>
        <w:t>, Fe</w:t>
      </w:r>
      <w:r>
        <w:rPr>
          <w:vertAlign w:val="subscript"/>
        </w:rPr>
        <w:t>SAC</w:t>
      </w:r>
      <w:r>
        <w:t xml:space="preserve"> and Pt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 xml:space="preserve"> in Ar- and 1 vol% NO-saturated 0.5 M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electrolyte.</w:t>
      </w:r>
    </w:p>
    <w:p w14:paraId="25CAF804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bCs/>
        </w:rPr>
      </w:pPr>
    </w:p>
    <w:p w14:paraId="7699831F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7A483C03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7960DE6" wp14:editId="229FE78E">
            <wp:extent cx="5274310" cy="2088515"/>
            <wp:effectExtent l="0" t="0" r="2540" b="6985"/>
            <wp:docPr id="527825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25885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33C1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b/>
        </w:rPr>
      </w:pPr>
      <w:r>
        <w:rPr>
          <w:b/>
        </w:rPr>
        <w:t xml:space="preserve">Supplementary Fig. 7 | </w:t>
      </w:r>
      <w:r>
        <w:t>UV-Vis absorption spectra of indophenol assays with NH</w:t>
      </w:r>
      <w:r>
        <w:rPr>
          <w:vertAlign w:val="subscript"/>
        </w:rPr>
        <w:t>3</w:t>
      </w:r>
      <w:r>
        <w:t xml:space="preserve"> after incubated for 2 h at room temperature. (b) Calibration curve used for assessment of NH</w:t>
      </w:r>
      <w:r>
        <w:rPr>
          <w:vertAlign w:val="subscript"/>
        </w:rPr>
        <w:t>3</w:t>
      </w:r>
      <w:r>
        <w:t xml:space="preserve"> concentrations.</w:t>
      </w:r>
    </w:p>
    <w:p w14:paraId="075545EA" w14:textId="77777777" w:rsidR="00FA03AE" w:rsidRDefault="00FA03AE">
      <w:pPr>
        <w:pStyle w:val="Addresses"/>
        <w:spacing w:beforeLines="150" w:before="360" w:afterLines="150" w:after="360" w:line="360" w:lineRule="auto"/>
        <w:ind w:firstLineChars="100" w:firstLine="240"/>
        <w:jc w:val="both"/>
      </w:pPr>
    </w:p>
    <w:p w14:paraId="6D67CA77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41CF3ABB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B82F27F" wp14:editId="199DF005">
            <wp:extent cx="5259070" cy="2287270"/>
            <wp:effectExtent l="0" t="0" r="0" b="0"/>
            <wp:docPr id="21122569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56936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600" cy="228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E961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  <w:r>
        <w:rPr>
          <w:b/>
        </w:rPr>
        <w:t xml:space="preserve">Supplementary Fig. 8 | </w:t>
      </w:r>
      <w:r>
        <w:t xml:space="preserve">(a) </w:t>
      </w:r>
      <w:r>
        <w:rPr>
          <w:vertAlign w:val="superscript"/>
        </w:rPr>
        <w:t>1</w:t>
      </w:r>
      <w:r>
        <w:t>H NMR spectra of standard NH</w:t>
      </w:r>
      <w:r>
        <w:rPr>
          <w:vertAlign w:val="subscript"/>
        </w:rPr>
        <w:t>3</w:t>
      </w:r>
      <w:r>
        <w:t xml:space="preserve"> solution. (b) The standard curve of NMR integral area against NH</w:t>
      </w:r>
      <w:r>
        <w:rPr>
          <w:vertAlign w:val="subscript"/>
        </w:rPr>
        <w:t>3</w:t>
      </w:r>
      <w:r>
        <w:t xml:space="preserve"> concentration. </w:t>
      </w:r>
    </w:p>
    <w:p w14:paraId="78621915" w14:textId="77777777" w:rsidR="00FA03AE" w:rsidRDefault="00000000">
      <w:pPr>
        <w:spacing w:beforeLines="150" w:before="360" w:afterLines="150" w:after="360" w:line="360" w:lineRule="auto"/>
        <w:ind w:firstLineChars="100" w:firstLine="240"/>
        <w:jc w:val="both"/>
        <w:rPr>
          <w:bCs/>
          <w:iCs/>
        </w:rPr>
      </w:pPr>
      <w:r>
        <w:rPr>
          <w:bCs/>
          <w:iCs/>
        </w:rPr>
        <w:t xml:space="preserve">Before </w:t>
      </w:r>
      <w:r>
        <w:rPr>
          <w:bCs/>
          <w:iCs/>
          <w:vertAlign w:val="superscript"/>
        </w:rPr>
        <w:t>1</w:t>
      </w:r>
      <w:r>
        <w:rPr>
          <w:bCs/>
          <w:iCs/>
        </w:rPr>
        <w:t>H NMR measurements, the electrolyte after electrolysis was diluted 2 times with 1 M HCl to adjust the Ph to acidic. Then, 100 mL DMSO-d6 was added in 500 μL acidified</w:t>
      </w:r>
      <w:r>
        <w:rPr>
          <w:bCs/>
          <w:iCs/>
          <w:lang w:eastAsia="zh-CN"/>
        </w:rPr>
        <w:t xml:space="preserve"> </w:t>
      </w:r>
      <w:r>
        <w:rPr>
          <w:bCs/>
          <w:iCs/>
        </w:rPr>
        <w:t>electrolyte.</w:t>
      </w:r>
    </w:p>
    <w:p w14:paraId="66693B94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bCs/>
          <w:lang w:eastAsia="zh-CN"/>
        </w:rPr>
      </w:pPr>
    </w:p>
    <w:p w14:paraId="6E1F8DD4" w14:textId="77777777" w:rsidR="00FA03AE" w:rsidRDefault="00000000">
      <w:pPr>
        <w:pStyle w:val="Addresses"/>
        <w:spacing w:beforeLines="150" w:before="360" w:afterLines="150" w:after="360" w:line="360" w:lineRule="auto"/>
        <w:ind w:firstLineChars="200" w:firstLine="480"/>
        <w:jc w:val="both"/>
      </w:pPr>
      <w:r>
        <w:br w:type="page"/>
      </w:r>
    </w:p>
    <w:p w14:paraId="4B9101E4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B0DA949" wp14:editId="36243B93">
            <wp:extent cx="4319905" cy="3305175"/>
            <wp:effectExtent l="0" t="0" r="4445" b="9525"/>
            <wp:docPr id="16856115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11529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55AE" w14:textId="77777777" w:rsidR="00FA03AE" w:rsidRDefault="00000000">
      <w:pPr>
        <w:spacing w:beforeLines="150" w:before="360" w:afterLines="150" w:after="360" w:line="360" w:lineRule="auto"/>
        <w:jc w:val="center"/>
      </w:pPr>
      <w:r>
        <w:rPr>
          <w:b/>
        </w:rPr>
        <w:t xml:space="preserve">Supplementary Fig. 9 | </w:t>
      </w:r>
      <w:r>
        <w:t>NH</w:t>
      </w:r>
      <w:r>
        <w:rPr>
          <w:vertAlign w:val="subscript"/>
        </w:rPr>
        <w:t>3</w:t>
      </w:r>
      <w:r>
        <w:t xml:space="preserve"> yield and FE of Fe</w:t>
      </w:r>
      <w:r>
        <w:rPr>
          <w:vertAlign w:val="subscript"/>
        </w:rPr>
        <w:t>SAC</w:t>
      </w:r>
      <w:r>
        <w:t>.</w:t>
      </w:r>
    </w:p>
    <w:p w14:paraId="159DC37D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  <w:r>
        <w:br w:type="page"/>
      </w:r>
    </w:p>
    <w:p w14:paraId="60614CA1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70E3904" wp14:editId="67AE1449">
            <wp:extent cx="5273675" cy="2086610"/>
            <wp:effectExtent l="0" t="0" r="3175" b="8890"/>
            <wp:docPr id="16201054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05464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8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59B80" w14:textId="77777777" w:rsidR="00FA03AE" w:rsidRDefault="00000000">
      <w:pPr>
        <w:spacing w:beforeLines="150" w:before="360" w:afterLines="150" w:after="360" w:line="360" w:lineRule="auto"/>
        <w:jc w:val="both"/>
        <w:rPr>
          <w:rFonts w:eastAsia="MS Mincho"/>
          <w:b/>
          <w:szCs w:val="24"/>
          <w:lang w:eastAsia="ja-JP"/>
        </w:rPr>
      </w:pPr>
      <w:r>
        <w:rPr>
          <w:b/>
        </w:rPr>
        <w:t>Supplementary Fig. 10 |</w:t>
      </w:r>
      <w:r>
        <w:rPr>
          <w:b/>
          <w:szCs w:val="24"/>
        </w:rPr>
        <w:t xml:space="preserve"> </w:t>
      </w:r>
      <w:r>
        <w:t>Electrochemical NORR measurements over Fe</w:t>
      </w:r>
      <w:r>
        <w:rPr>
          <w:vertAlign w:val="subscript"/>
        </w:rPr>
        <w:t>SAC</w:t>
      </w:r>
      <w:r>
        <w:t>. (a) UV-Vis absorption spectra at various potentials after dilute 10 times</w:t>
      </w:r>
      <w:r>
        <w:rPr>
          <w:szCs w:val="24"/>
        </w:rPr>
        <w:t>.</w:t>
      </w:r>
      <w:r>
        <w:t xml:space="preserve"> (b) I-t curves at various potentials for 1 h.</w:t>
      </w:r>
    </w:p>
    <w:p w14:paraId="2AEB3D44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1D9A2349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C4D1973" wp14:editId="54D61DF4">
            <wp:extent cx="5273675" cy="2115820"/>
            <wp:effectExtent l="0" t="0" r="3175" b="0"/>
            <wp:docPr id="14094379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37909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693B" w14:textId="77777777" w:rsidR="00FA03AE" w:rsidRDefault="00000000">
      <w:pPr>
        <w:spacing w:beforeLines="150" w:before="360" w:afterLines="150" w:after="360" w:line="360" w:lineRule="auto"/>
        <w:rPr>
          <w:rFonts w:eastAsia="MS Mincho"/>
          <w:szCs w:val="24"/>
          <w:lang w:eastAsia="ja-JP"/>
        </w:rPr>
      </w:pPr>
      <w:r>
        <w:rPr>
          <w:b/>
        </w:rPr>
        <w:t>Supplementary Fig. 11</w:t>
      </w:r>
      <w:r>
        <w:t xml:space="preserve"> </w:t>
      </w:r>
      <w:r>
        <w:rPr>
          <w:b/>
        </w:rPr>
        <w:t>|</w:t>
      </w:r>
      <w:r>
        <w:rPr>
          <w:szCs w:val="24"/>
        </w:rPr>
        <w:t xml:space="preserve"> </w:t>
      </w:r>
      <w:r>
        <w:t>Electrochemical NORR measurements over Pt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>. (a) UV-Vis absorption spectra at various potentials after dilute 10 times</w:t>
      </w:r>
      <w:r>
        <w:rPr>
          <w:szCs w:val="24"/>
        </w:rPr>
        <w:t>.</w:t>
      </w:r>
      <w:r>
        <w:t xml:space="preserve"> (b) I-t curves at various potentials for 1 h.</w:t>
      </w:r>
    </w:p>
    <w:p w14:paraId="1DF9E1BD" w14:textId="77777777" w:rsidR="00FA03AE" w:rsidRDefault="00000000">
      <w:pPr>
        <w:spacing w:beforeLines="150" w:before="360" w:afterLines="150" w:after="360" w:line="360" w:lineRule="auto"/>
        <w:rPr>
          <w:rFonts w:eastAsia="MS Mincho"/>
          <w:szCs w:val="24"/>
          <w:lang w:eastAsia="ja-JP"/>
        </w:rPr>
      </w:pPr>
      <w:r>
        <w:br w:type="page"/>
      </w:r>
    </w:p>
    <w:p w14:paraId="1655D951" w14:textId="77777777" w:rsidR="00FA03AE" w:rsidRDefault="00000000">
      <w:pPr>
        <w:pStyle w:val="SMcaption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547F6ED" wp14:editId="24D8C169">
            <wp:extent cx="5273675" cy="2148205"/>
            <wp:effectExtent l="0" t="0" r="3175" b="4445"/>
            <wp:docPr id="19120035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03592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C11A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  <w:r>
        <w:rPr>
          <w:b/>
        </w:rPr>
        <w:t>Supplementary Fig. 12</w:t>
      </w:r>
      <w:r>
        <w:t xml:space="preserve"> </w:t>
      </w:r>
      <w:r>
        <w:rPr>
          <w:b/>
        </w:rPr>
        <w:t>|</w:t>
      </w:r>
      <w:r>
        <w:t xml:space="preserve"> The prepared 1% vol NO gas characterization. (a) Gas chromatograms. (b)</w:t>
      </w:r>
      <w:r>
        <w:rPr>
          <w:color w:val="1F1F1F"/>
        </w:rPr>
        <w:t xml:space="preserve"> </w:t>
      </w:r>
      <w:r>
        <w:t>Mass spectrum.</w:t>
      </w:r>
    </w:p>
    <w:p w14:paraId="77C309FD" w14:textId="77777777" w:rsidR="00FA03AE" w:rsidRDefault="00000000">
      <w:pPr>
        <w:spacing w:beforeLines="150" w:before="360" w:afterLines="150" w:after="360" w:line="360" w:lineRule="auto"/>
        <w:ind w:firstLineChars="200" w:firstLine="480"/>
      </w:pPr>
      <w:r>
        <w:t xml:space="preserve">According to the following equation, the laboratory-prepared </w:t>
      </w:r>
      <w:r>
        <w:rPr>
          <w:vertAlign w:val="superscript"/>
        </w:rPr>
        <w:t>15</w:t>
      </w:r>
      <w:r>
        <w:t>NO was collected in a gas sample bag and confirmed by GC-Mass analysis. As shown in Figure S12, a single intense peak at m/z=31 was observed in the profile.</w:t>
      </w:r>
    </w:p>
    <w:p w14:paraId="10631F61" w14:textId="77777777" w:rsidR="00FA03AE" w:rsidRDefault="00000000">
      <w:pPr>
        <w:spacing w:beforeLines="150" w:before="360" w:afterLines="150" w:after="360" w:line="360" w:lineRule="auto"/>
        <w:ind w:firstLineChars="200" w:firstLine="480"/>
        <w:jc w:val="center"/>
      </w:pPr>
      <w:r>
        <w:t>3 Na</w:t>
      </w:r>
      <w:r>
        <w:rPr>
          <w:vertAlign w:val="superscript"/>
        </w:rPr>
        <w:t>15</w:t>
      </w:r>
      <w:r>
        <w:t>NO</w:t>
      </w:r>
      <w:r>
        <w:rPr>
          <w:vertAlign w:val="subscript"/>
        </w:rPr>
        <w:t>2</w:t>
      </w:r>
      <w:r>
        <w:t>+H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→2 </w:t>
      </w:r>
      <w:r>
        <w:rPr>
          <w:vertAlign w:val="superscript"/>
        </w:rPr>
        <w:t>15</w:t>
      </w:r>
      <w:r>
        <w:t>NO↑+Na</w:t>
      </w:r>
      <w:r>
        <w:rPr>
          <w:vertAlign w:val="superscript"/>
        </w:rPr>
        <w:t>15</w:t>
      </w:r>
      <w:r>
        <w:t>NO</w:t>
      </w:r>
      <w:r>
        <w:rPr>
          <w:vertAlign w:val="subscript"/>
        </w:rPr>
        <w:t>3</w:t>
      </w:r>
      <w:r>
        <w:t>+Na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+H</w:t>
      </w:r>
      <w:r>
        <w:rPr>
          <w:vertAlign w:val="subscript"/>
        </w:rPr>
        <w:t>2</w:t>
      </w:r>
      <w:r>
        <w:t>O</w:t>
      </w:r>
    </w:p>
    <w:p w14:paraId="45B79871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b/>
          <w:lang w:eastAsia="zh-CN"/>
        </w:rPr>
      </w:pPr>
    </w:p>
    <w:p w14:paraId="2F5FF67A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0F7F6E7B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A808E6C" wp14:editId="20E47E55">
            <wp:extent cx="5273675" cy="2256790"/>
            <wp:effectExtent l="0" t="0" r="3175" b="0"/>
            <wp:docPr id="16296352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35279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1517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b/>
        </w:rPr>
      </w:pPr>
      <w:r>
        <w:rPr>
          <w:b/>
        </w:rPr>
        <w:t>Supplementary Fig. 13</w:t>
      </w:r>
      <w:r>
        <w:t xml:space="preserve"> </w:t>
      </w:r>
      <w:r>
        <w:rPr>
          <w:b/>
        </w:rPr>
        <w:t>|</w:t>
      </w:r>
      <w:r>
        <w:t xml:space="preserve"> (a) </w:t>
      </w:r>
      <w:r>
        <w:rPr>
          <w:vertAlign w:val="superscript"/>
        </w:rPr>
        <w:t>1</w:t>
      </w:r>
      <w:r>
        <w:t>H NMR spectra of standard NH</w:t>
      </w:r>
      <w:r>
        <w:rPr>
          <w:vertAlign w:val="subscript"/>
        </w:rPr>
        <w:t>3</w:t>
      </w:r>
      <w:r>
        <w:t xml:space="preserve"> solution. (b) The standard curve of NMR integral area against NH</w:t>
      </w:r>
      <w:r>
        <w:rPr>
          <w:vertAlign w:val="subscript"/>
        </w:rPr>
        <w:t>3</w:t>
      </w:r>
      <w:r>
        <w:t xml:space="preserve"> concentration.</w:t>
      </w:r>
    </w:p>
    <w:p w14:paraId="653BD3DE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433BD48C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8CF4616" wp14:editId="42C0B792">
            <wp:extent cx="4319905" cy="3305175"/>
            <wp:effectExtent l="0" t="0" r="4445" b="9525"/>
            <wp:docPr id="16693619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61900" name="图片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E416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b/>
          <w:lang w:eastAsia="zh-CN"/>
        </w:rPr>
      </w:pPr>
      <w:r>
        <w:rPr>
          <w:b/>
        </w:rPr>
        <w:t>Supplementary Fig. 14</w:t>
      </w:r>
      <w:r>
        <w:t xml:space="preserve"> </w:t>
      </w:r>
      <w:r>
        <w:rPr>
          <w:b/>
        </w:rPr>
        <w:t>|</w:t>
      </w:r>
      <w:r>
        <w:t xml:space="preserve"> The comparison between indophenol blue method and NMR method on NH</w:t>
      </w:r>
      <w:r>
        <w:rPr>
          <w:vertAlign w:val="subscript"/>
        </w:rPr>
        <w:t>3</w:t>
      </w:r>
      <w:r>
        <w:t xml:space="preserve"> yield</w:t>
      </w:r>
      <w:r>
        <w:rPr>
          <w:rFonts w:eastAsiaTheme="minorEastAsia"/>
          <w:lang w:eastAsia="zh-CN"/>
        </w:rPr>
        <w:t>.</w:t>
      </w:r>
    </w:p>
    <w:p w14:paraId="1F1C090B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</w:p>
    <w:p w14:paraId="1193B7CD" w14:textId="77777777" w:rsidR="00FA03AE" w:rsidRDefault="00000000">
      <w:pPr>
        <w:spacing w:beforeLines="150" w:before="360" w:afterLines="150" w:after="360" w:line="360" w:lineRule="auto"/>
        <w:rPr>
          <w:szCs w:val="24"/>
          <w:lang w:eastAsia="zh-CN"/>
        </w:rPr>
      </w:pPr>
      <w:r>
        <w:rPr>
          <w:lang w:eastAsia="zh-CN"/>
        </w:rPr>
        <w:br w:type="page"/>
      </w:r>
    </w:p>
    <w:p w14:paraId="6AFEEDEA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64F465C" wp14:editId="5A4B2DF5">
            <wp:extent cx="4319905" cy="3303905"/>
            <wp:effectExtent l="0" t="0" r="4445" b="0"/>
            <wp:docPr id="3321802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80277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1DEC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b/>
        </w:rPr>
        <w:t>Supplementary Fig. 15</w:t>
      </w:r>
      <w:r>
        <w:t xml:space="preserve"> </w:t>
      </w:r>
      <w:r>
        <w:rPr>
          <w:b/>
        </w:rPr>
        <w:t xml:space="preserve">| </w:t>
      </w:r>
      <w:r>
        <w:rPr>
          <w:bCs/>
        </w:rPr>
        <w:t xml:space="preserve">Long-term stability test of </w:t>
      </w:r>
      <w:r>
        <w:t>Pt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 xml:space="preserve"> at -0.6 V.</w:t>
      </w:r>
    </w:p>
    <w:p w14:paraId="265AC093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029A9914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12EF7A2" wp14:editId="51DEBD58">
            <wp:extent cx="4319905" cy="3305810"/>
            <wp:effectExtent l="0" t="0" r="4445" b="8890"/>
            <wp:docPr id="10805114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11420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474A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b/>
        </w:rPr>
        <w:t>Supplementary Fig. 16</w:t>
      </w:r>
      <w:r>
        <w:t xml:space="preserve"> </w:t>
      </w:r>
      <w:r>
        <w:rPr>
          <w:b/>
        </w:rPr>
        <w:t>|</w:t>
      </w:r>
      <w:r>
        <w:t xml:space="preserve"> </w:t>
      </w:r>
      <w:r>
        <w:rPr>
          <w:bCs/>
        </w:rPr>
        <w:t xml:space="preserve">XRD patterns of </w:t>
      </w:r>
      <w:r>
        <w:t>Pt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 xml:space="preserve"> before and after NORR test.</w:t>
      </w:r>
    </w:p>
    <w:p w14:paraId="198ED67A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17C6C2CA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912BB59" wp14:editId="0EAA3222">
            <wp:extent cx="5273675" cy="2251710"/>
            <wp:effectExtent l="0" t="0" r="3175" b="0"/>
            <wp:docPr id="20448319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31909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8943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rPr>
          <w:b/>
        </w:rPr>
        <w:t>Supplementary Fig. 17</w:t>
      </w:r>
      <w:r>
        <w:t xml:space="preserve"> </w:t>
      </w:r>
      <w:r>
        <w:rPr>
          <w:b/>
        </w:rPr>
        <w:t xml:space="preserve">| </w:t>
      </w:r>
      <w:r>
        <w:t>(a) Fe K-edge XANES spectra of Pt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 xml:space="preserve"> before and after NORR test. (b) FT-EXAFS spectra at Fe K-edge.</w:t>
      </w:r>
    </w:p>
    <w:p w14:paraId="043DACEE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4D1FD4EA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251EBF0" wp14:editId="0BD528C3">
            <wp:extent cx="5273675" cy="2174240"/>
            <wp:effectExtent l="0" t="0" r="3175" b="0"/>
            <wp:docPr id="731733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3300" name="图片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0686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b/>
        </w:rPr>
        <w:t>Supplementary Fig. 18</w:t>
      </w:r>
      <w:r>
        <w:t xml:space="preserve"> </w:t>
      </w:r>
      <w:r>
        <w:rPr>
          <w:b/>
        </w:rPr>
        <w:t xml:space="preserve">| </w:t>
      </w:r>
      <w:r>
        <w:rPr>
          <w:bCs/>
        </w:rPr>
        <w:t xml:space="preserve">(a) </w:t>
      </w:r>
      <w:r>
        <w:t>TEM and (b) HRTEM of Au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>.</w:t>
      </w:r>
    </w:p>
    <w:p w14:paraId="555F23A3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3DE6FFB4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B897AC3" wp14:editId="34374DFA">
            <wp:extent cx="4319905" cy="3305175"/>
            <wp:effectExtent l="0" t="0" r="4445" b="9525"/>
            <wp:docPr id="1083797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9780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6DE9" w14:textId="77777777" w:rsidR="00FA03AE" w:rsidRDefault="00000000">
      <w:pPr>
        <w:spacing w:beforeLines="150" w:before="360" w:afterLines="150" w:after="360" w:line="360" w:lineRule="auto"/>
        <w:jc w:val="center"/>
        <w:rPr>
          <w:b/>
          <w:color w:val="000000"/>
        </w:rPr>
      </w:pPr>
      <w:r>
        <w:rPr>
          <w:b/>
        </w:rPr>
        <w:t>Supplementary Fig. 19</w:t>
      </w:r>
      <w:r>
        <w:t xml:space="preserve"> </w:t>
      </w:r>
      <w:r>
        <w:rPr>
          <w:b/>
        </w:rPr>
        <w:t>|</w:t>
      </w:r>
      <w:r>
        <w:t xml:space="preserve"> XRD patterns for Au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t xml:space="preserve"> and Fe</w:t>
      </w:r>
      <w:r>
        <w:rPr>
          <w:vertAlign w:val="subscript"/>
        </w:rPr>
        <w:t>SAC</w:t>
      </w:r>
      <w:r>
        <w:rPr>
          <w:szCs w:val="24"/>
        </w:rPr>
        <w:t>.</w:t>
      </w:r>
    </w:p>
    <w:p w14:paraId="46417576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</w:p>
    <w:p w14:paraId="58440655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44B3DC3F" w14:textId="77777777" w:rsidR="00FA03AE" w:rsidRDefault="00000000">
      <w:pPr>
        <w:pStyle w:val="Addresses"/>
        <w:spacing w:beforeLines="150" w:before="360" w:afterLines="150" w:after="3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8B74011" wp14:editId="3921BA9F">
            <wp:extent cx="5273675" cy="1991360"/>
            <wp:effectExtent l="0" t="0" r="3175" b="8890"/>
            <wp:docPr id="138616640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66403" name="图片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9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2FE8" w14:textId="77777777" w:rsidR="00FA03AE" w:rsidRDefault="00000000">
      <w:pPr>
        <w:spacing w:beforeLines="150" w:before="360" w:afterLines="150" w:after="360" w:line="360" w:lineRule="auto"/>
        <w:rPr>
          <w:szCs w:val="24"/>
        </w:rPr>
      </w:pPr>
      <w:r>
        <w:rPr>
          <w:b/>
        </w:rPr>
        <w:t>Supplementary Fig. 20</w:t>
      </w:r>
      <w:r>
        <w:t xml:space="preserve"> </w:t>
      </w:r>
      <w:r>
        <w:rPr>
          <w:b/>
        </w:rPr>
        <w:t xml:space="preserve">| </w:t>
      </w:r>
      <w:r>
        <w:rPr>
          <w:szCs w:val="24"/>
        </w:rPr>
        <w:t xml:space="preserve">(a) LSV curves of </w:t>
      </w:r>
      <w:r>
        <w:t>Au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rPr>
          <w:szCs w:val="24"/>
        </w:rPr>
        <w:t xml:space="preserve"> in Ar- and 1 vol% NO-saturated 0.5 M K</w:t>
      </w:r>
      <w:r>
        <w:rPr>
          <w:szCs w:val="24"/>
          <w:vertAlign w:val="subscript"/>
        </w:rPr>
        <w:t>2</w:t>
      </w:r>
      <w:r>
        <w:rPr>
          <w:szCs w:val="24"/>
        </w:rPr>
        <w:t>SO</w:t>
      </w:r>
      <w:r>
        <w:rPr>
          <w:szCs w:val="24"/>
          <w:vertAlign w:val="subscript"/>
        </w:rPr>
        <w:t>4</w:t>
      </w:r>
      <w:r>
        <w:rPr>
          <w:szCs w:val="24"/>
        </w:rPr>
        <w:t>. (b) NH</w:t>
      </w:r>
      <w:r>
        <w:rPr>
          <w:szCs w:val="24"/>
          <w:vertAlign w:val="subscript"/>
        </w:rPr>
        <w:t>3</w:t>
      </w:r>
      <w:r>
        <w:rPr>
          <w:szCs w:val="24"/>
        </w:rPr>
        <w:t xml:space="preserve"> yield and FE with 1 vol% NO over </w:t>
      </w:r>
      <w:r>
        <w:t>Au</w:t>
      </w:r>
      <w:r>
        <w:rPr>
          <w:vertAlign w:val="subscript"/>
        </w:rPr>
        <w:t>NPs</w:t>
      </w:r>
      <w:r>
        <w:t>/Fe</w:t>
      </w:r>
      <w:r>
        <w:rPr>
          <w:vertAlign w:val="subscript"/>
        </w:rPr>
        <w:t>SAC</w:t>
      </w:r>
      <w:r>
        <w:rPr>
          <w:szCs w:val="24"/>
        </w:rPr>
        <w:t xml:space="preserve"> at each given potential.</w:t>
      </w:r>
    </w:p>
    <w:p w14:paraId="1EDBBB03" w14:textId="77777777" w:rsidR="00FA03AE" w:rsidRDefault="00FA03AE">
      <w:pPr>
        <w:pStyle w:val="Addresses"/>
        <w:spacing w:beforeLines="150" w:before="360" w:afterLines="150" w:after="360" w:line="360" w:lineRule="auto"/>
        <w:jc w:val="both"/>
      </w:pPr>
    </w:p>
    <w:p w14:paraId="6EA232DC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5F861AC8" w14:textId="77777777" w:rsidR="00FA03AE" w:rsidRDefault="00000000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  <w:r>
        <w:rPr>
          <w:b/>
        </w:rPr>
        <w:lastRenderedPageBreak/>
        <w:t xml:space="preserve">Supplementary Table </w:t>
      </w:r>
      <w:r>
        <w:rPr>
          <w:rFonts w:eastAsiaTheme="minorEastAsia"/>
          <w:b/>
          <w:lang w:eastAsia="zh-CN"/>
        </w:rPr>
        <w:t>1.</w:t>
      </w:r>
      <w:r>
        <w:rPr>
          <w:bCs/>
          <w:color w:val="000000"/>
        </w:rPr>
        <w:t xml:space="preserve"> Fe and Pt content of Fe</w:t>
      </w:r>
      <w:r>
        <w:rPr>
          <w:bCs/>
          <w:color w:val="000000"/>
          <w:vertAlign w:val="subscript"/>
        </w:rPr>
        <w:t>SAC</w:t>
      </w:r>
      <w:r>
        <w:rPr>
          <w:bCs/>
          <w:color w:val="000000"/>
        </w:rPr>
        <w:t xml:space="preserve"> and Pt</w:t>
      </w:r>
      <w:r>
        <w:rPr>
          <w:bCs/>
          <w:color w:val="000000"/>
          <w:vertAlign w:val="subscript"/>
        </w:rPr>
        <w:t>NPs</w:t>
      </w:r>
      <w:r>
        <w:rPr>
          <w:bCs/>
          <w:color w:val="000000"/>
        </w:rPr>
        <w:t>/Fe</w:t>
      </w:r>
      <w:r>
        <w:rPr>
          <w:bCs/>
          <w:color w:val="000000"/>
          <w:vertAlign w:val="subscript"/>
        </w:rPr>
        <w:t>SAC</w:t>
      </w:r>
      <w:r>
        <w:rPr>
          <w:bCs/>
        </w:rPr>
        <w:t xml:space="preserve"> ca</w:t>
      </w:r>
      <w:r>
        <w:t>talysts determined by ICP-OES.</w:t>
      </w:r>
    </w:p>
    <w:tbl>
      <w:tblPr>
        <w:tblStyle w:val="3-11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A03AE" w14:paraId="624AE8DD" w14:textId="77777777" w:rsidTr="00FA0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65" w:type="dxa"/>
            <w:tcBorders>
              <w:bottom w:val="nil"/>
            </w:tcBorders>
            <w:vAlign w:val="center"/>
          </w:tcPr>
          <w:p w14:paraId="36BE440C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 w:val="0"/>
                <w:i w:val="0"/>
                <w:iCs w:val="0"/>
                <w:color w:val="000000"/>
                <w:lang w:eastAsia="zh-CN"/>
              </w:rPr>
            </w:pPr>
            <w:r>
              <w:rPr>
                <w:bCs w:val="0"/>
                <w:i w:val="0"/>
                <w:iCs w:val="0"/>
                <w:color w:val="000000"/>
                <w:lang w:eastAsia="zh-CN"/>
              </w:rPr>
              <w:t>Catalyst</w:t>
            </w:r>
          </w:p>
        </w:tc>
        <w:tc>
          <w:tcPr>
            <w:tcW w:w="2765" w:type="dxa"/>
            <w:vAlign w:val="center"/>
          </w:tcPr>
          <w:p w14:paraId="3C454E96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lang w:eastAsia="zh-CN"/>
              </w:rPr>
            </w:pPr>
            <w:r>
              <w:rPr>
                <w:bCs w:val="0"/>
                <w:color w:val="000000"/>
                <w:lang w:eastAsia="zh-CN"/>
              </w:rPr>
              <w:t>Fe (wt%)</w:t>
            </w:r>
          </w:p>
        </w:tc>
        <w:tc>
          <w:tcPr>
            <w:tcW w:w="2766" w:type="dxa"/>
            <w:vAlign w:val="center"/>
          </w:tcPr>
          <w:p w14:paraId="49E49C3F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lang w:eastAsia="zh-CN"/>
              </w:rPr>
            </w:pPr>
            <w:r>
              <w:rPr>
                <w:bCs w:val="0"/>
                <w:color w:val="000000"/>
                <w:lang w:eastAsia="zh-CN"/>
              </w:rPr>
              <w:t>Pt (wt%)</w:t>
            </w:r>
          </w:p>
        </w:tc>
      </w:tr>
      <w:tr w:rsidR="00FA03AE" w14:paraId="62D0EF49" w14:textId="77777777" w:rsidTr="00FA03AE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6ED4472A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/>
                <w:i w:val="0"/>
                <w:iCs w:val="0"/>
                <w:color w:val="000000"/>
                <w:lang w:eastAsia="zh-CN"/>
              </w:rPr>
            </w:pPr>
            <w:r>
              <w:rPr>
                <w:bCs/>
                <w:i w:val="0"/>
                <w:iCs w:val="0"/>
                <w:color w:val="000000"/>
                <w:lang w:eastAsia="zh-CN"/>
              </w:rPr>
              <w:t>Fe</w:t>
            </w:r>
            <w:r>
              <w:rPr>
                <w:bCs/>
                <w:i w:val="0"/>
                <w:iCs w:val="0"/>
                <w:color w:val="000000"/>
                <w:vertAlign w:val="subscript"/>
                <w:lang w:eastAsia="zh-CN"/>
              </w:rPr>
              <w:t>SAC</w:t>
            </w:r>
          </w:p>
        </w:tc>
        <w:tc>
          <w:tcPr>
            <w:tcW w:w="2765" w:type="dxa"/>
            <w:shd w:val="clear" w:color="auto" w:fill="DBE5F1" w:themeFill="accent1" w:themeFillTint="33"/>
            <w:vAlign w:val="center"/>
          </w:tcPr>
          <w:p w14:paraId="60BB1123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0.66</w:t>
            </w:r>
          </w:p>
        </w:tc>
        <w:tc>
          <w:tcPr>
            <w:tcW w:w="2766" w:type="dxa"/>
            <w:shd w:val="clear" w:color="auto" w:fill="DBE5F1" w:themeFill="accent1" w:themeFillTint="33"/>
            <w:vAlign w:val="center"/>
          </w:tcPr>
          <w:p w14:paraId="038D67BA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ND</w:t>
            </w:r>
          </w:p>
        </w:tc>
      </w:tr>
      <w:tr w:rsidR="00FA03AE" w14:paraId="30E4CECE" w14:textId="77777777" w:rsidTr="00FA03AE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04789D8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/>
                <w:i w:val="0"/>
                <w:iCs w:val="0"/>
                <w:color w:val="000000"/>
                <w:lang w:eastAsia="zh-CN"/>
              </w:rPr>
            </w:pPr>
            <w:r>
              <w:rPr>
                <w:bCs/>
                <w:i w:val="0"/>
                <w:iCs w:val="0"/>
                <w:color w:val="000000"/>
                <w:lang w:eastAsia="zh-CN"/>
              </w:rPr>
              <w:t>Pt</w:t>
            </w:r>
            <w:r>
              <w:rPr>
                <w:bCs/>
                <w:i w:val="0"/>
                <w:iCs w:val="0"/>
                <w:color w:val="000000"/>
                <w:vertAlign w:val="subscript"/>
                <w:lang w:eastAsia="zh-CN"/>
              </w:rPr>
              <w:t>NPs</w:t>
            </w:r>
            <w:r>
              <w:rPr>
                <w:bCs/>
                <w:i w:val="0"/>
                <w:iCs w:val="0"/>
                <w:color w:val="000000"/>
                <w:lang w:eastAsia="zh-CN"/>
              </w:rPr>
              <w:t>/Fe</w:t>
            </w:r>
            <w:r>
              <w:rPr>
                <w:bCs/>
                <w:i w:val="0"/>
                <w:iCs w:val="0"/>
                <w:color w:val="000000"/>
                <w:vertAlign w:val="subscript"/>
                <w:lang w:eastAsia="zh-CN"/>
              </w:rPr>
              <w:t>SAC</w:t>
            </w:r>
          </w:p>
        </w:tc>
        <w:tc>
          <w:tcPr>
            <w:tcW w:w="2765" w:type="dxa"/>
            <w:vAlign w:val="center"/>
          </w:tcPr>
          <w:p w14:paraId="223F63D6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0.62</w:t>
            </w:r>
          </w:p>
        </w:tc>
        <w:tc>
          <w:tcPr>
            <w:tcW w:w="2766" w:type="dxa"/>
            <w:vAlign w:val="center"/>
          </w:tcPr>
          <w:p w14:paraId="74E5D9E3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0.84</w:t>
            </w:r>
          </w:p>
        </w:tc>
      </w:tr>
    </w:tbl>
    <w:p w14:paraId="54DE79B2" w14:textId="77777777" w:rsidR="00FA03AE" w:rsidRDefault="00FA03AE">
      <w:pPr>
        <w:pStyle w:val="Addresses"/>
        <w:spacing w:beforeLines="150" w:before="360" w:afterLines="150" w:after="360" w:line="360" w:lineRule="auto"/>
        <w:jc w:val="both"/>
      </w:pPr>
    </w:p>
    <w:p w14:paraId="75EF78BA" w14:textId="77777777" w:rsidR="00FA03AE" w:rsidRDefault="00FA03AE">
      <w:pPr>
        <w:pStyle w:val="Addresses"/>
        <w:spacing w:beforeLines="150" w:before="360" w:afterLines="150" w:after="360" w:line="360" w:lineRule="auto"/>
        <w:jc w:val="both"/>
      </w:pPr>
    </w:p>
    <w:p w14:paraId="7EF77A51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br w:type="page"/>
      </w:r>
    </w:p>
    <w:p w14:paraId="771C7447" w14:textId="77777777" w:rsidR="00FA03AE" w:rsidRDefault="00000000">
      <w:pPr>
        <w:pStyle w:val="Addresses"/>
        <w:spacing w:beforeLines="150" w:before="360" w:afterLines="150" w:after="360" w:line="360" w:lineRule="auto"/>
        <w:jc w:val="both"/>
      </w:pPr>
      <w:r>
        <w:rPr>
          <w:b/>
        </w:rPr>
        <w:lastRenderedPageBreak/>
        <w:t>Supplementary Table 2</w:t>
      </w:r>
      <w:r>
        <w:rPr>
          <w:rFonts w:eastAsiaTheme="minorEastAsia"/>
          <w:b/>
          <w:lang w:eastAsia="zh-CN"/>
        </w:rPr>
        <w:t>.</w:t>
      </w:r>
      <w:r>
        <w:rPr>
          <w:bCs/>
          <w:color w:val="000000"/>
        </w:rPr>
        <w:t xml:space="preserve"> EXAFS fitting parameters at the Fe K-edge</w:t>
      </w:r>
      <w:r>
        <w:t>.</w:t>
      </w:r>
    </w:p>
    <w:tbl>
      <w:tblPr>
        <w:tblW w:w="8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2"/>
        <w:gridCol w:w="1504"/>
        <w:gridCol w:w="1403"/>
        <w:gridCol w:w="1152"/>
        <w:gridCol w:w="1209"/>
        <w:gridCol w:w="955"/>
      </w:tblGrid>
      <w:tr w:rsidR="00FA03AE" w14:paraId="4DC5DB65" w14:textId="77777777">
        <w:trPr>
          <w:cantSplit/>
          <w:trHeight w:val="113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B591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Sample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3334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Shell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FF5DC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i/>
                <w:szCs w:val="24"/>
              </w:rPr>
              <w:t>CN</w:t>
            </w:r>
            <w:r>
              <w:rPr>
                <w:i/>
                <w:szCs w:val="24"/>
                <w:vertAlign w:val="superscript"/>
              </w:rPr>
              <w:t>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B397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R</w:t>
            </w:r>
            <w:r>
              <w:rPr>
                <w:szCs w:val="24"/>
              </w:rPr>
              <w:t>(Å)</w:t>
            </w:r>
            <w:r>
              <w:rPr>
                <w:i/>
                <w:szCs w:val="24"/>
                <w:vertAlign w:val="superscript"/>
              </w:rPr>
              <w:t>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8A50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i/>
                <w:szCs w:val="24"/>
              </w:rPr>
              <w:t>σ</w:t>
            </w:r>
            <w:r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>(Å</w:t>
            </w:r>
            <w:r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>)</w:t>
            </w:r>
            <w:r>
              <w:rPr>
                <w:i/>
                <w:szCs w:val="24"/>
                <w:vertAlign w:val="superscript"/>
              </w:rPr>
              <w:t>c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EC76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Δ</w:t>
            </w:r>
            <w:r>
              <w:rPr>
                <w:i/>
                <w:szCs w:val="24"/>
              </w:rPr>
              <w:t>E</w:t>
            </w:r>
            <w:r>
              <w:rPr>
                <w:szCs w:val="24"/>
                <w:vertAlign w:val="subscript"/>
              </w:rPr>
              <w:t xml:space="preserve">0 </w:t>
            </w:r>
            <w:r>
              <w:rPr>
                <w:szCs w:val="24"/>
              </w:rPr>
              <w:t>(eV)</w:t>
            </w:r>
            <w:r>
              <w:rPr>
                <w:i/>
                <w:szCs w:val="24"/>
                <w:vertAlign w:val="superscript"/>
              </w:rPr>
              <w:t>d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35D0E" w14:textId="77777777" w:rsidR="00FA03AE" w:rsidRDefault="00000000">
            <w:pPr>
              <w:pStyle w:val="TCTableBody"/>
              <w:widowControl w:val="0"/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rFonts w:ascii="Times New Roman" w:hAnsi="Times New Roman"/>
                <w:kern w:val="2"/>
                <w:szCs w:val="24"/>
                <w:lang w:eastAsia="zh-CN"/>
              </w:rPr>
            </w:pPr>
            <w:r>
              <w:rPr>
                <w:rFonts w:ascii="Times New Roman" w:hAnsi="Times New Roman"/>
                <w:i/>
                <w:kern w:val="2"/>
                <w:szCs w:val="24"/>
              </w:rPr>
              <w:t>R</w:t>
            </w:r>
            <w:r>
              <w:rPr>
                <w:rFonts w:ascii="Times New Roman" w:hAnsi="Times New Roman"/>
                <w:kern w:val="2"/>
                <w:szCs w:val="24"/>
              </w:rPr>
              <w:t xml:space="preserve"> factor</w:t>
            </w:r>
          </w:p>
        </w:tc>
      </w:tr>
      <w:tr w:rsidR="00FA03AE" w14:paraId="79D39C7C" w14:textId="77777777">
        <w:trPr>
          <w:cantSplit/>
          <w:trHeight w:val="1134"/>
          <w:jc w:val="center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7E8E87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Fe foil</w:t>
            </w:r>
          </w:p>
        </w:tc>
        <w:tc>
          <w:tcPr>
            <w:tcW w:w="992" w:type="dxa"/>
            <w:vAlign w:val="center"/>
          </w:tcPr>
          <w:p w14:paraId="242EACE8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r>
              <w:rPr>
                <w:szCs w:val="24"/>
              </w:rPr>
              <w:t>Fe-Fe</w:t>
            </w:r>
          </w:p>
        </w:tc>
        <w:tc>
          <w:tcPr>
            <w:tcW w:w="1504" w:type="dxa"/>
            <w:vAlign w:val="center"/>
          </w:tcPr>
          <w:p w14:paraId="2DAC0E48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8*</w:t>
            </w:r>
          </w:p>
        </w:tc>
        <w:tc>
          <w:tcPr>
            <w:tcW w:w="1403" w:type="dxa"/>
            <w:vAlign w:val="center"/>
          </w:tcPr>
          <w:p w14:paraId="3CACBD5E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2.47±0.01</w:t>
            </w:r>
          </w:p>
        </w:tc>
        <w:tc>
          <w:tcPr>
            <w:tcW w:w="1152" w:type="dxa"/>
            <w:vAlign w:val="center"/>
          </w:tcPr>
          <w:p w14:paraId="49E9977D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0.0051</w:t>
            </w:r>
          </w:p>
        </w:tc>
        <w:tc>
          <w:tcPr>
            <w:tcW w:w="1209" w:type="dxa"/>
            <w:vMerge w:val="restart"/>
            <w:vAlign w:val="center"/>
          </w:tcPr>
          <w:p w14:paraId="2165762C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6.6±1.0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732EB4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0.0037</w:t>
            </w:r>
          </w:p>
        </w:tc>
      </w:tr>
      <w:tr w:rsidR="00FA03AE" w14:paraId="52BB2C99" w14:textId="77777777">
        <w:trPr>
          <w:cantSplit/>
          <w:trHeight w:val="1134"/>
          <w:jc w:val="center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2CDE" w14:textId="77777777" w:rsidR="00FA03AE" w:rsidRDefault="00FA03AE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</w:p>
        </w:tc>
        <w:tc>
          <w:tcPr>
            <w:tcW w:w="992" w:type="dxa"/>
            <w:vAlign w:val="center"/>
          </w:tcPr>
          <w:p w14:paraId="67F1292C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Fe-Fe</w:t>
            </w:r>
          </w:p>
        </w:tc>
        <w:tc>
          <w:tcPr>
            <w:tcW w:w="1504" w:type="dxa"/>
            <w:vAlign w:val="center"/>
          </w:tcPr>
          <w:p w14:paraId="29C565BC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6*</w:t>
            </w:r>
          </w:p>
        </w:tc>
        <w:tc>
          <w:tcPr>
            <w:tcW w:w="1403" w:type="dxa"/>
            <w:vAlign w:val="center"/>
          </w:tcPr>
          <w:p w14:paraId="14DCB497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2.85±0.01</w:t>
            </w:r>
          </w:p>
        </w:tc>
        <w:tc>
          <w:tcPr>
            <w:tcW w:w="1152" w:type="dxa"/>
            <w:vAlign w:val="center"/>
          </w:tcPr>
          <w:p w14:paraId="7208CFC8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0.0064</w:t>
            </w:r>
          </w:p>
        </w:tc>
        <w:tc>
          <w:tcPr>
            <w:tcW w:w="1209" w:type="dxa"/>
            <w:vMerge/>
            <w:vAlign w:val="center"/>
          </w:tcPr>
          <w:p w14:paraId="57181E12" w14:textId="77777777" w:rsidR="00FA03AE" w:rsidRDefault="00FA03AE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8077" w14:textId="77777777" w:rsidR="00FA03AE" w:rsidRDefault="00FA03AE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</w:p>
        </w:tc>
      </w:tr>
      <w:tr w:rsidR="00FA03AE" w14:paraId="4CC2EF6A" w14:textId="77777777">
        <w:trPr>
          <w:cantSplit/>
          <w:trHeight w:val="113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AABB7A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bookmarkStart w:id="5" w:name="_Hlk519496888"/>
            <w:r>
              <w:rPr>
                <w:bCs/>
                <w:color w:val="000000"/>
              </w:rPr>
              <w:t>Fe</w:t>
            </w:r>
            <w:r>
              <w:rPr>
                <w:bCs/>
                <w:color w:val="000000"/>
                <w:vertAlign w:val="subscript"/>
              </w:rPr>
              <w:t>SAC</w:t>
            </w:r>
          </w:p>
        </w:tc>
        <w:tc>
          <w:tcPr>
            <w:tcW w:w="992" w:type="dxa"/>
            <w:vAlign w:val="center"/>
          </w:tcPr>
          <w:p w14:paraId="3DE7259D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r>
              <w:rPr>
                <w:szCs w:val="24"/>
              </w:rPr>
              <w:t>Fe-N</w:t>
            </w:r>
          </w:p>
        </w:tc>
        <w:tc>
          <w:tcPr>
            <w:tcW w:w="1504" w:type="dxa"/>
            <w:vAlign w:val="center"/>
          </w:tcPr>
          <w:p w14:paraId="679AE042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4.4±0.3</w:t>
            </w:r>
          </w:p>
        </w:tc>
        <w:tc>
          <w:tcPr>
            <w:tcW w:w="1403" w:type="dxa"/>
            <w:vAlign w:val="center"/>
          </w:tcPr>
          <w:p w14:paraId="3B9A3738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1.96±0.01</w:t>
            </w:r>
          </w:p>
        </w:tc>
        <w:tc>
          <w:tcPr>
            <w:tcW w:w="1152" w:type="dxa"/>
            <w:vAlign w:val="center"/>
          </w:tcPr>
          <w:p w14:paraId="264520C2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0.0085</w:t>
            </w:r>
          </w:p>
        </w:tc>
        <w:tc>
          <w:tcPr>
            <w:tcW w:w="1209" w:type="dxa"/>
            <w:vAlign w:val="center"/>
          </w:tcPr>
          <w:p w14:paraId="45067BE8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-5.6±2.0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C4D6C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0.0086</w:t>
            </w:r>
          </w:p>
        </w:tc>
      </w:tr>
      <w:tr w:rsidR="00FA03AE" w14:paraId="11AE96B8" w14:textId="77777777">
        <w:trPr>
          <w:cantSplit/>
          <w:trHeight w:val="1134"/>
          <w:jc w:val="center"/>
        </w:trPr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7A4C6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r>
              <w:rPr>
                <w:bCs/>
                <w:color w:val="000000"/>
              </w:rPr>
              <w:t>Pt</w:t>
            </w:r>
            <w:r>
              <w:rPr>
                <w:bCs/>
                <w:color w:val="000000"/>
                <w:vertAlign w:val="subscript"/>
              </w:rPr>
              <w:t>NPs</w:t>
            </w:r>
            <w:r>
              <w:rPr>
                <w:bCs/>
                <w:color w:val="000000"/>
              </w:rPr>
              <w:t>/Fe</w:t>
            </w:r>
            <w:r>
              <w:rPr>
                <w:bCs/>
                <w:color w:val="000000"/>
                <w:vertAlign w:val="subscript"/>
              </w:rPr>
              <w:t>SAC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293604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r>
              <w:rPr>
                <w:szCs w:val="24"/>
              </w:rPr>
              <w:t>Fe-N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140A1B7C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4.2±0.2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2CD2A54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1.97±0.01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73DDC0E3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</w:rPr>
            </w:pPr>
            <w:r>
              <w:rPr>
                <w:szCs w:val="24"/>
              </w:rPr>
              <w:t>0.0091</w:t>
            </w:r>
          </w:p>
        </w:tc>
        <w:tc>
          <w:tcPr>
            <w:tcW w:w="1209" w:type="dxa"/>
            <w:vAlign w:val="center"/>
          </w:tcPr>
          <w:p w14:paraId="1D3DC5A5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r>
              <w:rPr>
                <w:szCs w:val="24"/>
              </w:rPr>
              <w:t>-4.9±1.5</w:t>
            </w: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D4041C" w14:textId="77777777" w:rsidR="00FA03AE" w:rsidRDefault="00000000">
            <w:pPr>
              <w:adjustRightInd w:val="0"/>
              <w:snapToGrid w:val="0"/>
              <w:spacing w:beforeLines="150" w:before="360" w:afterLines="150" w:after="360" w:line="360" w:lineRule="auto"/>
              <w:jc w:val="center"/>
              <w:textAlignment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0.0051</w:t>
            </w:r>
          </w:p>
        </w:tc>
      </w:tr>
      <w:bookmarkEnd w:id="5"/>
    </w:tbl>
    <w:p w14:paraId="71D8BD93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</w:p>
    <w:p w14:paraId="22ED9B1A" w14:textId="77777777" w:rsidR="00FA03AE" w:rsidRDefault="00000000">
      <w:pPr>
        <w:spacing w:beforeLines="150" w:before="360" w:afterLines="150" w:after="360" w:line="360" w:lineRule="auto"/>
        <w:rPr>
          <w:szCs w:val="24"/>
          <w:lang w:eastAsia="zh-CN"/>
        </w:rPr>
      </w:pPr>
      <w:r>
        <w:rPr>
          <w:lang w:eastAsia="zh-CN"/>
        </w:rPr>
        <w:br w:type="page"/>
      </w:r>
    </w:p>
    <w:p w14:paraId="1064011A" w14:textId="77777777" w:rsidR="00FA03AE" w:rsidRDefault="00000000">
      <w:pPr>
        <w:spacing w:beforeLines="150" w:before="360" w:afterLines="150" w:after="360" w:line="360" w:lineRule="auto"/>
      </w:pPr>
      <w:r>
        <w:rPr>
          <w:b/>
        </w:rPr>
        <w:lastRenderedPageBreak/>
        <w:t xml:space="preserve">Supplementary Table </w:t>
      </w:r>
      <w:r>
        <w:rPr>
          <w:b/>
          <w:lang w:eastAsia="zh-CN"/>
        </w:rPr>
        <w:t>3</w:t>
      </w:r>
      <w:r>
        <w:rPr>
          <w:b/>
          <w:color w:val="000000"/>
        </w:rPr>
        <w:t xml:space="preserve"> </w:t>
      </w:r>
      <w:r>
        <w:rPr>
          <w:bCs/>
          <w:color w:val="000000"/>
        </w:rPr>
        <w:t xml:space="preserve">The Fe and Pt content </w:t>
      </w:r>
      <w:r>
        <w:t>after long-term stability test</w:t>
      </w:r>
      <w:r>
        <w:rPr>
          <w:bCs/>
          <w:color w:val="000000"/>
        </w:rPr>
        <w:t xml:space="preserve"> of Fe</w:t>
      </w:r>
      <w:r>
        <w:rPr>
          <w:bCs/>
          <w:color w:val="000000"/>
          <w:vertAlign w:val="subscript"/>
        </w:rPr>
        <w:t>SAC</w:t>
      </w:r>
      <w:r>
        <w:rPr>
          <w:bCs/>
          <w:color w:val="000000"/>
        </w:rPr>
        <w:t xml:space="preserve"> and Pt</w:t>
      </w:r>
      <w:r>
        <w:rPr>
          <w:bCs/>
          <w:color w:val="000000"/>
          <w:vertAlign w:val="subscript"/>
        </w:rPr>
        <w:t>NPs</w:t>
      </w:r>
      <w:r>
        <w:rPr>
          <w:bCs/>
          <w:color w:val="000000"/>
        </w:rPr>
        <w:t>/Fe</w:t>
      </w:r>
      <w:r>
        <w:rPr>
          <w:bCs/>
          <w:color w:val="000000"/>
          <w:vertAlign w:val="subscript"/>
        </w:rPr>
        <w:t>SAC</w:t>
      </w:r>
      <w:r>
        <w:rPr>
          <w:bCs/>
        </w:rPr>
        <w:t xml:space="preserve"> ca</w:t>
      </w:r>
      <w:r>
        <w:t>talysts determined by ICP-OES.</w:t>
      </w:r>
    </w:p>
    <w:tbl>
      <w:tblPr>
        <w:tblStyle w:val="3-11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A03AE" w14:paraId="7ACF4659" w14:textId="77777777" w:rsidTr="00FA0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65" w:type="dxa"/>
            <w:tcBorders>
              <w:bottom w:val="nil"/>
            </w:tcBorders>
            <w:vAlign w:val="center"/>
          </w:tcPr>
          <w:p w14:paraId="678AEEF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 w:val="0"/>
                <w:i w:val="0"/>
                <w:iCs w:val="0"/>
                <w:color w:val="000000"/>
                <w:lang w:eastAsia="zh-CN"/>
              </w:rPr>
            </w:pPr>
            <w:r>
              <w:rPr>
                <w:bCs w:val="0"/>
                <w:i w:val="0"/>
                <w:iCs w:val="0"/>
                <w:color w:val="000000"/>
                <w:lang w:eastAsia="zh-CN"/>
              </w:rPr>
              <w:t>Electrolyte</w:t>
            </w:r>
          </w:p>
        </w:tc>
        <w:tc>
          <w:tcPr>
            <w:tcW w:w="2765" w:type="dxa"/>
            <w:vAlign w:val="center"/>
          </w:tcPr>
          <w:p w14:paraId="57FDDC6F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lang w:eastAsia="zh-CN"/>
              </w:rPr>
            </w:pPr>
            <w:r>
              <w:rPr>
                <w:bCs w:val="0"/>
                <w:color w:val="000000"/>
                <w:lang w:eastAsia="zh-CN"/>
              </w:rPr>
              <w:t>Fe (mg/L)</w:t>
            </w:r>
          </w:p>
        </w:tc>
        <w:tc>
          <w:tcPr>
            <w:tcW w:w="2766" w:type="dxa"/>
            <w:vAlign w:val="center"/>
          </w:tcPr>
          <w:p w14:paraId="40FE6757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lang w:eastAsia="zh-CN"/>
              </w:rPr>
            </w:pPr>
            <w:r>
              <w:rPr>
                <w:bCs w:val="0"/>
                <w:color w:val="000000"/>
                <w:lang w:eastAsia="zh-CN"/>
              </w:rPr>
              <w:t>Pt (mg/L)</w:t>
            </w:r>
          </w:p>
        </w:tc>
      </w:tr>
      <w:tr w:rsidR="00FA03AE" w14:paraId="14180F92" w14:textId="77777777" w:rsidTr="00FA03AE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7CCACB0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/>
                <w:i w:val="0"/>
                <w:iCs w:val="0"/>
                <w:color w:val="000000"/>
                <w:lang w:eastAsia="zh-CN"/>
              </w:rPr>
            </w:pPr>
            <w:r>
              <w:rPr>
                <w:bCs/>
                <w:i w:val="0"/>
                <w:iCs w:val="0"/>
                <w:color w:val="000000"/>
                <w:lang w:eastAsia="zh-CN"/>
              </w:rPr>
              <w:t>Fe</w:t>
            </w:r>
            <w:r>
              <w:rPr>
                <w:bCs/>
                <w:i w:val="0"/>
                <w:iCs w:val="0"/>
                <w:color w:val="000000"/>
                <w:vertAlign w:val="subscript"/>
                <w:lang w:eastAsia="zh-CN"/>
              </w:rPr>
              <w:t>SAC</w:t>
            </w:r>
            <w:r>
              <w:rPr>
                <w:bCs/>
                <w:i w:val="0"/>
                <w:iCs w:val="0"/>
                <w:color w:val="000000"/>
                <w:lang w:eastAsia="zh-CN"/>
              </w:rPr>
              <w:t xml:space="preserve"> after NORR test</w:t>
            </w:r>
          </w:p>
        </w:tc>
        <w:tc>
          <w:tcPr>
            <w:tcW w:w="2765" w:type="dxa"/>
            <w:shd w:val="clear" w:color="auto" w:fill="DBE5F1" w:themeFill="accent1" w:themeFillTint="33"/>
            <w:vAlign w:val="center"/>
          </w:tcPr>
          <w:p w14:paraId="0ADCA258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0.15</w:t>
            </w:r>
          </w:p>
        </w:tc>
        <w:tc>
          <w:tcPr>
            <w:tcW w:w="2766" w:type="dxa"/>
            <w:shd w:val="clear" w:color="auto" w:fill="DBE5F1" w:themeFill="accent1" w:themeFillTint="33"/>
            <w:vAlign w:val="center"/>
          </w:tcPr>
          <w:p w14:paraId="4D4CBDBE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ND</w:t>
            </w:r>
          </w:p>
        </w:tc>
      </w:tr>
      <w:tr w:rsidR="00FA03AE" w14:paraId="1F9C1B2C" w14:textId="77777777" w:rsidTr="00FA03AE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7A1A1CF1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/>
                <w:i w:val="0"/>
                <w:iCs w:val="0"/>
                <w:color w:val="000000"/>
                <w:lang w:eastAsia="zh-CN"/>
              </w:rPr>
            </w:pPr>
            <w:r>
              <w:rPr>
                <w:bCs/>
                <w:i w:val="0"/>
                <w:iCs w:val="0"/>
                <w:color w:val="000000"/>
                <w:lang w:eastAsia="zh-CN"/>
              </w:rPr>
              <w:t xml:space="preserve">Pt </w:t>
            </w:r>
            <w:r>
              <w:rPr>
                <w:bCs/>
                <w:i w:val="0"/>
                <w:iCs w:val="0"/>
                <w:color w:val="000000"/>
                <w:vertAlign w:val="subscript"/>
                <w:lang w:eastAsia="zh-CN"/>
              </w:rPr>
              <w:t>NPs</w:t>
            </w:r>
            <w:r>
              <w:rPr>
                <w:bCs/>
                <w:i w:val="0"/>
                <w:iCs w:val="0"/>
                <w:color w:val="000000"/>
                <w:lang w:eastAsia="zh-CN"/>
              </w:rPr>
              <w:t>/Fe</w:t>
            </w:r>
            <w:r>
              <w:rPr>
                <w:bCs/>
                <w:i w:val="0"/>
                <w:iCs w:val="0"/>
                <w:color w:val="000000"/>
                <w:vertAlign w:val="subscript"/>
                <w:lang w:eastAsia="zh-CN"/>
              </w:rPr>
              <w:t>SAC</w:t>
            </w:r>
            <w:r>
              <w:rPr>
                <w:bCs/>
                <w:i w:val="0"/>
                <w:iCs w:val="0"/>
                <w:color w:val="000000"/>
                <w:lang w:eastAsia="zh-CN"/>
              </w:rPr>
              <w:t xml:space="preserve"> after NORR test</w:t>
            </w:r>
          </w:p>
        </w:tc>
        <w:tc>
          <w:tcPr>
            <w:tcW w:w="2765" w:type="dxa"/>
            <w:vAlign w:val="center"/>
          </w:tcPr>
          <w:p w14:paraId="56D53FA3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0.04</w:t>
            </w:r>
          </w:p>
        </w:tc>
        <w:tc>
          <w:tcPr>
            <w:tcW w:w="2766" w:type="dxa"/>
            <w:vAlign w:val="center"/>
          </w:tcPr>
          <w:p w14:paraId="4DF7343E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0.19</w:t>
            </w:r>
          </w:p>
        </w:tc>
      </w:tr>
      <w:tr w:rsidR="00FA03AE" w14:paraId="27E7B73E" w14:textId="77777777" w:rsidTr="00FA03AE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42CB28F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/>
                <w:color w:val="000000"/>
                <w:lang w:eastAsia="zh-CN"/>
              </w:rPr>
            </w:pPr>
            <w:r>
              <w:rPr>
                <w:bCs/>
                <w:i w:val="0"/>
                <w:iCs w:val="0"/>
                <w:color w:val="000000"/>
                <w:lang w:eastAsia="zh-CN"/>
              </w:rPr>
              <w:t>Before NORR test</w:t>
            </w:r>
          </w:p>
        </w:tc>
        <w:tc>
          <w:tcPr>
            <w:tcW w:w="2765" w:type="dxa"/>
            <w:shd w:val="clear" w:color="auto" w:fill="DBE5F1" w:themeFill="accent1" w:themeFillTint="33"/>
            <w:vAlign w:val="center"/>
          </w:tcPr>
          <w:p w14:paraId="06F09974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ND</w:t>
            </w:r>
          </w:p>
        </w:tc>
        <w:tc>
          <w:tcPr>
            <w:tcW w:w="2766" w:type="dxa"/>
            <w:shd w:val="clear" w:color="auto" w:fill="DBE5F1" w:themeFill="accent1" w:themeFillTint="33"/>
            <w:vAlign w:val="center"/>
          </w:tcPr>
          <w:p w14:paraId="573BB04F" w14:textId="77777777" w:rsidR="00FA03AE" w:rsidRDefault="00000000">
            <w:pPr>
              <w:spacing w:beforeLines="150" w:before="360" w:afterLines="150" w:after="3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zh-CN"/>
              </w:rPr>
            </w:pPr>
            <w:r>
              <w:rPr>
                <w:bCs/>
                <w:color w:val="000000"/>
                <w:lang w:eastAsia="zh-CN"/>
              </w:rPr>
              <w:t>ND</w:t>
            </w:r>
          </w:p>
        </w:tc>
      </w:tr>
    </w:tbl>
    <w:p w14:paraId="7F6D989E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</w:p>
    <w:p w14:paraId="2A84D019" w14:textId="77777777" w:rsidR="00FA03AE" w:rsidRDefault="00000000">
      <w:pPr>
        <w:spacing w:beforeLines="150" w:before="360" w:afterLines="150" w:after="360" w:line="360" w:lineRule="auto"/>
        <w:rPr>
          <w:szCs w:val="24"/>
          <w:lang w:eastAsia="zh-CN"/>
        </w:rPr>
      </w:pPr>
      <w:r>
        <w:rPr>
          <w:lang w:eastAsia="zh-CN"/>
        </w:rPr>
        <w:br w:type="page"/>
      </w:r>
    </w:p>
    <w:p w14:paraId="44301BBC" w14:textId="77777777" w:rsidR="00FA03AE" w:rsidRDefault="00000000">
      <w:pPr>
        <w:spacing w:beforeLines="150" w:before="360" w:afterLines="150" w:after="360" w:line="360" w:lineRule="auto"/>
        <w:rPr>
          <w:b/>
          <w:color w:val="000000"/>
        </w:rPr>
      </w:pPr>
      <w:r>
        <w:rPr>
          <w:b/>
          <w:color w:val="000000"/>
        </w:rPr>
        <w:lastRenderedPageBreak/>
        <w:t xml:space="preserve">Table S4. </w:t>
      </w:r>
      <w:bookmarkStart w:id="6" w:name="_Hlk152680948"/>
      <w:r>
        <w:t xml:space="preserve">Comparison of NORR performance of </w:t>
      </w:r>
      <w:r>
        <w:rPr>
          <w:bCs/>
        </w:rPr>
        <w:t xml:space="preserve">Pt </w:t>
      </w:r>
      <w:r>
        <w:rPr>
          <w:bCs/>
          <w:vertAlign w:val="subscript"/>
        </w:rPr>
        <w:t>NPs</w:t>
      </w:r>
      <w:r>
        <w:rPr>
          <w:bCs/>
        </w:rPr>
        <w:t>/Fe</w:t>
      </w:r>
      <w:r>
        <w:rPr>
          <w:bCs/>
          <w:vertAlign w:val="subscript"/>
        </w:rPr>
        <w:t>SAC</w:t>
      </w:r>
      <w:r>
        <w:t xml:space="preserve"> with other reported catalysts</w:t>
      </w:r>
      <w:bookmarkEnd w:id="6"/>
      <w:r>
        <w:t>.</w:t>
      </w:r>
    </w:p>
    <w:tbl>
      <w:tblPr>
        <w:tblStyle w:val="afffd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276"/>
        <w:gridCol w:w="1417"/>
        <w:gridCol w:w="2410"/>
        <w:gridCol w:w="1985"/>
      </w:tblGrid>
      <w:tr w:rsidR="00FA03AE" w14:paraId="75BD7A4C" w14:textId="77777777">
        <w:trPr>
          <w:trHeight w:val="706"/>
          <w:jc w:val="center"/>
        </w:trPr>
        <w:tc>
          <w:tcPr>
            <w:tcW w:w="1560" w:type="dxa"/>
            <w:shd w:val="clear" w:color="auto" w:fill="B8CCE4" w:themeFill="accent1" w:themeFillTint="66"/>
            <w:vAlign w:val="center"/>
          </w:tcPr>
          <w:p w14:paraId="04A4CE2C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lang w:eastAsia="zh-CN"/>
              </w:rPr>
            </w:pPr>
            <w:r>
              <w:rPr>
                <w:b/>
                <w:color w:val="000000"/>
                <w:lang w:eastAsia="zh-CN"/>
              </w:rPr>
              <w:t>Catalyst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41861D6A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lang w:eastAsia="zh-CN"/>
              </w:rPr>
            </w:pPr>
            <w:r>
              <w:rPr>
                <w:b/>
                <w:color w:val="000000"/>
                <w:lang w:eastAsia="zh-CN"/>
              </w:rPr>
              <w:t>Electrolyte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1234486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i/>
                <w:color w:val="000000"/>
                <w:lang w:eastAsia="zh-CN"/>
              </w:rPr>
            </w:pPr>
            <w:r>
              <w:rPr>
                <w:rFonts w:eastAsia="AdvTTR"/>
                <w:b/>
                <w:i/>
                <w:lang w:eastAsia="zh-CN"/>
              </w:rPr>
              <w:t>c</w:t>
            </w:r>
            <w:r>
              <w:rPr>
                <w:rFonts w:eastAsia="AdvTTR"/>
                <w:b/>
                <w:iCs/>
                <w:vertAlign w:val="subscript"/>
                <w:lang w:eastAsia="zh-CN"/>
              </w:rPr>
              <w:t>NO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14:paraId="51089A6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i/>
                <w:color w:val="000000"/>
                <w:lang w:eastAsia="zh-CN"/>
              </w:rPr>
            </w:pPr>
            <w:r>
              <w:rPr>
                <w:rFonts w:eastAsia="AdvTTR"/>
                <w:b/>
                <w:lang w:eastAsia="zh-CN"/>
              </w:rPr>
              <w:t>Potential (V)</w:t>
            </w:r>
          </w:p>
        </w:tc>
        <w:tc>
          <w:tcPr>
            <w:tcW w:w="2410" w:type="dxa"/>
            <w:shd w:val="clear" w:color="auto" w:fill="B8CCE4" w:themeFill="accent1" w:themeFillTint="66"/>
            <w:vAlign w:val="center"/>
          </w:tcPr>
          <w:p w14:paraId="521927F4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lang w:eastAsia="zh-CN"/>
              </w:rPr>
            </w:pPr>
            <w:r>
              <w:rPr>
                <w:b/>
                <w:color w:val="000000"/>
                <w:lang w:eastAsia="zh-CN"/>
              </w:rPr>
              <w:t>Performance</w:t>
            </w: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2A1EAC1C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lang w:eastAsia="zh-CN"/>
              </w:rPr>
            </w:pPr>
            <w:r>
              <w:rPr>
                <w:b/>
                <w:color w:val="000000"/>
                <w:lang w:eastAsia="zh-CN"/>
              </w:rPr>
              <w:t>Ref.</w:t>
            </w:r>
          </w:p>
        </w:tc>
      </w:tr>
      <w:tr w:rsidR="00FA03AE" w14:paraId="001E72D0" w14:textId="77777777">
        <w:trPr>
          <w:trHeight w:val="276"/>
          <w:jc w:val="center"/>
        </w:trPr>
        <w:tc>
          <w:tcPr>
            <w:tcW w:w="1560" w:type="dxa"/>
            <w:vMerge w:val="restart"/>
            <w:vAlign w:val="center"/>
          </w:tcPr>
          <w:p w14:paraId="0109A46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FF0000"/>
                <w:szCs w:val="24"/>
                <w:lang w:eastAsia="zh-CN"/>
              </w:rPr>
            </w:pPr>
            <w:r>
              <w:rPr>
                <w:bCs/>
                <w:color w:val="FF0000"/>
                <w:szCs w:val="24"/>
                <w:lang w:eastAsia="zh-CN"/>
              </w:rPr>
              <w:t xml:space="preserve">Pt </w:t>
            </w:r>
            <w:r>
              <w:rPr>
                <w:bCs/>
                <w:color w:val="FF0000"/>
                <w:szCs w:val="24"/>
                <w:vertAlign w:val="subscript"/>
                <w:lang w:eastAsia="zh-CN"/>
              </w:rPr>
              <w:t>NPs</w:t>
            </w:r>
            <w:r>
              <w:rPr>
                <w:bCs/>
                <w:color w:val="FF0000"/>
                <w:szCs w:val="24"/>
                <w:lang w:eastAsia="zh-CN"/>
              </w:rPr>
              <w:t>/Fe</w:t>
            </w:r>
            <w:r>
              <w:rPr>
                <w:bCs/>
                <w:color w:val="FF0000"/>
                <w:szCs w:val="24"/>
                <w:vertAlign w:val="subscript"/>
                <w:lang w:eastAsia="zh-CN"/>
              </w:rPr>
              <w:t>SAC</w:t>
            </w:r>
          </w:p>
        </w:tc>
        <w:tc>
          <w:tcPr>
            <w:tcW w:w="1701" w:type="dxa"/>
            <w:vAlign w:val="center"/>
          </w:tcPr>
          <w:p w14:paraId="69F5DC50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0.5 M K</w:t>
            </w:r>
            <w:r>
              <w:rPr>
                <w:color w:val="FF0000"/>
                <w:szCs w:val="24"/>
                <w:vertAlign w:val="subscript"/>
                <w:lang w:eastAsia="zh-CN"/>
              </w:rPr>
              <w:t>2</w:t>
            </w:r>
            <w:r>
              <w:rPr>
                <w:color w:val="FF0000"/>
                <w:szCs w:val="24"/>
                <w:lang w:eastAsia="zh-CN"/>
              </w:rPr>
              <w:t>SO</w:t>
            </w:r>
            <w:r>
              <w:rPr>
                <w:color w:val="FF0000"/>
                <w:szCs w:val="24"/>
                <w:vertAlign w:val="subscript"/>
                <w:lang w:eastAsia="zh-CN"/>
              </w:rPr>
              <w:t xml:space="preserve">4 </w:t>
            </w:r>
            <w:r>
              <w:rPr>
                <w:color w:val="FF0000"/>
                <w:szCs w:val="24"/>
                <w:lang w:eastAsia="zh-CN"/>
              </w:rPr>
              <w:t>+ 50 mM SB</w:t>
            </w:r>
          </w:p>
        </w:tc>
        <w:tc>
          <w:tcPr>
            <w:tcW w:w="1276" w:type="dxa"/>
            <w:vMerge w:val="restart"/>
            <w:vAlign w:val="center"/>
          </w:tcPr>
          <w:p w14:paraId="1811C66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1 vol%</w:t>
            </w:r>
          </w:p>
        </w:tc>
        <w:tc>
          <w:tcPr>
            <w:tcW w:w="1417" w:type="dxa"/>
            <w:vAlign w:val="center"/>
          </w:tcPr>
          <w:p w14:paraId="7CF60EF9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-0.6</w:t>
            </w:r>
          </w:p>
        </w:tc>
        <w:tc>
          <w:tcPr>
            <w:tcW w:w="2410" w:type="dxa"/>
            <w:vAlign w:val="center"/>
          </w:tcPr>
          <w:p w14:paraId="06A95C5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Y=</w:t>
            </w:r>
            <w:r>
              <w:rPr>
                <w:iCs/>
                <w:color w:val="FF0000"/>
                <w:szCs w:val="24"/>
                <w:lang w:eastAsia="zh-CN"/>
              </w:rPr>
              <w:t>709.7</w:t>
            </w:r>
            <w:r>
              <w:rPr>
                <w:color w:val="FF0000"/>
                <w:szCs w:val="24"/>
                <w:lang w:eastAsia="zh-CN"/>
              </w:rPr>
              <w:t xml:space="preserve"> μg h</w:t>
            </w:r>
            <w:r>
              <w:rPr>
                <w:color w:val="FF0000"/>
                <w:szCs w:val="24"/>
                <w:vertAlign w:val="superscript"/>
                <w:lang w:eastAsia="zh-CN"/>
              </w:rPr>
              <w:t>-1</w:t>
            </w:r>
            <w:r>
              <w:rPr>
                <w:color w:val="FF0000"/>
                <w:szCs w:val="24"/>
                <w:lang w:eastAsia="zh-CN"/>
              </w:rPr>
              <w:t>mg</w:t>
            </w:r>
            <w:r>
              <w:rPr>
                <w:color w:val="FF0000"/>
                <w:szCs w:val="24"/>
                <w:vertAlign w:val="superscript"/>
                <w:lang w:eastAsia="zh-CN"/>
              </w:rPr>
              <w:t>-1</w:t>
            </w:r>
            <w:r>
              <w:rPr>
                <w:color w:val="FF0000"/>
                <w:szCs w:val="24"/>
                <w:lang w:eastAsia="zh-CN"/>
              </w:rPr>
              <w:t xml:space="preserve"> </w:t>
            </w:r>
          </w:p>
          <w:p w14:paraId="2A4784F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FE=90.3%</w:t>
            </w:r>
          </w:p>
        </w:tc>
        <w:tc>
          <w:tcPr>
            <w:tcW w:w="1985" w:type="dxa"/>
            <w:vMerge w:val="restart"/>
            <w:vAlign w:val="center"/>
          </w:tcPr>
          <w:p w14:paraId="14C5B787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This work</w:t>
            </w:r>
          </w:p>
        </w:tc>
      </w:tr>
      <w:tr w:rsidR="00FA03AE" w14:paraId="0E21D60A" w14:textId="77777777">
        <w:trPr>
          <w:trHeight w:val="275"/>
          <w:jc w:val="center"/>
        </w:trPr>
        <w:tc>
          <w:tcPr>
            <w:tcW w:w="1560" w:type="dxa"/>
            <w:vMerge/>
            <w:vAlign w:val="center"/>
          </w:tcPr>
          <w:p w14:paraId="2B2754F4" w14:textId="77777777" w:rsidR="00FA03AE" w:rsidRDefault="00FA03AE">
            <w:pPr>
              <w:spacing w:beforeLines="150" w:before="360" w:afterLines="150" w:after="360" w:line="360" w:lineRule="auto"/>
              <w:jc w:val="center"/>
              <w:rPr>
                <w:bCs/>
                <w:color w:val="FF0000"/>
                <w:szCs w:val="24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14:paraId="1EF2E1B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/</w:t>
            </w:r>
          </w:p>
        </w:tc>
        <w:tc>
          <w:tcPr>
            <w:tcW w:w="1276" w:type="dxa"/>
            <w:vMerge/>
            <w:vAlign w:val="center"/>
          </w:tcPr>
          <w:p w14:paraId="66CB1ABA" w14:textId="77777777" w:rsidR="00FA03AE" w:rsidRDefault="00FA03AE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18CD3035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1.6 V vs. cell voltage</w:t>
            </w:r>
          </w:p>
        </w:tc>
        <w:tc>
          <w:tcPr>
            <w:tcW w:w="2410" w:type="dxa"/>
            <w:vAlign w:val="center"/>
          </w:tcPr>
          <w:p w14:paraId="12BF248B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iCs/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Y=</w:t>
            </w:r>
            <w:r>
              <w:rPr>
                <w:iCs/>
                <w:color w:val="FF0000"/>
                <w:szCs w:val="24"/>
                <w:lang w:eastAsia="zh-CN"/>
              </w:rPr>
              <w:t>3</w:t>
            </w:r>
            <w:r>
              <w:rPr>
                <w:rFonts w:hint="eastAsia"/>
                <w:iCs/>
                <w:color w:val="FF0000"/>
                <w:szCs w:val="24"/>
                <w:lang w:eastAsia="zh-CN"/>
              </w:rPr>
              <w:t>1</w:t>
            </w:r>
            <w:r>
              <w:rPr>
                <w:iCs/>
                <w:color w:val="FF0000"/>
                <w:szCs w:val="24"/>
                <w:lang w:eastAsia="zh-CN"/>
              </w:rPr>
              <w:t xml:space="preserve">23.8 </w:t>
            </w:r>
            <w:r>
              <w:rPr>
                <w:color w:val="FF0000"/>
                <w:szCs w:val="24"/>
                <w:lang w:eastAsia="zh-CN"/>
              </w:rPr>
              <w:t>μg</w:t>
            </w:r>
            <w:r>
              <w:rPr>
                <w:iCs/>
                <w:color w:val="FF0000"/>
                <w:szCs w:val="24"/>
                <w:lang w:eastAsia="zh-CN"/>
              </w:rPr>
              <w:t xml:space="preserve"> h</w:t>
            </w:r>
            <w:r>
              <w:rPr>
                <w:iCs/>
                <w:color w:val="FF0000"/>
                <w:szCs w:val="24"/>
                <w:vertAlign w:val="superscript"/>
                <w:lang w:eastAsia="zh-CN"/>
              </w:rPr>
              <w:t>-1</w:t>
            </w:r>
            <w:r>
              <w:rPr>
                <w:iCs/>
                <w:color w:val="FF0000"/>
                <w:szCs w:val="24"/>
                <w:lang w:eastAsia="zh-CN"/>
              </w:rPr>
              <w:t xml:space="preserve"> mg</w:t>
            </w:r>
            <w:r>
              <w:rPr>
                <w:iCs/>
                <w:color w:val="FF0000"/>
                <w:szCs w:val="24"/>
                <w:vertAlign w:val="superscript"/>
                <w:lang w:eastAsia="zh-CN"/>
              </w:rPr>
              <w:t>-1</w:t>
            </w:r>
          </w:p>
          <w:p w14:paraId="49E9A051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FF0000"/>
                <w:szCs w:val="24"/>
                <w:lang w:eastAsia="zh-CN"/>
              </w:rPr>
              <w:t>FE=94.5%</w:t>
            </w:r>
          </w:p>
        </w:tc>
        <w:tc>
          <w:tcPr>
            <w:tcW w:w="1985" w:type="dxa"/>
            <w:vMerge/>
            <w:vAlign w:val="center"/>
          </w:tcPr>
          <w:p w14:paraId="22B829A1" w14:textId="77777777" w:rsidR="00FA03AE" w:rsidRDefault="00FA03AE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</w:p>
        </w:tc>
      </w:tr>
      <w:tr w:rsidR="00FA03AE" w14:paraId="6C481999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431CFB39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bCs/>
                <w:color w:val="FF0000"/>
                <w:szCs w:val="24"/>
                <w:lang w:eastAsia="zh-CN"/>
              </w:rPr>
            </w:pPr>
            <w:r>
              <w:rPr>
                <w:b/>
                <w:bCs/>
                <w:szCs w:val="24"/>
                <w:lang w:eastAsia="zh-CN"/>
              </w:rPr>
              <w:t>Ni@NC</w:t>
            </w:r>
          </w:p>
        </w:tc>
        <w:tc>
          <w:tcPr>
            <w:tcW w:w="1701" w:type="dxa"/>
            <w:vAlign w:val="center"/>
          </w:tcPr>
          <w:p w14:paraId="49DE9F6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 M HCl</w:t>
            </w:r>
          </w:p>
        </w:tc>
        <w:tc>
          <w:tcPr>
            <w:tcW w:w="1276" w:type="dxa"/>
            <w:vAlign w:val="center"/>
          </w:tcPr>
          <w:p w14:paraId="7C955F18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99.9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096E1C86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FF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0.16</w:t>
            </w:r>
          </w:p>
        </w:tc>
        <w:tc>
          <w:tcPr>
            <w:tcW w:w="2410" w:type="dxa"/>
            <w:vAlign w:val="center"/>
          </w:tcPr>
          <w:p w14:paraId="6048FD72" w14:textId="77777777" w:rsidR="00FA03AE" w:rsidRDefault="00000000">
            <w:pPr>
              <w:spacing w:beforeLines="150" w:before="360" w:afterLines="150" w:after="360" w:line="360" w:lineRule="auto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Y=</w:t>
            </w:r>
            <w:r>
              <w:rPr>
                <w:lang w:eastAsia="zh-CN"/>
              </w:rPr>
              <w:t xml:space="preserve"> </w:t>
            </w:r>
            <w:r>
              <w:rPr>
                <w:szCs w:val="24"/>
                <w:lang w:eastAsia="zh-CN"/>
              </w:rPr>
              <w:t>1233.2 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6B2FE42A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FE=92.5%</w:t>
            </w:r>
          </w:p>
        </w:tc>
        <w:tc>
          <w:tcPr>
            <w:tcW w:w="1985" w:type="dxa"/>
            <w:vAlign w:val="center"/>
          </w:tcPr>
          <w:p w14:paraId="275112B9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szCs w:val="24"/>
                <w:lang w:eastAsia="zh-CN"/>
              </w:rPr>
            </w:pPr>
            <w:r>
              <w:rPr>
                <w:i/>
                <w:iCs/>
                <w:szCs w:val="24"/>
                <w:lang w:eastAsia="zh-CN"/>
              </w:rPr>
              <w:t>Adv. Sci.</w:t>
            </w:r>
            <w:r>
              <w:rPr>
                <w:szCs w:val="24"/>
                <w:lang w:eastAsia="zh-CN"/>
              </w:rPr>
              <w:t xml:space="preserve"> 2022, 9, 2201410</w:t>
            </w:r>
          </w:p>
        </w:tc>
      </w:tr>
      <w:tr w:rsidR="00FA03AE" w14:paraId="0C61DE46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250AECFB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TiO</w:t>
            </w:r>
            <w:r>
              <w:rPr>
                <w:b/>
                <w:color w:val="000000"/>
                <w:szCs w:val="24"/>
                <w:vertAlign w:val="subscript"/>
                <w:lang w:eastAsia="zh-CN"/>
              </w:rPr>
              <w:t>2-x</w:t>
            </w:r>
          </w:p>
        </w:tc>
        <w:tc>
          <w:tcPr>
            <w:tcW w:w="1701" w:type="dxa"/>
            <w:vAlign w:val="center"/>
          </w:tcPr>
          <w:p w14:paraId="2F323054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0.2 M PBS</w:t>
            </w:r>
          </w:p>
        </w:tc>
        <w:tc>
          <w:tcPr>
            <w:tcW w:w="1276" w:type="dxa"/>
            <w:vAlign w:val="center"/>
          </w:tcPr>
          <w:p w14:paraId="3374C38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10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217D2686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-0.4 </w:t>
            </w:r>
          </w:p>
        </w:tc>
        <w:tc>
          <w:tcPr>
            <w:tcW w:w="2410" w:type="dxa"/>
            <w:vAlign w:val="center"/>
          </w:tcPr>
          <w:p w14:paraId="593BA36B" w14:textId="77777777" w:rsidR="00FA03AE" w:rsidRDefault="00000000">
            <w:pPr>
              <w:spacing w:beforeLines="150" w:before="360" w:afterLines="150" w:after="360" w:line="360" w:lineRule="auto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Y=588.2 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5FF91750" w14:textId="77777777" w:rsidR="00FA03AE" w:rsidRDefault="00000000">
            <w:pPr>
              <w:spacing w:beforeLines="150" w:before="360" w:afterLines="150" w:after="360" w:line="360" w:lineRule="auto"/>
              <w:rPr>
                <w:bCs/>
                <w:color w:val="000000"/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FE=72.3%</w:t>
            </w:r>
          </w:p>
        </w:tc>
        <w:tc>
          <w:tcPr>
            <w:tcW w:w="1985" w:type="dxa"/>
            <w:vAlign w:val="center"/>
          </w:tcPr>
          <w:p w14:paraId="720030E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i/>
                <w:iCs/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 xml:space="preserve">Small </w:t>
            </w:r>
            <w:r>
              <w:rPr>
                <w:color w:val="000000"/>
                <w:szCs w:val="24"/>
                <w:lang w:eastAsia="zh-CN"/>
              </w:rPr>
              <w:t>2023</w:t>
            </w:r>
            <w:r>
              <w:rPr>
                <w:i/>
                <w:iCs/>
                <w:color w:val="000000"/>
                <w:szCs w:val="24"/>
                <w:lang w:eastAsia="zh-CN"/>
              </w:rPr>
              <w:t xml:space="preserve">, </w:t>
            </w:r>
            <w:r>
              <w:rPr>
                <w:color w:val="000000"/>
                <w:szCs w:val="24"/>
                <w:lang w:eastAsia="zh-CN"/>
              </w:rPr>
              <w:t>19, 2300291</w:t>
            </w:r>
          </w:p>
        </w:tc>
      </w:tr>
      <w:tr w:rsidR="00FA03AE" w14:paraId="646F5375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2198E5BE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MoS</w:t>
            </w:r>
            <w:r>
              <w:rPr>
                <w:b/>
                <w:color w:val="000000"/>
                <w:szCs w:val="24"/>
                <w:vertAlign w:val="subscript"/>
                <w:lang w:eastAsia="zh-CN"/>
              </w:rPr>
              <w:t>2</w:t>
            </w:r>
            <w:r>
              <w:rPr>
                <w:b/>
                <w:color w:val="000000"/>
                <w:szCs w:val="24"/>
                <w:lang w:eastAsia="zh-CN"/>
              </w:rPr>
              <w:t>/GF</w:t>
            </w:r>
          </w:p>
        </w:tc>
        <w:tc>
          <w:tcPr>
            <w:tcW w:w="1701" w:type="dxa"/>
            <w:vAlign w:val="center"/>
          </w:tcPr>
          <w:p w14:paraId="01B27A5A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 M HCl +0.5 mM Fe</w:t>
            </w:r>
            <w:r>
              <w:rPr>
                <w:color w:val="000000"/>
                <w:szCs w:val="24"/>
                <w:vertAlign w:val="superscript"/>
                <w:lang w:eastAsia="zh-CN"/>
              </w:rPr>
              <w:t>II</w:t>
            </w:r>
            <w:r>
              <w:rPr>
                <w:color w:val="000000"/>
                <w:szCs w:val="24"/>
                <w:lang w:eastAsia="zh-CN"/>
              </w:rPr>
              <w:t>SB</w:t>
            </w:r>
          </w:p>
        </w:tc>
        <w:tc>
          <w:tcPr>
            <w:tcW w:w="1276" w:type="dxa"/>
            <w:vAlign w:val="center"/>
          </w:tcPr>
          <w:p w14:paraId="370C776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10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744CB647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-0.7</w:t>
            </w:r>
          </w:p>
        </w:tc>
        <w:tc>
          <w:tcPr>
            <w:tcW w:w="2410" w:type="dxa"/>
            <w:vAlign w:val="center"/>
          </w:tcPr>
          <w:p w14:paraId="3DF9C42B" w14:textId="77777777" w:rsidR="00FA03AE" w:rsidRDefault="00000000">
            <w:pPr>
              <w:spacing w:beforeLines="150" w:before="360" w:afterLines="150" w:after="360" w:line="360" w:lineRule="auto"/>
              <w:rPr>
                <w:bCs/>
                <w:color w:val="000000"/>
                <w:szCs w:val="24"/>
                <w:lang w:eastAsia="zh-CN"/>
              </w:rPr>
            </w:pPr>
            <w:r>
              <w:rPr>
                <w:bCs/>
                <w:color w:val="000000"/>
                <w:szCs w:val="24"/>
                <w:lang w:eastAsia="zh-CN"/>
              </w:rPr>
              <w:t xml:space="preserve">Y=281.1 </w:t>
            </w:r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31E7818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Cs/>
                <w:color w:val="000000"/>
                <w:szCs w:val="24"/>
                <w:lang w:eastAsia="zh-CN"/>
              </w:rPr>
            </w:pPr>
            <w:r>
              <w:rPr>
                <w:bCs/>
                <w:color w:val="000000"/>
                <w:szCs w:val="24"/>
                <w:lang w:eastAsia="zh-CN"/>
              </w:rPr>
              <w:t>FE=76.6%</w:t>
            </w:r>
          </w:p>
        </w:tc>
        <w:tc>
          <w:tcPr>
            <w:tcW w:w="1985" w:type="dxa"/>
            <w:vAlign w:val="center"/>
          </w:tcPr>
          <w:p w14:paraId="19621FEC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>Angew. Chem. Int. Ed.</w:t>
            </w:r>
            <w:r>
              <w:rPr>
                <w:color w:val="000000"/>
                <w:szCs w:val="24"/>
                <w:lang w:eastAsia="zh-CN"/>
              </w:rPr>
              <w:t xml:space="preserve"> 2021, 60, 25263–25268</w:t>
            </w:r>
          </w:p>
        </w:tc>
      </w:tr>
      <w:tr w:rsidR="00FA03AE" w14:paraId="7182FF24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1DE1AE96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lastRenderedPageBreak/>
              <w:t>Cu@Co</w:t>
            </w:r>
          </w:p>
        </w:tc>
        <w:tc>
          <w:tcPr>
            <w:tcW w:w="1701" w:type="dxa"/>
            <w:vAlign w:val="center"/>
          </w:tcPr>
          <w:p w14:paraId="75F3665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 M Na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2</w:t>
            </w:r>
            <w:r>
              <w:rPr>
                <w:color w:val="000000"/>
                <w:szCs w:val="24"/>
                <w:lang w:eastAsia="zh-CN"/>
              </w:rPr>
              <w:t>SO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276" w:type="dxa"/>
            <w:vAlign w:val="center"/>
          </w:tcPr>
          <w:p w14:paraId="15AAEEA1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1 vol%</w:t>
            </w:r>
          </w:p>
        </w:tc>
        <w:tc>
          <w:tcPr>
            <w:tcW w:w="1417" w:type="dxa"/>
            <w:vAlign w:val="center"/>
          </w:tcPr>
          <w:p w14:paraId="59915F3E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-0.5</w:t>
            </w:r>
          </w:p>
        </w:tc>
        <w:tc>
          <w:tcPr>
            <w:tcW w:w="2410" w:type="dxa"/>
            <w:vAlign w:val="center"/>
          </w:tcPr>
          <w:p w14:paraId="38FFB5A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Y=78.4 </w:t>
            </w:r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44E973C1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FE=76.54%</w:t>
            </w:r>
          </w:p>
        </w:tc>
        <w:tc>
          <w:tcPr>
            <w:tcW w:w="1985" w:type="dxa"/>
            <w:vAlign w:val="center"/>
          </w:tcPr>
          <w:p w14:paraId="4B0A9F0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>Adv. Mater.</w:t>
            </w:r>
            <w:r>
              <w:rPr>
                <w:color w:val="000000"/>
                <w:szCs w:val="24"/>
                <w:lang w:eastAsia="zh-CN"/>
              </w:rPr>
              <w:t xml:space="preserve"> 2024, 36, 2309470</w:t>
            </w:r>
          </w:p>
        </w:tc>
      </w:tr>
      <w:tr w:rsidR="00FA03AE" w14:paraId="678706B2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49830C1A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bCs/>
                <w:szCs w:val="24"/>
                <w:lang w:eastAsia="zh-CN"/>
              </w:rPr>
              <w:t>FeOCl-V</w:t>
            </w:r>
            <w:r>
              <w:rPr>
                <w:b/>
                <w:bCs/>
                <w:szCs w:val="24"/>
                <w:vertAlign w:val="subscript"/>
                <w:lang w:eastAsia="zh-CN"/>
              </w:rPr>
              <w:t>Cl</w:t>
            </w:r>
          </w:p>
        </w:tc>
        <w:tc>
          <w:tcPr>
            <w:tcW w:w="1701" w:type="dxa"/>
            <w:vAlign w:val="center"/>
          </w:tcPr>
          <w:p w14:paraId="43741D6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 M HCl+50 mM SB</w:t>
            </w:r>
          </w:p>
        </w:tc>
        <w:tc>
          <w:tcPr>
            <w:tcW w:w="1276" w:type="dxa"/>
            <w:vAlign w:val="center"/>
          </w:tcPr>
          <w:p w14:paraId="58980D9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1.0 </w:t>
            </w:r>
            <w:r>
              <w:rPr>
                <w:szCs w:val="24"/>
                <w:lang w:eastAsia="zh-CN"/>
              </w:rPr>
              <w:t>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5C4D7321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-0.5</w:t>
            </w:r>
          </w:p>
        </w:tc>
        <w:tc>
          <w:tcPr>
            <w:tcW w:w="2410" w:type="dxa"/>
            <w:vAlign w:val="center"/>
          </w:tcPr>
          <w:p w14:paraId="224691B5" w14:textId="77777777" w:rsidR="00FA03AE" w:rsidRDefault="00000000">
            <w:pPr>
              <w:spacing w:beforeLines="150" w:before="360" w:afterLines="150" w:after="360" w:line="360" w:lineRule="auto"/>
              <w:rPr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Y=</w:t>
            </w:r>
            <w:r>
              <w:rPr>
                <w:szCs w:val="24"/>
                <w:lang w:eastAsia="zh-CN"/>
              </w:rPr>
              <w:t>455.4 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085082A2" w14:textId="77777777" w:rsidR="00FA03AE" w:rsidRDefault="00000000">
            <w:pPr>
              <w:spacing w:beforeLines="150" w:before="360" w:afterLines="150" w:after="360" w:line="360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FE=91.06%</w:t>
            </w:r>
          </w:p>
        </w:tc>
        <w:tc>
          <w:tcPr>
            <w:tcW w:w="1985" w:type="dxa"/>
            <w:vAlign w:val="center"/>
          </w:tcPr>
          <w:p w14:paraId="13B024F8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i/>
                <w:iCs/>
                <w:color w:val="000000"/>
                <w:szCs w:val="24"/>
                <w:lang w:val="de-DE" w:eastAsia="zh-CN"/>
              </w:rPr>
            </w:pPr>
            <w:r>
              <w:rPr>
                <w:i/>
                <w:iCs/>
                <w:color w:val="000000"/>
                <w:szCs w:val="24"/>
                <w:lang w:val="de-DE" w:eastAsia="zh-CN"/>
              </w:rPr>
              <w:t>Angew. Chem. Int. Ed.</w:t>
            </w:r>
            <w:r>
              <w:rPr>
                <w:color w:val="000000"/>
                <w:szCs w:val="24"/>
                <w:lang w:val="de-DE" w:eastAsia="zh-CN"/>
              </w:rPr>
              <w:t xml:space="preserve"> 2024, 63, e202318792</w:t>
            </w:r>
          </w:p>
        </w:tc>
      </w:tr>
      <w:tr w:rsidR="00FA03AE" w14:paraId="65D3043B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4218DB3E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Ru</w:t>
            </w:r>
            <w:r>
              <w:rPr>
                <w:b/>
                <w:color w:val="000000"/>
                <w:szCs w:val="24"/>
                <w:vertAlign w:val="subscript"/>
                <w:lang w:eastAsia="zh-CN"/>
              </w:rPr>
              <w:t>0.05</w:t>
            </w:r>
            <w:r>
              <w:rPr>
                <w:b/>
                <w:color w:val="000000"/>
                <w:szCs w:val="24"/>
                <w:lang w:eastAsia="zh-CN"/>
              </w:rPr>
              <w:t>Cu</w:t>
            </w:r>
            <w:r>
              <w:rPr>
                <w:b/>
                <w:color w:val="000000"/>
                <w:szCs w:val="24"/>
                <w:vertAlign w:val="subscript"/>
                <w:lang w:eastAsia="zh-CN"/>
              </w:rPr>
              <w:t>0.95</w:t>
            </w:r>
          </w:p>
        </w:tc>
        <w:tc>
          <w:tcPr>
            <w:tcW w:w="1701" w:type="dxa"/>
            <w:vAlign w:val="center"/>
          </w:tcPr>
          <w:p w14:paraId="4E9FA7AC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0.5 M Na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2</w:t>
            </w:r>
            <w:r>
              <w:rPr>
                <w:color w:val="000000"/>
                <w:szCs w:val="24"/>
                <w:lang w:eastAsia="zh-CN"/>
              </w:rPr>
              <w:t>SO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276" w:type="dxa"/>
            <w:vAlign w:val="center"/>
          </w:tcPr>
          <w:p w14:paraId="5DF05CA1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25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691E82F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-1.1</w:t>
            </w:r>
          </w:p>
        </w:tc>
        <w:tc>
          <w:tcPr>
            <w:tcW w:w="2410" w:type="dxa"/>
            <w:vAlign w:val="center"/>
          </w:tcPr>
          <w:p w14:paraId="529284C9" w14:textId="77777777" w:rsidR="00FA03AE" w:rsidRDefault="00000000">
            <w:pPr>
              <w:spacing w:beforeLines="150" w:before="360" w:afterLines="150" w:after="360" w:line="360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Y=300.6 </w:t>
            </w:r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59FCEB0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FE=64.9%</w:t>
            </w:r>
          </w:p>
        </w:tc>
        <w:tc>
          <w:tcPr>
            <w:tcW w:w="1985" w:type="dxa"/>
            <w:vAlign w:val="center"/>
          </w:tcPr>
          <w:p w14:paraId="56D288B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>Sci. China Chem.</w:t>
            </w:r>
            <w:r>
              <w:rPr>
                <w:color w:val="000000"/>
                <w:szCs w:val="24"/>
                <w:lang w:eastAsia="zh-CN"/>
              </w:rPr>
              <w:t xml:space="preserve"> 2021, 64, 1493–1497</w:t>
            </w:r>
          </w:p>
        </w:tc>
      </w:tr>
      <w:tr w:rsidR="00FA03AE" w14:paraId="6303D03C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6B563707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CuFe DS/NC</w:t>
            </w:r>
          </w:p>
        </w:tc>
        <w:tc>
          <w:tcPr>
            <w:tcW w:w="1701" w:type="dxa"/>
            <w:vAlign w:val="center"/>
          </w:tcPr>
          <w:p w14:paraId="658A017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0.1 M Na</w:t>
            </w:r>
            <w:r>
              <w:rPr>
                <w:szCs w:val="24"/>
                <w:vertAlign w:val="subscript"/>
                <w:lang w:eastAsia="zh-CN"/>
              </w:rPr>
              <w:t>2</w:t>
            </w:r>
            <w:r>
              <w:rPr>
                <w:szCs w:val="24"/>
                <w:lang w:eastAsia="zh-CN"/>
              </w:rPr>
              <w:t>SO</w:t>
            </w:r>
            <w:r>
              <w:rPr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276" w:type="dxa"/>
            <w:vAlign w:val="center"/>
          </w:tcPr>
          <w:p w14:paraId="7A6686FE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99.9 </w:t>
            </w:r>
            <w:r>
              <w:rPr>
                <w:szCs w:val="24"/>
                <w:lang w:eastAsia="zh-CN"/>
              </w:rPr>
              <w:t>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4A55C5E5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-0.6</w:t>
            </w:r>
          </w:p>
        </w:tc>
        <w:tc>
          <w:tcPr>
            <w:tcW w:w="2410" w:type="dxa"/>
            <w:vAlign w:val="center"/>
          </w:tcPr>
          <w:p w14:paraId="5795B356" w14:textId="77777777" w:rsidR="00FA03AE" w:rsidRDefault="00000000">
            <w:pPr>
              <w:spacing w:beforeLines="150" w:before="360" w:afterLines="150" w:after="360" w:line="360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Y=3188.1 </w:t>
            </w:r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250DDF95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FE=90%</w:t>
            </w:r>
          </w:p>
        </w:tc>
        <w:tc>
          <w:tcPr>
            <w:tcW w:w="1985" w:type="dxa"/>
            <w:vAlign w:val="center"/>
          </w:tcPr>
          <w:p w14:paraId="20471BD7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i/>
                <w:iCs/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>Adv. Mater.</w:t>
            </w:r>
            <w:r>
              <w:rPr>
                <w:color w:val="000000"/>
                <w:szCs w:val="24"/>
                <w:lang w:eastAsia="zh-CN"/>
              </w:rPr>
              <w:t xml:space="preserve"> 2024, 36, 2309470</w:t>
            </w:r>
          </w:p>
        </w:tc>
      </w:tr>
      <w:tr w:rsidR="00FA03AE" w14:paraId="491E1739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2458726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Ru-LCN</w:t>
            </w:r>
          </w:p>
        </w:tc>
        <w:tc>
          <w:tcPr>
            <w:tcW w:w="1701" w:type="dxa"/>
            <w:vAlign w:val="center"/>
          </w:tcPr>
          <w:p w14:paraId="702A974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0.5 M Na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2</w:t>
            </w:r>
            <w:r>
              <w:rPr>
                <w:color w:val="000000"/>
                <w:szCs w:val="24"/>
                <w:lang w:eastAsia="zh-CN"/>
              </w:rPr>
              <w:t>SO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276" w:type="dxa"/>
            <w:vAlign w:val="center"/>
          </w:tcPr>
          <w:p w14:paraId="2CF9D31C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1 </w:t>
            </w:r>
            <w:r>
              <w:rPr>
                <w:szCs w:val="24"/>
                <w:lang w:eastAsia="zh-CN"/>
              </w:rPr>
              <w:t>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0724B710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-0.2</w:t>
            </w:r>
          </w:p>
        </w:tc>
        <w:tc>
          <w:tcPr>
            <w:tcW w:w="2410" w:type="dxa"/>
            <w:vAlign w:val="center"/>
          </w:tcPr>
          <w:p w14:paraId="268F84C8" w14:textId="77777777" w:rsidR="00FA03AE" w:rsidRDefault="00000000">
            <w:pPr>
              <w:spacing w:beforeLines="150" w:before="360" w:afterLines="150" w:after="360" w:line="360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Y=765.3 </w:t>
            </w:r>
            <w:bookmarkStart w:id="7" w:name="OLE_LINK9"/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bookmarkEnd w:id="7"/>
          </w:p>
          <w:p w14:paraId="6AE5A75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FE=65.96%</w:t>
            </w:r>
          </w:p>
        </w:tc>
        <w:tc>
          <w:tcPr>
            <w:tcW w:w="1985" w:type="dxa"/>
            <w:vAlign w:val="center"/>
          </w:tcPr>
          <w:p w14:paraId="0750FD9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>ACS Energy Lett.</w:t>
            </w:r>
            <w:r>
              <w:rPr>
                <w:color w:val="000000"/>
                <w:szCs w:val="24"/>
                <w:lang w:eastAsia="zh-CN"/>
              </w:rPr>
              <w:t xml:space="preserve"> 2022, 7, 1187−1194</w:t>
            </w:r>
          </w:p>
        </w:tc>
      </w:tr>
      <w:tr w:rsidR="00FA03AE" w14:paraId="71FD6AF7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226DBF79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MnO</w:t>
            </w:r>
            <w:r>
              <w:rPr>
                <w:b/>
                <w:color w:val="000000"/>
                <w:szCs w:val="24"/>
                <w:vertAlign w:val="subscript"/>
                <w:lang w:eastAsia="zh-CN"/>
              </w:rPr>
              <w:t>2-x</w:t>
            </w:r>
            <w:r>
              <w:rPr>
                <w:b/>
                <w:color w:val="000000"/>
                <w:szCs w:val="24"/>
                <w:lang w:eastAsia="zh-CN"/>
              </w:rPr>
              <w:t xml:space="preserve"> NA/TM</w:t>
            </w:r>
          </w:p>
        </w:tc>
        <w:tc>
          <w:tcPr>
            <w:tcW w:w="1701" w:type="dxa"/>
            <w:vAlign w:val="center"/>
          </w:tcPr>
          <w:p w14:paraId="67574FA9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0.2 M Na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2</w:t>
            </w:r>
            <w:r>
              <w:rPr>
                <w:color w:val="000000"/>
                <w:szCs w:val="24"/>
                <w:lang w:eastAsia="zh-CN"/>
              </w:rPr>
              <w:t>SO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276" w:type="dxa"/>
            <w:vAlign w:val="center"/>
          </w:tcPr>
          <w:p w14:paraId="1B97E3E8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10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2D0F092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-0.7</w:t>
            </w:r>
          </w:p>
        </w:tc>
        <w:tc>
          <w:tcPr>
            <w:tcW w:w="2410" w:type="dxa"/>
            <w:vAlign w:val="center"/>
          </w:tcPr>
          <w:p w14:paraId="34DE2CA0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Y=153.0 </w:t>
            </w:r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4A62D6B5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FE=82.8%</w:t>
            </w:r>
          </w:p>
        </w:tc>
        <w:tc>
          <w:tcPr>
            <w:tcW w:w="1985" w:type="dxa"/>
            <w:vAlign w:val="center"/>
          </w:tcPr>
          <w:p w14:paraId="4CD3BCC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 xml:space="preserve">Mater. Today Phys. </w:t>
            </w:r>
            <w:r>
              <w:rPr>
                <w:color w:val="000000"/>
                <w:szCs w:val="24"/>
                <w:lang w:eastAsia="zh-CN"/>
              </w:rPr>
              <w:t xml:space="preserve">2022, </w:t>
            </w:r>
            <w:r>
              <w:rPr>
                <w:i/>
                <w:iCs/>
                <w:color w:val="000000"/>
                <w:szCs w:val="24"/>
                <w:lang w:eastAsia="zh-CN"/>
              </w:rPr>
              <w:t>22</w:t>
            </w:r>
            <w:r>
              <w:rPr>
                <w:color w:val="000000"/>
                <w:szCs w:val="24"/>
                <w:lang w:eastAsia="zh-CN"/>
              </w:rPr>
              <w:t>, 100586.</w:t>
            </w:r>
          </w:p>
        </w:tc>
      </w:tr>
      <w:tr w:rsidR="00FA03AE" w14:paraId="7470D701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21FD75A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lastRenderedPageBreak/>
              <w:t>Bi@C</w:t>
            </w:r>
          </w:p>
        </w:tc>
        <w:tc>
          <w:tcPr>
            <w:tcW w:w="1701" w:type="dxa"/>
            <w:vAlign w:val="center"/>
          </w:tcPr>
          <w:p w14:paraId="13982FB6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0.1 M Na</w:t>
            </w:r>
            <w:r>
              <w:rPr>
                <w:szCs w:val="24"/>
                <w:vertAlign w:val="subscript"/>
                <w:lang w:eastAsia="zh-CN"/>
              </w:rPr>
              <w:t>2</w:t>
            </w:r>
            <w:r>
              <w:rPr>
                <w:szCs w:val="24"/>
                <w:lang w:eastAsia="zh-CN"/>
              </w:rPr>
              <w:t>SO</w:t>
            </w:r>
            <w:r>
              <w:rPr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276" w:type="dxa"/>
            <w:vAlign w:val="center"/>
          </w:tcPr>
          <w:p w14:paraId="506B25FE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10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399D690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-0.4</w:t>
            </w:r>
          </w:p>
        </w:tc>
        <w:tc>
          <w:tcPr>
            <w:tcW w:w="2410" w:type="dxa"/>
            <w:vAlign w:val="center"/>
          </w:tcPr>
          <w:p w14:paraId="66D3E126" w14:textId="77777777" w:rsidR="00FA03AE" w:rsidRDefault="00000000">
            <w:pPr>
              <w:spacing w:beforeLines="150" w:before="360" w:afterLines="150" w:after="360" w:line="360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Y=</w:t>
            </w:r>
            <w:r>
              <w:rPr>
                <w:lang w:eastAsia="zh-CN"/>
              </w:rPr>
              <w:t xml:space="preserve"> </w:t>
            </w:r>
            <w:r>
              <w:rPr>
                <w:color w:val="000000"/>
                <w:szCs w:val="24"/>
                <w:lang w:eastAsia="zh-CN"/>
              </w:rPr>
              <w:t xml:space="preserve">1592.5 </w:t>
            </w:r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69716F4E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FE=93%</w:t>
            </w:r>
          </w:p>
        </w:tc>
        <w:tc>
          <w:tcPr>
            <w:tcW w:w="1985" w:type="dxa"/>
            <w:vAlign w:val="center"/>
          </w:tcPr>
          <w:p w14:paraId="3FC7F0E2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i/>
                <w:iCs/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 xml:space="preserve">Nano Res. </w:t>
            </w:r>
            <w:r>
              <w:rPr>
                <w:color w:val="000000"/>
                <w:szCs w:val="24"/>
                <w:lang w:eastAsia="zh-CN"/>
              </w:rPr>
              <w:t>2022, 15, 5032-5037</w:t>
            </w:r>
          </w:p>
        </w:tc>
      </w:tr>
      <w:tr w:rsidR="00FA03AE" w14:paraId="3C86282F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27F53774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Ni</w:t>
            </w:r>
            <w:r>
              <w:rPr>
                <w:b/>
                <w:color w:val="000000"/>
                <w:szCs w:val="24"/>
                <w:vertAlign w:val="subscript"/>
                <w:lang w:eastAsia="zh-CN"/>
              </w:rPr>
              <w:t>2</w:t>
            </w:r>
            <w:r>
              <w:rPr>
                <w:b/>
                <w:color w:val="000000"/>
                <w:szCs w:val="24"/>
                <w:lang w:eastAsia="zh-CN"/>
              </w:rPr>
              <w:t>P/CP</w:t>
            </w:r>
          </w:p>
        </w:tc>
        <w:tc>
          <w:tcPr>
            <w:tcW w:w="1701" w:type="dxa"/>
            <w:vAlign w:val="center"/>
          </w:tcPr>
          <w:p w14:paraId="055D1AC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 M HCl</w:t>
            </w:r>
          </w:p>
        </w:tc>
        <w:tc>
          <w:tcPr>
            <w:tcW w:w="1276" w:type="dxa"/>
            <w:vAlign w:val="center"/>
          </w:tcPr>
          <w:p w14:paraId="5FDA3D7B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10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5275800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0.16</w:t>
            </w:r>
          </w:p>
        </w:tc>
        <w:tc>
          <w:tcPr>
            <w:tcW w:w="2410" w:type="dxa"/>
            <w:vAlign w:val="center"/>
          </w:tcPr>
          <w:p w14:paraId="00BE9A44" w14:textId="77777777" w:rsidR="00FA03AE" w:rsidRDefault="00000000">
            <w:pPr>
              <w:spacing w:beforeLines="150" w:before="360" w:afterLines="150" w:after="360" w:line="360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Y=</w:t>
            </w:r>
            <w:r>
              <w:rPr>
                <w:lang w:eastAsia="zh-CN"/>
              </w:rPr>
              <w:t xml:space="preserve"> </w:t>
            </w:r>
            <w:r>
              <w:rPr>
                <w:color w:val="000000"/>
                <w:szCs w:val="24"/>
                <w:lang w:eastAsia="zh-CN"/>
              </w:rPr>
              <w:t xml:space="preserve">406.4 </w:t>
            </w:r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2B30DBE0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FE=76.9%</w:t>
            </w:r>
          </w:p>
        </w:tc>
        <w:tc>
          <w:tcPr>
            <w:tcW w:w="1985" w:type="dxa"/>
            <w:vAlign w:val="center"/>
          </w:tcPr>
          <w:p w14:paraId="0C6FEA8F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>J. Mater. Chem. A</w:t>
            </w:r>
            <w:r>
              <w:rPr>
                <w:color w:val="000000"/>
                <w:szCs w:val="24"/>
                <w:lang w:eastAsia="zh-CN"/>
              </w:rPr>
              <w:t xml:space="preserve"> 2021, 9, 24268- 24275</w:t>
            </w:r>
          </w:p>
        </w:tc>
      </w:tr>
      <w:tr w:rsidR="00FA03AE" w14:paraId="7092EA57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01C06610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NiFe-LDH/NSA</w:t>
            </w:r>
          </w:p>
        </w:tc>
        <w:tc>
          <w:tcPr>
            <w:tcW w:w="1701" w:type="dxa"/>
            <w:vAlign w:val="center"/>
          </w:tcPr>
          <w:p w14:paraId="4D181A7A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0.25 M Li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2</w:t>
            </w:r>
            <w:r>
              <w:rPr>
                <w:color w:val="000000"/>
                <w:szCs w:val="24"/>
                <w:lang w:eastAsia="zh-CN"/>
              </w:rPr>
              <w:t>SO</w:t>
            </w:r>
            <w:r>
              <w:rPr>
                <w:color w:val="000000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276" w:type="dxa"/>
            <w:vAlign w:val="center"/>
          </w:tcPr>
          <w:p w14:paraId="30BC89AC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 xml:space="preserve">99.9 </w:t>
            </w:r>
            <w:r>
              <w:rPr>
                <w:szCs w:val="24"/>
                <w:lang w:eastAsia="zh-CN"/>
              </w:rPr>
              <w:t>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4BFA63A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-0.7</w:t>
            </w:r>
          </w:p>
        </w:tc>
        <w:tc>
          <w:tcPr>
            <w:tcW w:w="2410" w:type="dxa"/>
            <w:vAlign w:val="center"/>
          </w:tcPr>
          <w:p w14:paraId="5FCEB5AB" w14:textId="77777777" w:rsidR="00FA03AE" w:rsidRDefault="00000000">
            <w:pPr>
              <w:spacing w:beforeLines="150" w:before="360" w:afterLines="150" w:after="360" w:line="360" w:lineRule="auto"/>
              <w:rPr>
                <w:bCs/>
                <w:color w:val="000000"/>
                <w:szCs w:val="24"/>
                <w:lang w:eastAsia="zh-CN"/>
              </w:rPr>
            </w:pPr>
            <w:r>
              <w:rPr>
                <w:bCs/>
                <w:color w:val="000000"/>
                <w:szCs w:val="24"/>
                <w:lang w:eastAsia="zh-CN"/>
              </w:rPr>
              <w:t xml:space="preserve">Y=1904.0 </w:t>
            </w:r>
            <w:bookmarkStart w:id="8" w:name="OLE_LINK10"/>
            <w:r>
              <w:rPr>
                <w:szCs w:val="24"/>
                <w:lang w:eastAsia="zh-CN"/>
              </w:rPr>
              <w:t>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bookmarkEnd w:id="8"/>
          </w:p>
          <w:p w14:paraId="181C487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bCs/>
                <w:color w:val="000000"/>
                <w:szCs w:val="24"/>
                <w:lang w:eastAsia="zh-CN"/>
              </w:rPr>
              <w:t>FE=</w:t>
            </w:r>
            <w:r>
              <w:rPr>
                <w:szCs w:val="24"/>
                <w:lang w:eastAsia="zh-CN"/>
              </w:rPr>
              <w:t>82.0%</w:t>
            </w:r>
          </w:p>
        </w:tc>
        <w:tc>
          <w:tcPr>
            <w:tcW w:w="1985" w:type="dxa"/>
            <w:vAlign w:val="center"/>
          </w:tcPr>
          <w:p w14:paraId="101429C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Cs w:val="24"/>
                <w:lang w:eastAsia="zh-CN"/>
              </w:rPr>
              <w:t>Chem. Commun.</w:t>
            </w:r>
            <w:r>
              <w:rPr>
                <w:color w:val="000000"/>
                <w:szCs w:val="24"/>
                <w:lang w:eastAsia="zh-CN"/>
              </w:rPr>
              <w:t xml:space="preserve"> 2022, 58, 8097-8100</w:t>
            </w:r>
          </w:p>
        </w:tc>
      </w:tr>
      <w:tr w:rsidR="00FA03AE" w14:paraId="785990D6" w14:textId="77777777">
        <w:trPr>
          <w:trHeight w:val="452"/>
          <w:jc w:val="center"/>
        </w:trPr>
        <w:tc>
          <w:tcPr>
            <w:tcW w:w="1560" w:type="dxa"/>
            <w:vAlign w:val="center"/>
          </w:tcPr>
          <w:p w14:paraId="4F34F6E7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Au-BNC</w:t>
            </w:r>
          </w:p>
        </w:tc>
        <w:tc>
          <w:tcPr>
            <w:tcW w:w="1701" w:type="dxa"/>
            <w:vAlign w:val="center"/>
          </w:tcPr>
          <w:p w14:paraId="3DF0D9F4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0.1 M HCl</w:t>
            </w:r>
          </w:p>
        </w:tc>
        <w:tc>
          <w:tcPr>
            <w:tcW w:w="1276" w:type="dxa"/>
            <w:vAlign w:val="center"/>
          </w:tcPr>
          <w:p w14:paraId="5BE63DE8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99.9</w:t>
            </w:r>
            <w:r>
              <w:rPr>
                <w:szCs w:val="24"/>
                <w:lang w:eastAsia="zh-CN"/>
              </w:rPr>
              <w:t xml:space="preserve"> vol</w:t>
            </w:r>
            <w:r>
              <w:rPr>
                <w:color w:val="000000"/>
                <w:szCs w:val="24"/>
                <w:lang w:eastAsia="zh-CN"/>
              </w:rPr>
              <w:t>%</w:t>
            </w:r>
          </w:p>
        </w:tc>
        <w:tc>
          <w:tcPr>
            <w:tcW w:w="1417" w:type="dxa"/>
            <w:vAlign w:val="center"/>
          </w:tcPr>
          <w:p w14:paraId="2AE1C613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-0.6</w:t>
            </w:r>
          </w:p>
        </w:tc>
        <w:tc>
          <w:tcPr>
            <w:tcW w:w="2410" w:type="dxa"/>
            <w:vAlign w:val="center"/>
          </w:tcPr>
          <w:p w14:paraId="327883BF" w14:textId="77777777" w:rsidR="00FA03AE" w:rsidRDefault="00000000">
            <w:pPr>
              <w:spacing w:beforeLines="150" w:before="360" w:afterLines="150" w:after="360" w:line="360" w:lineRule="auto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Y=1877.4 μg mg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  <w:r>
              <w:rPr>
                <w:szCs w:val="24"/>
                <w:lang w:eastAsia="zh-CN"/>
              </w:rPr>
              <w:t xml:space="preserve"> h</w:t>
            </w:r>
            <w:r>
              <w:rPr>
                <w:rFonts w:hint="eastAsia"/>
                <w:szCs w:val="24"/>
                <w:vertAlign w:val="superscript"/>
                <w:lang w:eastAsia="zh-CN"/>
              </w:rPr>
              <w:t>-</w:t>
            </w:r>
            <w:r>
              <w:rPr>
                <w:szCs w:val="24"/>
                <w:vertAlign w:val="superscript"/>
                <w:lang w:eastAsia="zh-CN"/>
              </w:rPr>
              <w:t>1</w:t>
            </w:r>
          </w:p>
          <w:p w14:paraId="5462FCBE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FE= 94.7%</w:t>
            </w:r>
          </w:p>
        </w:tc>
        <w:tc>
          <w:tcPr>
            <w:tcW w:w="1985" w:type="dxa"/>
            <w:vAlign w:val="center"/>
          </w:tcPr>
          <w:p w14:paraId="7486F45D" w14:textId="77777777" w:rsidR="00FA03AE" w:rsidRDefault="00000000">
            <w:pPr>
              <w:spacing w:beforeLines="150" w:before="360" w:afterLines="150" w:after="360" w:line="360" w:lineRule="auto"/>
              <w:jc w:val="center"/>
              <w:rPr>
                <w:color w:val="000000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 w:val="26"/>
                <w:szCs w:val="26"/>
                <w:lang w:eastAsia="zh-CN"/>
              </w:rPr>
              <w:t>Nano Res.</w:t>
            </w:r>
            <w:r>
              <w:rPr>
                <w:color w:val="000000"/>
                <w:sz w:val="26"/>
                <w:szCs w:val="26"/>
                <w:lang w:eastAsia="zh-CN"/>
              </w:rPr>
              <w:t xml:space="preserve"> 2024, 17. 1151–1164</w:t>
            </w:r>
          </w:p>
        </w:tc>
      </w:tr>
    </w:tbl>
    <w:p w14:paraId="1F166817" w14:textId="77777777" w:rsidR="00FA03AE" w:rsidRDefault="00FA03AE">
      <w:pPr>
        <w:pStyle w:val="Addresses"/>
        <w:spacing w:beforeLines="150" w:before="360" w:afterLines="150" w:after="360" w:line="360" w:lineRule="auto"/>
        <w:jc w:val="both"/>
        <w:rPr>
          <w:rFonts w:eastAsiaTheme="minorEastAsia"/>
          <w:lang w:eastAsia="zh-CN"/>
        </w:rPr>
      </w:pPr>
    </w:p>
    <w:sectPr w:rsidR="00FA03AE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F7045" w14:textId="77777777" w:rsidR="00734471" w:rsidRDefault="00734471">
      <w:r>
        <w:separator/>
      </w:r>
    </w:p>
  </w:endnote>
  <w:endnote w:type="continuationSeparator" w:id="0">
    <w:p w14:paraId="2174018B" w14:textId="77777777" w:rsidR="00734471" w:rsidRDefault="00734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TTR">
    <w:altName w:val="宋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B8770" w14:textId="77777777" w:rsidR="00FA03AE" w:rsidRDefault="00000000">
    <w:pPr>
      <w:pStyle w:val="aff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 w14:paraId="6D079E50" w14:textId="77777777" w:rsidR="00FA03AE" w:rsidRDefault="00FA03AE">
    <w:pPr>
      <w:pStyle w:val="af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AE88F" w14:textId="77777777" w:rsidR="00734471" w:rsidRDefault="00734471">
      <w:r>
        <w:separator/>
      </w:r>
    </w:p>
  </w:footnote>
  <w:footnote w:type="continuationSeparator" w:id="0">
    <w:p w14:paraId="04F419C4" w14:textId="77777777" w:rsidR="00734471" w:rsidRDefault="00734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4A51A" w14:textId="77777777" w:rsidR="00FA03AE" w:rsidRDefault="00FA03AE">
    <w:pPr>
      <w:jc w:val="right"/>
      <w:rPr>
        <w:sz w:val="20"/>
      </w:rPr>
    </w:pPr>
  </w:p>
  <w:p w14:paraId="2ADEA7E5" w14:textId="77777777" w:rsidR="00FA03AE" w:rsidRDefault="00FA03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359283752">
    <w:abstractNumId w:val="3"/>
  </w:num>
  <w:num w:numId="2" w16cid:durableId="2064672334">
    <w:abstractNumId w:val="5"/>
  </w:num>
  <w:num w:numId="3" w16cid:durableId="909072742">
    <w:abstractNumId w:val="8"/>
  </w:num>
  <w:num w:numId="4" w16cid:durableId="270556125">
    <w:abstractNumId w:val="9"/>
  </w:num>
  <w:num w:numId="5" w16cid:durableId="913318494">
    <w:abstractNumId w:val="6"/>
  </w:num>
  <w:num w:numId="6" w16cid:durableId="1864126094">
    <w:abstractNumId w:val="2"/>
  </w:num>
  <w:num w:numId="7" w16cid:durableId="2086947257">
    <w:abstractNumId w:val="7"/>
  </w:num>
  <w:num w:numId="8" w16cid:durableId="221409963">
    <w:abstractNumId w:val="4"/>
  </w:num>
  <w:num w:numId="9" w16cid:durableId="1180385911">
    <w:abstractNumId w:val="1"/>
  </w:num>
  <w:num w:numId="10" w16cid:durableId="1265922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44FB"/>
    <w:rsid w:val="00015F74"/>
    <w:rsid w:val="00030602"/>
    <w:rsid w:val="000342E9"/>
    <w:rsid w:val="000366E4"/>
    <w:rsid w:val="00037837"/>
    <w:rsid w:val="0005460B"/>
    <w:rsid w:val="00065EBD"/>
    <w:rsid w:val="00066CE7"/>
    <w:rsid w:val="00066D0C"/>
    <w:rsid w:val="00075726"/>
    <w:rsid w:val="000820ED"/>
    <w:rsid w:val="00083B44"/>
    <w:rsid w:val="000850DC"/>
    <w:rsid w:val="000B4CEF"/>
    <w:rsid w:val="000C07BF"/>
    <w:rsid w:val="000C2771"/>
    <w:rsid w:val="000D46F4"/>
    <w:rsid w:val="000E6D01"/>
    <w:rsid w:val="000F0DCE"/>
    <w:rsid w:val="000F6BE3"/>
    <w:rsid w:val="00100EF6"/>
    <w:rsid w:val="001017C7"/>
    <w:rsid w:val="00112C5B"/>
    <w:rsid w:val="00114193"/>
    <w:rsid w:val="00115A38"/>
    <w:rsid w:val="001161CA"/>
    <w:rsid w:val="0011687B"/>
    <w:rsid w:val="00124F82"/>
    <w:rsid w:val="00134559"/>
    <w:rsid w:val="0016337A"/>
    <w:rsid w:val="00164269"/>
    <w:rsid w:val="001671F3"/>
    <w:rsid w:val="00186DF2"/>
    <w:rsid w:val="00194D0F"/>
    <w:rsid w:val="001A1BDE"/>
    <w:rsid w:val="001A4354"/>
    <w:rsid w:val="001B13CE"/>
    <w:rsid w:val="001E366C"/>
    <w:rsid w:val="001F0876"/>
    <w:rsid w:val="001F167C"/>
    <w:rsid w:val="001F5E91"/>
    <w:rsid w:val="0020449A"/>
    <w:rsid w:val="002077B9"/>
    <w:rsid w:val="00262D72"/>
    <w:rsid w:val="0027784F"/>
    <w:rsid w:val="00280D53"/>
    <w:rsid w:val="00294FBB"/>
    <w:rsid w:val="002C030F"/>
    <w:rsid w:val="002E32B8"/>
    <w:rsid w:val="002F0FB6"/>
    <w:rsid w:val="00314429"/>
    <w:rsid w:val="0031671A"/>
    <w:rsid w:val="00331D75"/>
    <w:rsid w:val="0034042A"/>
    <w:rsid w:val="00355362"/>
    <w:rsid w:val="00362E73"/>
    <w:rsid w:val="00363E44"/>
    <w:rsid w:val="003659A8"/>
    <w:rsid w:val="003669F9"/>
    <w:rsid w:val="00392402"/>
    <w:rsid w:val="00393BAB"/>
    <w:rsid w:val="00395E86"/>
    <w:rsid w:val="00396141"/>
    <w:rsid w:val="003A2FD8"/>
    <w:rsid w:val="003B225C"/>
    <w:rsid w:val="003B40E6"/>
    <w:rsid w:val="003E0CBA"/>
    <w:rsid w:val="003E74FB"/>
    <w:rsid w:val="003F5904"/>
    <w:rsid w:val="003F6E14"/>
    <w:rsid w:val="00401B42"/>
    <w:rsid w:val="00405336"/>
    <w:rsid w:val="004103DF"/>
    <w:rsid w:val="0042458A"/>
    <w:rsid w:val="00435ABE"/>
    <w:rsid w:val="004571D5"/>
    <w:rsid w:val="00461D81"/>
    <w:rsid w:val="0046356B"/>
    <w:rsid w:val="00477182"/>
    <w:rsid w:val="004779CB"/>
    <w:rsid w:val="00482C10"/>
    <w:rsid w:val="00491343"/>
    <w:rsid w:val="004A6F57"/>
    <w:rsid w:val="004D0135"/>
    <w:rsid w:val="004D69D6"/>
    <w:rsid w:val="004E42D8"/>
    <w:rsid w:val="004E7BA2"/>
    <w:rsid w:val="004F5688"/>
    <w:rsid w:val="004F7EDF"/>
    <w:rsid w:val="005001AC"/>
    <w:rsid w:val="00505FEE"/>
    <w:rsid w:val="005075B8"/>
    <w:rsid w:val="00527D71"/>
    <w:rsid w:val="00533910"/>
    <w:rsid w:val="00534580"/>
    <w:rsid w:val="005520A8"/>
    <w:rsid w:val="005607DD"/>
    <w:rsid w:val="00564990"/>
    <w:rsid w:val="00595FCD"/>
    <w:rsid w:val="005A017A"/>
    <w:rsid w:val="005A558C"/>
    <w:rsid w:val="005B1363"/>
    <w:rsid w:val="005B5EEC"/>
    <w:rsid w:val="005D712F"/>
    <w:rsid w:val="005E28F8"/>
    <w:rsid w:val="005E6513"/>
    <w:rsid w:val="00607E8E"/>
    <w:rsid w:val="00612C3D"/>
    <w:rsid w:val="00632CA3"/>
    <w:rsid w:val="00651114"/>
    <w:rsid w:val="00664560"/>
    <w:rsid w:val="00670299"/>
    <w:rsid w:val="00670A42"/>
    <w:rsid w:val="0067272A"/>
    <w:rsid w:val="006916A8"/>
    <w:rsid w:val="00691985"/>
    <w:rsid w:val="00697611"/>
    <w:rsid w:val="006A1B64"/>
    <w:rsid w:val="006A20C1"/>
    <w:rsid w:val="006A282D"/>
    <w:rsid w:val="006F19DD"/>
    <w:rsid w:val="007108F5"/>
    <w:rsid w:val="00713E5B"/>
    <w:rsid w:val="00723B8E"/>
    <w:rsid w:val="00725111"/>
    <w:rsid w:val="00734471"/>
    <w:rsid w:val="007402FC"/>
    <w:rsid w:val="007411A1"/>
    <w:rsid w:val="00793072"/>
    <w:rsid w:val="00797231"/>
    <w:rsid w:val="007A6AC0"/>
    <w:rsid w:val="007B514F"/>
    <w:rsid w:val="007C45B3"/>
    <w:rsid w:val="007E23A0"/>
    <w:rsid w:val="007E2786"/>
    <w:rsid w:val="007F13B5"/>
    <w:rsid w:val="007F1BC8"/>
    <w:rsid w:val="00806B22"/>
    <w:rsid w:val="00807D35"/>
    <w:rsid w:val="008218C4"/>
    <w:rsid w:val="00843C2D"/>
    <w:rsid w:val="00866745"/>
    <w:rsid w:val="00867A98"/>
    <w:rsid w:val="00870867"/>
    <w:rsid w:val="00885C9B"/>
    <w:rsid w:val="00887371"/>
    <w:rsid w:val="008B4244"/>
    <w:rsid w:val="008D5D2A"/>
    <w:rsid w:val="008E4EA8"/>
    <w:rsid w:val="008F16C0"/>
    <w:rsid w:val="008F6F4F"/>
    <w:rsid w:val="00914B63"/>
    <w:rsid w:val="00914F3B"/>
    <w:rsid w:val="009354F3"/>
    <w:rsid w:val="009447DC"/>
    <w:rsid w:val="00945471"/>
    <w:rsid w:val="00950234"/>
    <w:rsid w:val="009517D7"/>
    <w:rsid w:val="00961BA5"/>
    <w:rsid w:val="009743A9"/>
    <w:rsid w:val="00995E62"/>
    <w:rsid w:val="009A4C0F"/>
    <w:rsid w:val="009A5287"/>
    <w:rsid w:val="009A7C5F"/>
    <w:rsid w:val="009B2AC5"/>
    <w:rsid w:val="009B2BD4"/>
    <w:rsid w:val="009B66BA"/>
    <w:rsid w:val="009B7984"/>
    <w:rsid w:val="009C1BA0"/>
    <w:rsid w:val="009D649A"/>
    <w:rsid w:val="009F4BED"/>
    <w:rsid w:val="009F7D93"/>
    <w:rsid w:val="00A02E0C"/>
    <w:rsid w:val="00A1054F"/>
    <w:rsid w:val="00A3403B"/>
    <w:rsid w:val="00A45258"/>
    <w:rsid w:val="00A51A12"/>
    <w:rsid w:val="00A52E2E"/>
    <w:rsid w:val="00A53A78"/>
    <w:rsid w:val="00A616A1"/>
    <w:rsid w:val="00A627D4"/>
    <w:rsid w:val="00A70673"/>
    <w:rsid w:val="00A74DA2"/>
    <w:rsid w:val="00A77632"/>
    <w:rsid w:val="00A979D7"/>
    <w:rsid w:val="00AB37E3"/>
    <w:rsid w:val="00AB3967"/>
    <w:rsid w:val="00AB399E"/>
    <w:rsid w:val="00AC59D0"/>
    <w:rsid w:val="00AD02FA"/>
    <w:rsid w:val="00AD16B1"/>
    <w:rsid w:val="00AD2855"/>
    <w:rsid w:val="00AD499C"/>
    <w:rsid w:val="00AE4516"/>
    <w:rsid w:val="00B34F75"/>
    <w:rsid w:val="00B36869"/>
    <w:rsid w:val="00B43B31"/>
    <w:rsid w:val="00B45C8F"/>
    <w:rsid w:val="00B47CFA"/>
    <w:rsid w:val="00B574A3"/>
    <w:rsid w:val="00B57F00"/>
    <w:rsid w:val="00B60841"/>
    <w:rsid w:val="00B63245"/>
    <w:rsid w:val="00B64661"/>
    <w:rsid w:val="00B73C69"/>
    <w:rsid w:val="00B77B2A"/>
    <w:rsid w:val="00B82C22"/>
    <w:rsid w:val="00B84125"/>
    <w:rsid w:val="00B93DBA"/>
    <w:rsid w:val="00B9440A"/>
    <w:rsid w:val="00BA5655"/>
    <w:rsid w:val="00BB2D2A"/>
    <w:rsid w:val="00BB541D"/>
    <w:rsid w:val="00BC1B27"/>
    <w:rsid w:val="00BC290E"/>
    <w:rsid w:val="00BC3E04"/>
    <w:rsid w:val="00BD58CF"/>
    <w:rsid w:val="00BE32DD"/>
    <w:rsid w:val="00BE40F7"/>
    <w:rsid w:val="00BF0C92"/>
    <w:rsid w:val="00BF302A"/>
    <w:rsid w:val="00C04CC1"/>
    <w:rsid w:val="00C334DD"/>
    <w:rsid w:val="00C36B8F"/>
    <w:rsid w:val="00C4096C"/>
    <w:rsid w:val="00C50C6D"/>
    <w:rsid w:val="00C600D9"/>
    <w:rsid w:val="00C92B22"/>
    <w:rsid w:val="00C94345"/>
    <w:rsid w:val="00CB4482"/>
    <w:rsid w:val="00CC1384"/>
    <w:rsid w:val="00CD3720"/>
    <w:rsid w:val="00CD3C8F"/>
    <w:rsid w:val="00CD7AFC"/>
    <w:rsid w:val="00CE15FF"/>
    <w:rsid w:val="00CF093D"/>
    <w:rsid w:val="00CF1848"/>
    <w:rsid w:val="00CF5C2F"/>
    <w:rsid w:val="00D04BCF"/>
    <w:rsid w:val="00D11A56"/>
    <w:rsid w:val="00D143D9"/>
    <w:rsid w:val="00D30C95"/>
    <w:rsid w:val="00D318CA"/>
    <w:rsid w:val="00D35127"/>
    <w:rsid w:val="00D51C15"/>
    <w:rsid w:val="00D5511B"/>
    <w:rsid w:val="00D610D7"/>
    <w:rsid w:val="00D678F0"/>
    <w:rsid w:val="00D766F1"/>
    <w:rsid w:val="00D80E29"/>
    <w:rsid w:val="00D82459"/>
    <w:rsid w:val="00DA2811"/>
    <w:rsid w:val="00DA6DED"/>
    <w:rsid w:val="00DB534F"/>
    <w:rsid w:val="00DC7244"/>
    <w:rsid w:val="00DD2E17"/>
    <w:rsid w:val="00DD48A6"/>
    <w:rsid w:val="00DE367F"/>
    <w:rsid w:val="00DF7D55"/>
    <w:rsid w:val="00DF7D88"/>
    <w:rsid w:val="00E257C8"/>
    <w:rsid w:val="00E37665"/>
    <w:rsid w:val="00E40A10"/>
    <w:rsid w:val="00E41512"/>
    <w:rsid w:val="00E4519A"/>
    <w:rsid w:val="00E5040F"/>
    <w:rsid w:val="00E55DF0"/>
    <w:rsid w:val="00E61D33"/>
    <w:rsid w:val="00E62C58"/>
    <w:rsid w:val="00E853D5"/>
    <w:rsid w:val="00E9773B"/>
    <w:rsid w:val="00EA6F42"/>
    <w:rsid w:val="00EB5EBF"/>
    <w:rsid w:val="00EC13A3"/>
    <w:rsid w:val="00EC7C85"/>
    <w:rsid w:val="00ED2CBE"/>
    <w:rsid w:val="00ED45AD"/>
    <w:rsid w:val="00EF712E"/>
    <w:rsid w:val="00F125EE"/>
    <w:rsid w:val="00F12E98"/>
    <w:rsid w:val="00F22029"/>
    <w:rsid w:val="00F3553A"/>
    <w:rsid w:val="00F515FB"/>
    <w:rsid w:val="00F56925"/>
    <w:rsid w:val="00F630EA"/>
    <w:rsid w:val="00F7007E"/>
    <w:rsid w:val="00F73193"/>
    <w:rsid w:val="00F740DF"/>
    <w:rsid w:val="00F74F95"/>
    <w:rsid w:val="00F80705"/>
    <w:rsid w:val="00FA03AE"/>
    <w:rsid w:val="00FA1481"/>
    <w:rsid w:val="00FA5541"/>
    <w:rsid w:val="00FB6E6B"/>
    <w:rsid w:val="00FC119C"/>
    <w:rsid w:val="00FC51E8"/>
    <w:rsid w:val="00FE63B6"/>
    <w:rsid w:val="00FF04E3"/>
    <w:rsid w:val="00FF4A25"/>
    <w:rsid w:val="03B1282D"/>
    <w:rsid w:val="0C8D74B6"/>
    <w:rsid w:val="28BC66DB"/>
    <w:rsid w:val="39022890"/>
    <w:rsid w:val="49592D5B"/>
    <w:rsid w:val="4EF23FE5"/>
    <w:rsid w:val="50D34708"/>
    <w:rsid w:val="642C0CEA"/>
    <w:rsid w:val="72024B60"/>
    <w:rsid w:val="7ED3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DE012E"/>
  <w15:docId w15:val="{62980178-3245-4E14-B4E0-515C4391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semiHidden="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qFormat="1"/>
    <w:lsdException w:name="index 2" w:semiHidden="1" w:qFormat="1"/>
    <w:lsdException w:name="index 3" w:semiHidden="1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qFormat="1"/>
    <w:lsdException w:name="footnote text" w:semiHidden="1" w:qFormat="1"/>
    <w:lsdException w:name="annotation text" w:semiHidden="1" w:uiPriority="99" w:qFormat="1"/>
    <w:lsdException w:name="header" w:semiHidden="1" w:qFormat="1"/>
    <w:lsdException w:name="footer" w:semiHidden="1" w:qFormat="1"/>
    <w:lsdException w:name="index heading" w:semiHidden="1" w:qFormat="1"/>
    <w:lsdException w:name="caption" w:semiHidden="1" w:qFormat="1"/>
    <w:lsdException w:name="table of figures" w:semiHidden="1" w:qFormat="1"/>
    <w:lsdException w:name="envelope address" w:semiHidden="1" w:qFormat="1"/>
    <w:lsdException w:name="envelope return" w:semiHidden="1" w:qFormat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qFormat="1"/>
    <w:lsdException w:name="endnote reference" w:semiHidden="1" w:unhideWhenUsed="1"/>
    <w:lsdException w:name="endnote text" w:semiHidden="1" w:qFormat="1"/>
    <w:lsdException w:name="table of authorities" w:semiHidden="1" w:qFormat="1"/>
    <w:lsdException w:name="macro" w:semiHidden="1" w:qFormat="1"/>
    <w:lsdException w:name="toa heading" w:semiHidden="1" w:qFormat="1"/>
    <w:lsdException w:name="List" w:semiHidden="1" w:qFormat="1"/>
    <w:lsdException w:name="List Bullet" w:semiHidden="1" w:qFormat="1"/>
    <w:lsdException w:name="List Number" w:semiHidden="1" w:qFormat="1"/>
    <w:lsdException w:name="List 2" w:semiHidden="1" w:qFormat="1"/>
    <w:lsdException w:name="List 3" w:semiHidden="1" w:qFormat="1"/>
    <w:lsdException w:name="List 4" w:semiHidden="1" w:qFormat="1"/>
    <w:lsdException w:name="List 5" w:semiHidden="1" w:qFormat="1"/>
    <w:lsdException w:name="List Bullet 2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 w:qFormat="1"/>
    <w:lsdException w:name="List Number 5" w:semiHidden="1" w:qFormat="1"/>
    <w:lsdException w:name="Title" w:semiHidden="1" w:qFormat="1"/>
    <w:lsdException w:name="Closing" w:semiHidden="1" w:qFormat="1"/>
    <w:lsdException w:name="Signature" w:semiHidden="1" w:qFormat="1"/>
    <w:lsdException w:name="Default Paragraph Font" w:semiHidden="1" w:uiPriority="1" w:unhideWhenUsed="1" w:qFormat="1"/>
    <w:lsdException w:name="Body Text" w:semiHidden="1" w:qFormat="1"/>
    <w:lsdException w:name="Body Text Indent" w:semiHidden="1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 w:qFormat="1"/>
    <w:lsdException w:name="Subtitle" w:semiHidden="1" w:qFormat="1"/>
    <w:lsdException w:name="Salutation" w:semiHidden="1" w:qFormat="1"/>
    <w:lsdException w:name="Date" w:semiHidden="1" w:qFormat="1"/>
    <w:lsdException w:name="Body Text First Indent" w:semiHidden="1" w:qFormat="1"/>
    <w:lsdException w:name="Body Text First Indent 2" w:semiHidden="1" w:qFormat="1"/>
    <w:lsdException w:name="Note Heading" w:semiHidden="1" w:qFormat="1"/>
    <w:lsdException w:name="Body Text 2" w:semiHidden="1" w:qFormat="1"/>
    <w:lsdException w:name="Body Text 3" w:semiHidden="1" w:qFormat="1"/>
    <w:lsdException w:name="Body Text Indent 2" w:semiHidden="1" w:qFormat="1"/>
    <w:lsdException w:name="Body Text Indent 3" w:semiHidden="1" w:qFormat="1"/>
    <w:lsdException w:name="Block Text" w:semiHidden="1" w:qFormat="1"/>
    <w:lsdException w:name="Hyperlink" w:uiPriority="99" w:qFormat="1"/>
    <w:lsdException w:name="FollowedHyperlink" w:semiHidden="1" w:unhideWhenUsed="1" w:qFormat="1"/>
    <w:lsdException w:name="Strong" w:semiHidden="1" w:qFormat="1"/>
    <w:lsdException w:name="Emphasis" w:semiHidden="1" w:qFormat="1"/>
    <w:lsdException w:name="Document Map" w:semiHidden="1" w:qFormat="1"/>
    <w:lsdException w:name="Plain Text" w:semiHidden="1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qFormat="1"/>
    <w:lsdException w:name="HTML Acronym" w:semiHidden="1" w:unhideWhenUsed="1"/>
    <w:lsdException w:name="HTML Address" w:semiHidden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sz w:val="24"/>
      <w:lang w:eastAsia="en-US"/>
    </w:rPr>
  </w:style>
  <w:style w:type="paragraph" w:styleId="1">
    <w:name w:val="heading 1"/>
    <w:basedOn w:val="a1"/>
    <w:next w:val="a1"/>
    <w:link w:val="10"/>
    <w:semiHidden/>
    <w:qFormat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32">
    <w:name w:val="List 3"/>
    <w:basedOn w:val="a1"/>
    <w:semiHidden/>
    <w:qFormat/>
    <w:pPr>
      <w:ind w:left="1080" w:hanging="360"/>
      <w:contextualSpacing/>
    </w:pPr>
  </w:style>
  <w:style w:type="paragraph" w:styleId="TOC7">
    <w:name w:val="toc 7"/>
    <w:basedOn w:val="a1"/>
    <w:next w:val="a1"/>
    <w:autoRedefine/>
    <w:semiHidden/>
    <w:qFormat/>
    <w:pPr>
      <w:ind w:left="1440"/>
    </w:pPr>
  </w:style>
  <w:style w:type="paragraph" w:styleId="2">
    <w:name w:val="List Number 2"/>
    <w:basedOn w:val="a1"/>
    <w:semiHidden/>
    <w:qFormat/>
    <w:pPr>
      <w:numPr>
        <w:numId w:val="1"/>
      </w:numPr>
      <w:contextualSpacing/>
    </w:pPr>
  </w:style>
  <w:style w:type="paragraph" w:styleId="a7">
    <w:name w:val="table of authorities"/>
    <w:basedOn w:val="a1"/>
    <w:next w:val="a1"/>
    <w:semiHidden/>
    <w:qFormat/>
    <w:pPr>
      <w:ind w:left="240" w:hanging="240"/>
    </w:pPr>
  </w:style>
  <w:style w:type="paragraph" w:styleId="a8">
    <w:name w:val="Note Heading"/>
    <w:basedOn w:val="a1"/>
    <w:next w:val="a1"/>
    <w:link w:val="a9"/>
    <w:semiHidden/>
    <w:qFormat/>
  </w:style>
  <w:style w:type="paragraph" w:styleId="40">
    <w:name w:val="List Bullet 4"/>
    <w:basedOn w:val="a1"/>
    <w:semiHidden/>
    <w:qFormat/>
    <w:pPr>
      <w:numPr>
        <w:numId w:val="2"/>
      </w:numPr>
      <w:contextualSpacing/>
    </w:pPr>
  </w:style>
  <w:style w:type="paragraph" w:styleId="81">
    <w:name w:val="index 8"/>
    <w:basedOn w:val="a1"/>
    <w:next w:val="a1"/>
    <w:autoRedefine/>
    <w:semiHidden/>
    <w:qFormat/>
    <w:pPr>
      <w:ind w:left="1920" w:hanging="240"/>
    </w:pPr>
  </w:style>
  <w:style w:type="paragraph" w:styleId="aa">
    <w:name w:val="E-mail Signature"/>
    <w:basedOn w:val="a1"/>
    <w:link w:val="ab"/>
    <w:semiHidden/>
    <w:qFormat/>
  </w:style>
  <w:style w:type="paragraph" w:styleId="a">
    <w:name w:val="List Number"/>
    <w:basedOn w:val="a1"/>
    <w:semiHidden/>
    <w:qFormat/>
    <w:pPr>
      <w:numPr>
        <w:numId w:val="3"/>
      </w:numPr>
      <w:contextualSpacing/>
    </w:pPr>
  </w:style>
  <w:style w:type="paragraph" w:styleId="ac">
    <w:name w:val="Normal Indent"/>
    <w:basedOn w:val="a1"/>
    <w:semiHidden/>
    <w:qFormat/>
    <w:pPr>
      <w:ind w:left="720"/>
    </w:pPr>
  </w:style>
  <w:style w:type="paragraph" w:styleId="ad">
    <w:name w:val="caption"/>
    <w:basedOn w:val="a1"/>
    <w:next w:val="a1"/>
    <w:semiHidden/>
    <w:qFormat/>
    <w:rPr>
      <w:b/>
      <w:bCs/>
      <w:sz w:val="20"/>
    </w:rPr>
  </w:style>
  <w:style w:type="paragraph" w:styleId="53">
    <w:name w:val="index 5"/>
    <w:basedOn w:val="a1"/>
    <w:next w:val="a1"/>
    <w:autoRedefine/>
    <w:semiHidden/>
    <w:qFormat/>
    <w:pPr>
      <w:ind w:left="1200" w:hanging="240"/>
    </w:pPr>
  </w:style>
  <w:style w:type="paragraph" w:styleId="a0">
    <w:name w:val="List Bullet"/>
    <w:basedOn w:val="a1"/>
    <w:semiHidden/>
    <w:qFormat/>
    <w:pPr>
      <w:numPr>
        <w:numId w:val="4"/>
      </w:numPr>
      <w:contextualSpacing/>
    </w:pPr>
  </w:style>
  <w:style w:type="paragraph" w:styleId="ae">
    <w:name w:val="envelope address"/>
    <w:basedOn w:val="a1"/>
    <w:semiHidden/>
    <w:qFormat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">
    <w:name w:val="Document Map"/>
    <w:basedOn w:val="a1"/>
    <w:link w:val="af0"/>
    <w:semiHidden/>
    <w:qFormat/>
    <w:rPr>
      <w:rFonts w:ascii="Tahoma" w:hAnsi="Tahoma" w:cs="Tahoma"/>
      <w:sz w:val="16"/>
      <w:szCs w:val="16"/>
    </w:rPr>
  </w:style>
  <w:style w:type="paragraph" w:styleId="af1">
    <w:name w:val="toa heading"/>
    <w:basedOn w:val="a1"/>
    <w:next w:val="a1"/>
    <w:semiHidden/>
    <w:qFormat/>
    <w:pPr>
      <w:spacing w:before="120"/>
    </w:pPr>
    <w:rPr>
      <w:rFonts w:ascii="Cambria" w:hAnsi="Cambria"/>
      <w:b/>
      <w:bCs/>
      <w:szCs w:val="24"/>
    </w:rPr>
  </w:style>
  <w:style w:type="paragraph" w:styleId="af2">
    <w:name w:val="annotation text"/>
    <w:basedOn w:val="a1"/>
    <w:link w:val="af3"/>
    <w:uiPriority w:val="99"/>
    <w:semiHidden/>
    <w:qFormat/>
    <w:rPr>
      <w:sz w:val="20"/>
    </w:rPr>
  </w:style>
  <w:style w:type="paragraph" w:styleId="61">
    <w:name w:val="index 6"/>
    <w:basedOn w:val="a1"/>
    <w:next w:val="a1"/>
    <w:autoRedefine/>
    <w:semiHidden/>
    <w:qFormat/>
    <w:pPr>
      <w:ind w:left="1440" w:hanging="240"/>
    </w:pPr>
  </w:style>
  <w:style w:type="paragraph" w:styleId="af4">
    <w:name w:val="Salutation"/>
    <w:basedOn w:val="a1"/>
    <w:next w:val="a1"/>
    <w:link w:val="af5"/>
    <w:semiHidden/>
    <w:qFormat/>
  </w:style>
  <w:style w:type="paragraph" w:styleId="33">
    <w:name w:val="Body Text 3"/>
    <w:basedOn w:val="a1"/>
    <w:link w:val="34"/>
    <w:semiHidden/>
    <w:qFormat/>
    <w:pPr>
      <w:spacing w:after="120"/>
    </w:pPr>
    <w:rPr>
      <w:sz w:val="16"/>
      <w:szCs w:val="16"/>
    </w:rPr>
  </w:style>
  <w:style w:type="paragraph" w:styleId="af6">
    <w:name w:val="Closing"/>
    <w:basedOn w:val="a1"/>
    <w:link w:val="af7"/>
    <w:semiHidden/>
    <w:qFormat/>
    <w:pPr>
      <w:ind w:left="4320"/>
    </w:pPr>
  </w:style>
  <w:style w:type="paragraph" w:styleId="30">
    <w:name w:val="List Bullet 3"/>
    <w:basedOn w:val="a1"/>
    <w:semiHidden/>
    <w:qFormat/>
    <w:pPr>
      <w:numPr>
        <w:numId w:val="5"/>
      </w:numPr>
      <w:contextualSpacing/>
    </w:pPr>
  </w:style>
  <w:style w:type="paragraph" w:styleId="af8">
    <w:name w:val="Body Text"/>
    <w:basedOn w:val="a1"/>
    <w:link w:val="af9"/>
    <w:semiHidden/>
    <w:qFormat/>
    <w:pPr>
      <w:spacing w:after="120"/>
    </w:pPr>
  </w:style>
  <w:style w:type="paragraph" w:styleId="afa">
    <w:name w:val="Body Text Indent"/>
    <w:basedOn w:val="a1"/>
    <w:link w:val="afb"/>
    <w:semiHidden/>
    <w:qFormat/>
    <w:pPr>
      <w:spacing w:after="120"/>
      <w:ind w:left="360"/>
    </w:pPr>
  </w:style>
  <w:style w:type="paragraph" w:styleId="3">
    <w:name w:val="List Number 3"/>
    <w:basedOn w:val="a1"/>
    <w:semiHidden/>
    <w:qFormat/>
    <w:pPr>
      <w:numPr>
        <w:numId w:val="6"/>
      </w:numPr>
      <w:contextualSpacing/>
    </w:pPr>
  </w:style>
  <w:style w:type="paragraph" w:styleId="23">
    <w:name w:val="List 2"/>
    <w:basedOn w:val="a1"/>
    <w:semiHidden/>
    <w:qFormat/>
    <w:pPr>
      <w:ind w:left="720" w:hanging="360"/>
      <w:contextualSpacing/>
    </w:pPr>
  </w:style>
  <w:style w:type="paragraph" w:styleId="afc">
    <w:name w:val="List Continue"/>
    <w:basedOn w:val="a1"/>
    <w:semiHidden/>
    <w:qFormat/>
    <w:pPr>
      <w:spacing w:after="120"/>
      <w:ind w:left="360"/>
      <w:contextualSpacing/>
    </w:pPr>
  </w:style>
  <w:style w:type="paragraph" w:styleId="afd">
    <w:name w:val="Block Text"/>
    <w:basedOn w:val="a1"/>
    <w:semiHidden/>
    <w:qFormat/>
    <w:pPr>
      <w:spacing w:after="120"/>
      <w:ind w:left="1440" w:right="1440"/>
    </w:pPr>
  </w:style>
  <w:style w:type="paragraph" w:styleId="20">
    <w:name w:val="List Bullet 2"/>
    <w:basedOn w:val="a1"/>
    <w:semiHidden/>
    <w:qFormat/>
    <w:pPr>
      <w:numPr>
        <w:numId w:val="7"/>
      </w:numPr>
      <w:contextualSpacing/>
    </w:pPr>
  </w:style>
  <w:style w:type="paragraph" w:styleId="HTML">
    <w:name w:val="HTML Address"/>
    <w:basedOn w:val="a1"/>
    <w:link w:val="HTML0"/>
    <w:semiHidden/>
    <w:qFormat/>
    <w:rPr>
      <w:i/>
      <w:iCs/>
    </w:rPr>
  </w:style>
  <w:style w:type="paragraph" w:styleId="42">
    <w:name w:val="index 4"/>
    <w:basedOn w:val="a1"/>
    <w:next w:val="a1"/>
    <w:autoRedefine/>
    <w:semiHidden/>
    <w:qFormat/>
    <w:pPr>
      <w:ind w:left="960" w:hanging="240"/>
    </w:pPr>
  </w:style>
  <w:style w:type="paragraph" w:styleId="TOC5">
    <w:name w:val="toc 5"/>
    <w:basedOn w:val="a1"/>
    <w:next w:val="a1"/>
    <w:autoRedefine/>
    <w:semiHidden/>
    <w:qFormat/>
    <w:pPr>
      <w:ind w:left="960"/>
    </w:pPr>
  </w:style>
  <w:style w:type="paragraph" w:styleId="TOC3">
    <w:name w:val="toc 3"/>
    <w:basedOn w:val="a1"/>
    <w:next w:val="a1"/>
    <w:autoRedefine/>
    <w:semiHidden/>
    <w:qFormat/>
    <w:pPr>
      <w:ind w:left="480"/>
    </w:pPr>
  </w:style>
  <w:style w:type="paragraph" w:styleId="afe">
    <w:name w:val="Plain Text"/>
    <w:basedOn w:val="a1"/>
    <w:link w:val="aff"/>
    <w:semiHidden/>
    <w:qFormat/>
    <w:rPr>
      <w:rFonts w:ascii="Courier New" w:hAnsi="Courier New" w:cs="Courier New"/>
      <w:sz w:val="20"/>
    </w:rPr>
  </w:style>
  <w:style w:type="paragraph" w:styleId="50">
    <w:name w:val="List Bullet 5"/>
    <w:basedOn w:val="a1"/>
    <w:semiHidden/>
    <w:qFormat/>
    <w:pPr>
      <w:numPr>
        <w:numId w:val="8"/>
      </w:numPr>
      <w:contextualSpacing/>
    </w:pPr>
  </w:style>
  <w:style w:type="paragraph" w:styleId="4">
    <w:name w:val="List Number 4"/>
    <w:basedOn w:val="a1"/>
    <w:semiHidden/>
    <w:qFormat/>
    <w:pPr>
      <w:numPr>
        <w:numId w:val="9"/>
      </w:numPr>
      <w:contextualSpacing/>
    </w:pPr>
  </w:style>
  <w:style w:type="paragraph" w:styleId="TOC8">
    <w:name w:val="toc 8"/>
    <w:basedOn w:val="a1"/>
    <w:next w:val="a1"/>
    <w:autoRedefine/>
    <w:semiHidden/>
    <w:qFormat/>
    <w:pPr>
      <w:ind w:left="1680"/>
    </w:pPr>
  </w:style>
  <w:style w:type="paragraph" w:styleId="35">
    <w:name w:val="index 3"/>
    <w:basedOn w:val="a1"/>
    <w:next w:val="a1"/>
    <w:autoRedefine/>
    <w:semiHidden/>
    <w:qFormat/>
    <w:pPr>
      <w:ind w:left="720" w:hanging="240"/>
    </w:pPr>
  </w:style>
  <w:style w:type="paragraph" w:styleId="aff0">
    <w:name w:val="Date"/>
    <w:basedOn w:val="a1"/>
    <w:next w:val="a1"/>
    <w:link w:val="aff1"/>
    <w:semiHidden/>
    <w:qFormat/>
  </w:style>
  <w:style w:type="paragraph" w:styleId="24">
    <w:name w:val="Body Text Indent 2"/>
    <w:basedOn w:val="a1"/>
    <w:link w:val="25"/>
    <w:semiHidden/>
    <w:qFormat/>
    <w:pPr>
      <w:spacing w:after="120" w:line="480" w:lineRule="auto"/>
      <w:ind w:left="360"/>
    </w:pPr>
  </w:style>
  <w:style w:type="paragraph" w:styleId="aff2">
    <w:name w:val="endnote text"/>
    <w:basedOn w:val="a1"/>
    <w:link w:val="aff3"/>
    <w:semiHidden/>
    <w:qFormat/>
    <w:rPr>
      <w:sz w:val="20"/>
    </w:rPr>
  </w:style>
  <w:style w:type="paragraph" w:styleId="54">
    <w:name w:val="List Continue 5"/>
    <w:basedOn w:val="a1"/>
    <w:semiHidden/>
    <w:qFormat/>
    <w:pPr>
      <w:spacing w:after="120"/>
      <w:ind w:left="1800"/>
      <w:contextualSpacing/>
    </w:pPr>
  </w:style>
  <w:style w:type="paragraph" w:styleId="aff4">
    <w:name w:val="Balloon Text"/>
    <w:basedOn w:val="a1"/>
    <w:link w:val="aff5"/>
    <w:semiHidden/>
    <w:qFormat/>
    <w:rPr>
      <w:rFonts w:ascii="Tahoma" w:hAnsi="Tahoma" w:cs="Tahoma"/>
      <w:sz w:val="16"/>
      <w:szCs w:val="16"/>
    </w:rPr>
  </w:style>
  <w:style w:type="paragraph" w:styleId="aff6">
    <w:name w:val="footer"/>
    <w:basedOn w:val="a1"/>
    <w:link w:val="aff7"/>
    <w:semiHidden/>
    <w:qFormat/>
    <w:pPr>
      <w:tabs>
        <w:tab w:val="center" w:pos="4680"/>
        <w:tab w:val="right" w:pos="9360"/>
      </w:tabs>
    </w:pPr>
  </w:style>
  <w:style w:type="paragraph" w:styleId="aff8">
    <w:name w:val="envelope return"/>
    <w:basedOn w:val="a1"/>
    <w:semiHidden/>
    <w:qFormat/>
    <w:rPr>
      <w:rFonts w:ascii="Cambria" w:hAnsi="Cambria"/>
      <w:sz w:val="20"/>
    </w:rPr>
  </w:style>
  <w:style w:type="paragraph" w:styleId="aff9">
    <w:name w:val="header"/>
    <w:basedOn w:val="a1"/>
    <w:link w:val="affa"/>
    <w:semiHidden/>
    <w:qFormat/>
    <w:pPr>
      <w:tabs>
        <w:tab w:val="center" w:pos="4680"/>
        <w:tab w:val="right" w:pos="9360"/>
      </w:tabs>
    </w:pPr>
  </w:style>
  <w:style w:type="paragraph" w:styleId="affb">
    <w:name w:val="Signature"/>
    <w:basedOn w:val="a1"/>
    <w:link w:val="affc"/>
    <w:semiHidden/>
    <w:qFormat/>
    <w:pPr>
      <w:ind w:left="4320"/>
    </w:pPr>
  </w:style>
  <w:style w:type="paragraph" w:styleId="TOC1">
    <w:name w:val="toc 1"/>
    <w:basedOn w:val="a1"/>
    <w:next w:val="a1"/>
    <w:autoRedefine/>
    <w:semiHidden/>
    <w:qFormat/>
  </w:style>
  <w:style w:type="paragraph" w:styleId="43">
    <w:name w:val="List Continue 4"/>
    <w:basedOn w:val="a1"/>
    <w:semiHidden/>
    <w:qFormat/>
    <w:pPr>
      <w:spacing w:after="120"/>
      <w:ind w:left="1440"/>
      <w:contextualSpacing/>
    </w:pPr>
  </w:style>
  <w:style w:type="paragraph" w:styleId="TOC4">
    <w:name w:val="toc 4"/>
    <w:basedOn w:val="a1"/>
    <w:next w:val="a1"/>
    <w:autoRedefine/>
    <w:semiHidden/>
    <w:qFormat/>
    <w:pPr>
      <w:ind w:left="720"/>
    </w:pPr>
  </w:style>
  <w:style w:type="paragraph" w:styleId="affd">
    <w:name w:val="index heading"/>
    <w:basedOn w:val="a1"/>
    <w:next w:val="11"/>
    <w:semiHidden/>
    <w:qFormat/>
    <w:rPr>
      <w:rFonts w:ascii="Cambria" w:hAnsi="Cambria"/>
      <w:b/>
      <w:bCs/>
    </w:rPr>
  </w:style>
  <w:style w:type="paragraph" w:styleId="11">
    <w:name w:val="index 1"/>
    <w:basedOn w:val="a1"/>
    <w:next w:val="a1"/>
    <w:autoRedefine/>
    <w:semiHidden/>
    <w:qFormat/>
    <w:pPr>
      <w:ind w:left="240" w:hanging="240"/>
    </w:pPr>
  </w:style>
  <w:style w:type="paragraph" w:styleId="affe">
    <w:name w:val="Subtitle"/>
    <w:basedOn w:val="a1"/>
    <w:next w:val="a1"/>
    <w:link w:val="afff"/>
    <w:semiHidden/>
    <w:qFormat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5">
    <w:name w:val="List Number 5"/>
    <w:basedOn w:val="a1"/>
    <w:semiHidden/>
    <w:qFormat/>
    <w:pPr>
      <w:numPr>
        <w:numId w:val="10"/>
      </w:numPr>
      <w:contextualSpacing/>
    </w:pPr>
  </w:style>
  <w:style w:type="paragraph" w:styleId="afff0">
    <w:name w:val="List"/>
    <w:basedOn w:val="a1"/>
    <w:semiHidden/>
    <w:qFormat/>
    <w:pPr>
      <w:ind w:left="360" w:hanging="360"/>
      <w:contextualSpacing/>
    </w:pPr>
  </w:style>
  <w:style w:type="paragraph" w:styleId="afff1">
    <w:name w:val="footnote text"/>
    <w:basedOn w:val="a1"/>
    <w:link w:val="afff2"/>
    <w:semiHidden/>
    <w:qFormat/>
    <w:rPr>
      <w:sz w:val="20"/>
    </w:rPr>
  </w:style>
  <w:style w:type="paragraph" w:styleId="TOC6">
    <w:name w:val="toc 6"/>
    <w:basedOn w:val="a1"/>
    <w:next w:val="a1"/>
    <w:autoRedefine/>
    <w:semiHidden/>
    <w:qFormat/>
    <w:pPr>
      <w:ind w:left="1200"/>
    </w:pPr>
  </w:style>
  <w:style w:type="paragraph" w:styleId="55">
    <w:name w:val="List 5"/>
    <w:basedOn w:val="a1"/>
    <w:semiHidden/>
    <w:qFormat/>
    <w:pPr>
      <w:ind w:left="1800" w:hanging="360"/>
      <w:contextualSpacing/>
    </w:pPr>
  </w:style>
  <w:style w:type="paragraph" w:styleId="36">
    <w:name w:val="Body Text Indent 3"/>
    <w:basedOn w:val="a1"/>
    <w:link w:val="37"/>
    <w:semiHidden/>
    <w:qFormat/>
    <w:pPr>
      <w:spacing w:after="120"/>
      <w:ind w:left="360"/>
    </w:pPr>
    <w:rPr>
      <w:sz w:val="16"/>
      <w:szCs w:val="16"/>
    </w:rPr>
  </w:style>
  <w:style w:type="paragraph" w:styleId="71">
    <w:name w:val="index 7"/>
    <w:basedOn w:val="a1"/>
    <w:next w:val="a1"/>
    <w:autoRedefine/>
    <w:semiHidden/>
    <w:qFormat/>
    <w:pPr>
      <w:ind w:left="1680" w:hanging="240"/>
    </w:pPr>
  </w:style>
  <w:style w:type="paragraph" w:styleId="91">
    <w:name w:val="index 9"/>
    <w:basedOn w:val="a1"/>
    <w:next w:val="a1"/>
    <w:autoRedefine/>
    <w:semiHidden/>
    <w:qFormat/>
    <w:pPr>
      <w:ind w:left="2160" w:hanging="240"/>
    </w:pPr>
  </w:style>
  <w:style w:type="paragraph" w:styleId="afff3">
    <w:name w:val="table of figures"/>
    <w:basedOn w:val="a1"/>
    <w:next w:val="a1"/>
    <w:semiHidden/>
    <w:qFormat/>
  </w:style>
  <w:style w:type="paragraph" w:styleId="TOC2">
    <w:name w:val="toc 2"/>
    <w:basedOn w:val="a1"/>
    <w:next w:val="a1"/>
    <w:autoRedefine/>
    <w:semiHidden/>
    <w:qFormat/>
    <w:pPr>
      <w:ind w:left="240"/>
    </w:pPr>
  </w:style>
  <w:style w:type="paragraph" w:styleId="TOC9">
    <w:name w:val="toc 9"/>
    <w:basedOn w:val="a1"/>
    <w:next w:val="a1"/>
    <w:autoRedefine/>
    <w:semiHidden/>
    <w:qFormat/>
    <w:pPr>
      <w:ind w:left="1920"/>
    </w:pPr>
  </w:style>
  <w:style w:type="paragraph" w:styleId="26">
    <w:name w:val="Body Text 2"/>
    <w:basedOn w:val="a1"/>
    <w:link w:val="27"/>
    <w:semiHidden/>
    <w:qFormat/>
    <w:pPr>
      <w:spacing w:after="120" w:line="480" w:lineRule="auto"/>
    </w:pPr>
  </w:style>
  <w:style w:type="paragraph" w:styleId="44">
    <w:name w:val="List 4"/>
    <w:basedOn w:val="a1"/>
    <w:semiHidden/>
    <w:qFormat/>
    <w:pPr>
      <w:ind w:left="1440" w:hanging="360"/>
      <w:contextualSpacing/>
    </w:pPr>
  </w:style>
  <w:style w:type="paragraph" w:styleId="28">
    <w:name w:val="List Continue 2"/>
    <w:basedOn w:val="a1"/>
    <w:semiHidden/>
    <w:qFormat/>
    <w:pPr>
      <w:spacing w:after="120"/>
      <w:ind w:left="720"/>
      <w:contextualSpacing/>
    </w:pPr>
  </w:style>
  <w:style w:type="paragraph" w:styleId="afff4">
    <w:name w:val="Message Header"/>
    <w:basedOn w:val="a1"/>
    <w:link w:val="afff5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HTML1">
    <w:name w:val="HTML Preformatted"/>
    <w:basedOn w:val="a1"/>
    <w:link w:val="HTML2"/>
    <w:semiHidden/>
    <w:qFormat/>
    <w:rPr>
      <w:rFonts w:ascii="Courier New" w:hAnsi="Courier New" w:cs="Courier New"/>
      <w:sz w:val="20"/>
    </w:rPr>
  </w:style>
  <w:style w:type="paragraph" w:styleId="afff6">
    <w:name w:val="Normal (Web)"/>
    <w:basedOn w:val="a1"/>
    <w:semiHidden/>
    <w:qFormat/>
    <w:rPr>
      <w:szCs w:val="24"/>
    </w:rPr>
  </w:style>
  <w:style w:type="paragraph" w:styleId="38">
    <w:name w:val="List Continue 3"/>
    <w:basedOn w:val="a1"/>
    <w:semiHidden/>
    <w:qFormat/>
    <w:pPr>
      <w:spacing w:after="120"/>
      <w:ind w:left="1080"/>
      <w:contextualSpacing/>
    </w:pPr>
  </w:style>
  <w:style w:type="paragraph" w:styleId="29">
    <w:name w:val="index 2"/>
    <w:basedOn w:val="a1"/>
    <w:next w:val="a1"/>
    <w:autoRedefine/>
    <w:semiHidden/>
    <w:qFormat/>
    <w:pPr>
      <w:ind w:left="480" w:hanging="240"/>
    </w:pPr>
  </w:style>
  <w:style w:type="paragraph" w:styleId="afff7">
    <w:name w:val="Title"/>
    <w:basedOn w:val="a1"/>
    <w:next w:val="a1"/>
    <w:link w:val="afff8"/>
    <w:semiHidden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fff9">
    <w:name w:val="annotation subject"/>
    <w:basedOn w:val="af2"/>
    <w:next w:val="af2"/>
    <w:link w:val="afffa"/>
    <w:semiHidden/>
    <w:qFormat/>
    <w:rPr>
      <w:b/>
      <w:bCs/>
    </w:rPr>
  </w:style>
  <w:style w:type="paragraph" w:styleId="afffb">
    <w:name w:val="Body Text First Indent"/>
    <w:basedOn w:val="af8"/>
    <w:link w:val="afffc"/>
    <w:semiHidden/>
    <w:qFormat/>
    <w:pPr>
      <w:ind w:firstLine="210"/>
    </w:pPr>
  </w:style>
  <w:style w:type="paragraph" w:styleId="2a">
    <w:name w:val="Body Text First Indent 2"/>
    <w:basedOn w:val="afa"/>
    <w:link w:val="2b"/>
    <w:semiHidden/>
    <w:qFormat/>
    <w:pPr>
      <w:ind w:firstLine="210"/>
    </w:pPr>
  </w:style>
  <w:style w:type="table" w:styleId="afffd">
    <w:name w:val="Table Grid"/>
    <w:basedOn w:val="a3"/>
    <w:uiPriority w:val="39"/>
    <w:qFormat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page number"/>
    <w:basedOn w:val="a2"/>
    <w:semiHidden/>
    <w:qFormat/>
  </w:style>
  <w:style w:type="character" w:styleId="affff">
    <w:name w:val="FollowedHyperlink"/>
    <w:semiHidden/>
    <w:unhideWhenUsed/>
    <w:qFormat/>
    <w:rPr>
      <w:color w:val="800080"/>
      <w:u w:val="single"/>
    </w:rPr>
  </w:style>
  <w:style w:type="character" w:styleId="affff0">
    <w:name w:val="Hyperlink"/>
    <w:uiPriority w:val="99"/>
    <w:qFormat/>
    <w:rPr>
      <w:color w:val="0000FF"/>
      <w:u w:val="single"/>
    </w:rPr>
  </w:style>
  <w:style w:type="character" w:styleId="affff1">
    <w:name w:val="annotation reference"/>
    <w:basedOn w:val="a2"/>
    <w:semiHidden/>
    <w:unhideWhenUsed/>
    <w:qFormat/>
    <w:rPr>
      <w:sz w:val="16"/>
      <w:szCs w:val="16"/>
    </w:rPr>
  </w:style>
  <w:style w:type="character" w:customStyle="1" w:styleId="10">
    <w:name w:val="标题 1 字符"/>
    <w:link w:val="1"/>
    <w:semiHidden/>
    <w:qFormat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qFormat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qFormat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qFormat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qFormat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qFormat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qFormat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</w:style>
  <w:style w:type="paragraph" w:customStyle="1" w:styleId="SMSubheading">
    <w:name w:val="SM Subheading"/>
    <w:basedOn w:val="a1"/>
    <w:qFormat/>
    <w:rPr>
      <w:u w:val="words"/>
    </w:rPr>
  </w:style>
  <w:style w:type="paragraph" w:customStyle="1" w:styleId="SMText">
    <w:name w:val="SM Text"/>
    <w:basedOn w:val="a1"/>
    <w:qFormat/>
    <w:pPr>
      <w:ind w:firstLine="480"/>
    </w:pPr>
  </w:style>
  <w:style w:type="paragraph" w:customStyle="1" w:styleId="SMcaption">
    <w:name w:val="SM caption"/>
    <w:basedOn w:val="SMText"/>
    <w:qFormat/>
    <w:pPr>
      <w:ind w:firstLine="0"/>
    </w:pPr>
  </w:style>
  <w:style w:type="character" w:customStyle="1" w:styleId="aff5">
    <w:name w:val="批注框文本 字符"/>
    <w:link w:val="aff4"/>
    <w:semiHidden/>
    <w:qFormat/>
    <w:rPr>
      <w:rFonts w:ascii="Tahoma" w:hAnsi="Tahoma" w:cs="Tahoma"/>
      <w:sz w:val="16"/>
      <w:szCs w:val="16"/>
    </w:rPr>
  </w:style>
  <w:style w:type="paragraph" w:customStyle="1" w:styleId="12">
    <w:name w:val="书目1"/>
    <w:basedOn w:val="a1"/>
    <w:next w:val="a1"/>
    <w:uiPriority w:val="37"/>
    <w:semiHidden/>
    <w:qFormat/>
  </w:style>
  <w:style w:type="character" w:customStyle="1" w:styleId="af9">
    <w:name w:val="正文文本 字符"/>
    <w:link w:val="af8"/>
    <w:semiHidden/>
    <w:qFormat/>
    <w:rPr>
      <w:sz w:val="24"/>
    </w:rPr>
  </w:style>
  <w:style w:type="character" w:customStyle="1" w:styleId="27">
    <w:name w:val="正文文本 2 字符"/>
    <w:link w:val="26"/>
    <w:semiHidden/>
    <w:qFormat/>
    <w:rPr>
      <w:sz w:val="24"/>
    </w:rPr>
  </w:style>
  <w:style w:type="character" w:customStyle="1" w:styleId="34">
    <w:name w:val="正文文本 3 字符"/>
    <w:link w:val="33"/>
    <w:semiHidden/>
    <w:qFormat/>
    <w:rPr>
      <w:sz w:val="16"/>
      <w:szCs w:val="16"/>
    </w:rPr>
  </w:style>
  <w:style w:type="character" w:customStyle="1" w:styleId="afffc">
    <w:name w:val="正文文本首行缩进 字符"/>
    <w:link w:val="afffb"/>
    <w:semiHidden/>
    <w:qFormat/>
    <w:rPr>
      <w:sz w:val="24"/>
    </w:rPr>
  </w:style>
  <w:style w:type="character" w:customStyle="1" w:styleId="afb">
    <w:name w:val="正文文本缩进 字符"/>
    <w:link w:val="afa"/>
    <w:semiHidden/>
    <w:qFormat/>
    <w:rPr>
      <w:sz w:val="24"/>
    </w:rPr>
  </w:style>
  <w:style w:type="character" w:customStyle="1" w:styleId="2b">
    <w:name w:val="正文文本首行缩进 2 字符"/>
    <w:link w:val="2a"/>
    <w:semiHidden/>
    <w:qFormat/>
    <w:rPr>
      <w:sz w:val="24"/>
    </w:rPr>
  </w:style>
  <w:style w:type="character" w:customStyle="1" w:styleId="25">
    <w:name w:val="正文文本缩进 2 字符"/>
    <w:link w:val="24"/>
    <w:semiHidden/>
    <w:qFormat/>
    <w:rPr>
      <w:sz w:val="24"/>
    </w:rPr>
  </w:style>
  <w:style w:type="character" w:customStyle="1" w:styleId="37">
    <w:name w:val="正文文本缩进 3 字符"/>
    <w:link w:val="36"/>
    <w:semiHidden/>
    <w:qFormat/>
    <w:rPr>
      <w:sz w:val="16"/>
      <w:szCs w:val="16"/>
    </w:rPr>
  </w:style>
  <w:style w:type="character" w:customStyle="1" w:styleId="af7">
    <w:name w:val="结束语 字符"/>
    <w:link w:val="af6"/>
    <w:semiHidden/>
    <w:qFormat/>
    <w:rPr>
      <w:sz w:val="24"/>
    </w:rPr>
  </w:style>
  <w:style w:type="character" w:customStyle="1" w:styleId="af3">
    <w:name w:val="批注文字 字符"/>
    <w:basedOn w:val="a2"/>
    <w:link w:val="af2"/>
    <w:uiPriority w:val="99"/>
    <w:semiHidden/>
    <w:qFormat/>
  </w:style>
  <w:style w:type="character" w:customStyle="1" w:styleId="afffa">
    <w:name w:val="批注主题 字符"/>
    <w:link w:val="afff9"/>
    <w:semiHidden/>
    <w:qFormat/>
    <w:rPr>
      <w:b/>
      <w:bCs/>
    </w:rPr>
  </w:style>
  <w:style w:type="character" w:customStyle="1" w:styleId="aff1">
    <w:name w:val="日期 字符"/>
    <w:link w:val="aff0"/>
    <w:semiHidden/>
    <w:qFormat/>
    <w:rPr>
      <w:sz w:val="24"/>
    </w:rPr>
  </w:style>
  <w:style w:type="character" w:customStyle="1" w:styleId="af0">
    <w:name w:val="文档结构图 字符"/>
    <w:link w:val="af"/>
    <w:semiHidden/>
    <w:qFormat/>
    <w:rPr>
      <w:rFonts w:ascii="Tahoma" w:hAnsi="Tahoma" w:cs="Tahoma"/>
      <w:sz w:val="16"/>
      <w:szCs w:val="16"/>
    </w:rPr>
  </w:style>
  <w:style w:type="character" w:customStyle="1" w:styleId="ab">
    <w:name w:val="电子邮件签名 字符"/>
    <w:link w:val="aa"/>
    <w:semiHidden/>
    <w:qFormat/>
    <w:rPr>
      <w:sz w:val="24"/>
    </w:rPr>
  </w:style>
  <w:style w:type="character" w:customStyle="1" w:styleId="aff3">
    <w:name w:val="尾注文本 字符"/>
    <w:basedOn w:val="a2"/>
    <w:link w:val="aff2"/>
    <w:semiHidden/>
    <w:qFormat/>
  </w:style>
  <w:style w:type="character" w:customStyle="1" w:styleId="aff7">
    <w:name w:val="页脚 字符"/>
    <w:link w:val="aff6"/>
    <w:semiHidden/>
    <w:qFormat/>
    <w:rPr>
      <w:sz w:val="24"/>
    </w:rPr>
  </w:style>
  <w:style w:type="character" w:customStyle="1" w:styleId="afff2">
    <w:name w:val="脚注文本 字符"/>
    <w:basedOn w:val="a2"/>
    <w:link w:val="afff1"/>
    <w:semiHidden/>
    <w:qFormat/>
  </w:style>
  <w:style w:type="character" w:customStyle="1" w:styleId="affa">
    <w:name w:val="页眉 字符"/>
    <w:link w:val="aff9"/>
    <w:semiHidden/>
    <w:qFormat/>
    <w:rPr>
      <w:sz w:val="24"/>
    </w:rPr>
  </w:style>
  <w:style w:type="character" w:customStyle="1" w:styleId="HTML0">
    <w:name w:val="HTML 地址 字符"/>
    <w:link w:val="HTML"/>
    <w:semiHidden/>
    <w:qFormat/>
    <w:rPr>
      <w:i/>
      <w:iCs/>
      <w:sz w:val="24"/>
    </w:rPr>
  </w:style>
  <w:style w:type="character" w:customStyle="1" w:styleId="HTML2">
    <w:name w:val="HTML 预设格式 字符"/>
    <w:link w:val="HTML1"/>
    <w:semiHidden/>
    <w:qFormat/>
    <w:rPr>
      <w:rFonts w:ascii="Courier New" w:hAnsi="Courier New" w:cs="Courier New"/>
    </w:rPr>
  </w:style>
  <w:style w:type="paragraph" w:styleId="affff2">
    <w:name w:val="Intense Quote"/>
    <w:basedOn w:val="a1"/>
    <w:next w:val="a1"/>
    <w:link w:val="affff3"/>
    <w:uiPriority w:val="30"/>
    <w:semiHidden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3">
    <w:name w:val="明显引用 字符"/>
    <w:link w:val="affff2"/>
    <w:uiPriority w:val="30"/>
    <w:semiHidden/>
    <w:qFormat/>
    <w:rPr>
      <w:b/>
      <w:bCs/>
      <w:i/>
      <w:iCs/>
      <w:color w:val="4F81BD"/>
      <w:sz w:val="24"/>
    </w:rPr>
  </w:style>
  <w:style w:type="paragraph" w:styleId="affff4">
    <w:name w:val="List Paragraph"/>
    <w:basedOn w:val="a1"/>
    <w:uiPriority w:val="34"/>
    <w:semiHidden/>
    <w:qFormat/>
    <w:pPr>
      <w:ind w:left="720"/>
    </w:pPr>
  </w:style>
  <w:style w:type="character" w:customStyle="1" w:styleId="a6">
    <w:name w:val="宏文本 字符"/>
    <w:link w:val="a5"/>
    <w:semiHidden/>
    <w:qFormat/>
    <w:rPr>
      <w:rFonts w:ascii="Courier New" w:hAnsi="Courier New" w:cs="Courier New"/>
      <w:lang w:val="en-US" w:eastAsia="en-US" w:bidi="ar-SA"/>
    </w:rPr>
  </w:style>
  <w:style w:type="character" w:customStyle="1" w:styleId="afff5">
    <w:name w:val="信息标题 字符"/>
    <w:link w:val="afff4"/>
    <w:semiHidden/>
    <w:qFormat/>
    <w:rPr>
      <w:rFonts w:ascii="Cambria" w:hAnsi="Cambria"/>
      <w:sz w:val="24"/>
      <w:szCs w:val="24"/>
      <w:shd w:val="pct20" w:color="auto" w:fill="auto"/>
    </w:rPr>
  </w:style>
  <w:style w:type="paragraph" w:styleId="affff5">
    <w:name w:val="No Spacing"/>
    <w:uiPriority w:val="1"/>
    <w:semiHidden/>
    <w:qFormat/>
    <w:rPr>
      <w:sz w:val="24"/>
      <w:lang w:eastAsia="en-US"/>
    </w:rPr>
  </w:style>
  <w:style w:type="character" w:customStyle="1" w:styleId="a9">
    <w:name w:val="注释标题 字符"/>
    <w:link w:val="a8"/>
    <w:semiHidden/>
    <w:qFormat/>
    <w:rPr>
      <w:sz w:val="24"/>
    </w:rPr>
  </w:style>
  <w:style w:type="character" w:customStyle="1" w:styleId="aff">
    <w:name w:val="纯文本 字符"/>
    <w:link w:val="afe"/>
    <w:semiHidden/>
    <w:qFormat/>
    <w:rPr>
      <w:rFonts w:ascii="Courier New" w:hAnsi="Courier New" w:cs="Courier New"/>
    </w:rPr>
  </w:style>
  <w:style w:type="paragraph" w:styleId="affff6">
    <w:name w:val="Quote"/>
    <w:basedOn w:val="a1"/>
    <w:next w:val="a1"/>
    <w:link w:val="affff7"/>
    <w:uiPriority w:val="29"/>
    <w:semiHidden/>
    <w:qFormat/>
    <w:rPr>
      <w:i/>
      <w:iCs/>
      <w:color w:val="000000"/>
    </w:rPr>
  </w:style>
  <w:style w:type="character" w:customStyle="1" w:styleId="affff7">
    <w:name w:val="引用 字符"/>
    <w:link w:val="affff6"/>
    <w:uiPriority w:val="29"/>
    <w:semiHidden/>
    <w:qFormat/>
    <w:rPr>
      <w:i/>
      <w:iCs/>
      <w:color w:val="000000"/>
      <w:sz w:val="24"/>
    </w:rPr>
  </w:style>
  <w:style w:type="character" w:customStyle="1" w:styleId="af5">
    <w:name w:val="称呼 字符"/>
    <w:link w:val="af4"/>
    <w:semiHidden/>
    <w:qFormat/>
    <w:rPr>
      <w:sz w:val="24"/>
    </w:rPr>
  </w:style>
  <w:style w:type="character" w:customStyle="1" w:styleId="affc">
    <w:name w:val="签名 字符"/>
    <w:link w:val="affb"/>
    <w:semiHidden/>
    <w:qFormat/>
    <w:rPr>
      <w:sz w:val="24"/>
    </w:rPr>
  </w:style>
  <w:style w:type="character" w:customStyle="1" w:styleId="afff">
    <w:name w:val="副标题 字符"/>
    <w:link w:val="affe"/>
    <w:semiHidden/>
    <w:qFormat/>
    <w:rPr>
      <w:rFonts w:ascii="Cambria" w:hAnsi="Cambria"/>
      <w:sz w:val="24"/>
      <w:szCs w:val="24"/>
    </w:rPr>
  </w:style>
  <w:style w:type="character" w:customStyle="1" w:styleId="afff8">
    <w:name w:val="标题 字符"/>
    <w:link w:val="afff7"/>
    <w:semiHidden/>
    <w:qFormat/>
    <w:rPr>
      <w:rFonts w:ascii="Cambria" w:hAnsi="Cambria"/>
      <w:b/>
      <w:bCs/>
      <w:kern w:val="28"/>
      <w:sz w:val="32"/>
      <w:szCs w:val="32"/>
    </w:rPr>
  </w:style>
  <w:style w:type="paragraph" w:customStyle="1" w:styleId="TOC10">
    <w:name w:val="TOC 标题1"/>
    <w:basedOn w:val="1"/>
    <w:next w:val="a1"/>
    <w:uiPriority w:val="39"/>
    <w:semiHidden/>
    <w:unhideWhenUsed/>
    <w:qFormat/>
    <w:pPr>
      <w:outlineLvl w:val="9"/>
    </w:pPr>
    <w:rPr>
      <w:rFonts w:ascii="Cambria" w:hAnsi="Cambria"/>
      <w:sz w:val="32"/>
      <w:szCs w:val="32"/>
    </w:rPr>
  </w:style>
  <w:style w:type="character" w:customStyle="1" w:styleId="13">
    <w:name w:val="未处理的提及1"/>
    <w:basedOn w:val="a2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pPr>
      <w:suppressAutoHyphens/>
      <w:jc w:val="center"/>
    </w:pPr>
    <w:rPr>
      <w:sz w:val="20"/>
      <w:lang w:eastAsia="ar-SA"/>
    </w:rPr>
  </w:style>
  <w:style w:type="character" w:customStyle="1" w:styleId="MainTextChar">
    <w:name w:val="Main Text Char"/>
    <w:link w:val="MainText"/>
    <w:qFormat/>
    <w:rPr>
      <w:rFonts w:eastAsia="MS Mincho"/>
      <w:sz w:val="24"/>
      <w:szCs w:val="24"/>
      <w:lang w:eastAsia="ja-JP"/>
    </w:rPr>
  </w:style>
  <w:style w:type="paragraph" w:customStyle="1" w:styleId="MainText">
    <w:name w:val="Main Text"/>
    <w:basedOn w:val="a1"/>
    <w:link w:val="MainTextChar"/>
    <w:qFormat/>
    <w:pPr>
      <w:spacing w:line="480" w:lineRule="auto"/>
    </w:pPr>
    <w:rPr>
      <w:rFonts w:eastAsia="MS Mincho"/>
      <w:szCs w:val="24"/>
      <w:lang w:eastAsia="ja-JP"/>
    </w:rPr>
  </w:style>
  <w:style w:type="paragraph" w:customStyle="1" w:styleId="Addresses">
    <w:name w:val="Addresses"/>
    <w:basedOn w:val="a1"/>
    <w:qFormat/>
    <w:rPr>
      <w:rFonts w:eastAsia="MS Mincho"/>
      <w:szCs w:val="24"/>
      <w:lang w:eastAsia="ja-JP"/>
    </w:rPr>
  </w:style>
  <w:style w:type="paragraph" w:customStyle="1" w:styleId="AuthorsFull">
    <w:name w:val="Authors Full"/>
    <w:basedOn w:val="a1"/>
    <w:qFormat/>
    <w:rPr>
      <w:rFonts w:eastAsia="MS Mincho"/>
      <w:i/>
      <w:szCs w:val="24"/>
      <w:lang w:eastAsia="ja-JP"/>
    </w:rPr>
  </w:style>
  <w:style w:type="table" w:customStyle="1" w:styleId="3-11">
    <w:name w:val="网格表 3 - 着色 11"/>
    <w:basedOn w:val="a3"/>
    <w:uiPriority w:val="48"/>
    <w:qFormat/>
    <w:rPr>
      <w:rFonts w:asciiTheme="minorHAnsi" w:hAnsiTheme="minorHAnsi" w:cstheme="minorBidi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paragraph" w:customStyle="1" w:styleId="TCTableBody">
    <w:name w:val="TC_Table_Body"/>
    <w:basedOn w:val="a1"/>
    <w:qFormat/>
    <w:pPr>
      <w:spacing w:after="200"/>
      <w:jc w:val="both"/>
    </w:pPr>
    <w:rPr>
      <w:rFonts w:ascii="Times" w:eastAsia="宋体" w:hAnsi="Times"/>
    </w:rPr>
  </w:style>
  <w:style w:type="character" w:customStyle="1" w:styleId="2c">
    <w:name w:val="未处理的提及2"/>
    <w:basedOn w:val="a2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1140</Words>
  <Characters>5999</Characters>
  <Application>Microsoft Office Word</Application>
  <DocSecurity>0</DocSecurity>
  <Lines>352</Lines>
  <Paragraphs>237</Paragraphs>
  <ScaleCrop>false</ScaleCrop>
  <Company>AAAS</Company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twwu7777@163.com</cp:lastModifiedBy>
  <cp:revision>7</cp:revision>
  <cp:lastPrinted>2018-01-11T19:53:00Z</cp:lastPrinted>
  <dcterms:created xsi:type="dcterms:W3CDTF">2025-03-29T08:58:00Z</dcterms:created>
  <dcterms:modified xsi:type="dcterms:W3CDTF">2025-04-21T15:23:00Z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KSOTemplateDocerSaveRecord">
    <vt:lpwstr>eyJoZGlkIjoiZGExZWRkMWViZTcwNjBjNDhhYjdiMGRhMTViZGM1NGMifQ==</vt:lpwstr>
  </property>
  <property fmtid="{D5CDD505-2E9C-101B-9397-08002B2CF9AE}" pid="4" name="KSOProductBuildVer">
    <vt:lpwstr>2052-12.1.0.20305</vt:lpwstr>
  </property>
  <property fmtid="{D5CDD505-2E9C-101B-9397-08002B2CF9AE}" pid="5" name="ICV">
    <vt:lpwstr>BE23347F591D4B4CA0D690B6D2C7D8D2_12</vt:lpwstr>
  </property>
</Properties>
</file>