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E9" w14:textId="77777777" w:rsidR="007F0CA8" w:rsidRPr="00D82851" w:rsidRDefault="00133AE2">
      <w:pPr>
        <w:pStyle w:val="Heading2"/>
        <w:spacing w:after="0"/>
      </w:pPr>
      <w:r w:rsidRPr="00D82851">
        <w:t>Tables and figures</w:t>
      </w:r>
    </w:p>
    <w:p w14:paraId="000000EA" w14:textId="77777777" w:rsidR="007F0CA8" w:rsidRPr="00D82851" w:rsidRDefault="00133AE2">
      <w:pPr>
        <w:keepNext/>
        <w:pBdr>
          <w:top w:val="nil"/>
          <w:left w:val="nil"/>
          <w:bottom w:val="nil"/>
          <w:right w:val="nil"/>
          <w:between w:val="nil"/>
        </w:pBdr>
        <w:spacing w:after="0" w:line="240" w:lineRule="auto"/>
        <w:rPr>
          <w:i/>
          <w:color w:val="44546A"/>
          <w:sz w:val="18"/>
          <w:szCs w:val="18"/>
        </w:rPr>
      </w:pPr>
      <w:r w:rsidRPr="00D82851">
        <w:rPr>
          <w:i/>
          <w:color w:val="44546A"/>
          <w:sz w:val="18"/>
          <w:szCs w:val="18"/>
        </w:rPr>
        <w:t>Table 1. Checklist - key performance metrics, study design elements, calibration specifications, reporting standards, and safety measures for CMG devices in Latin America</w:t>
      </w:r>
    </w:p>
    <w:tbl>
      <w:tblPr>
        <w:tblW w:w="14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846"/>
        <w:gridCol w:w="11197"/>
        <w:gridCol w:w="567"/>
        <w:gridCol w:w="567"/>
        <w:gridCol w:w="996"/>
      </w:tblGrid>
      <w:tr w:rsidR="00612EBE" w14:paraId="6D2982D2" w14:textId="77777777">
        <w:trPr>
          <w:trHeight w:val="242"/>
        </w:trPr>
        <w:tc>
          <w:tcPr>
            <w:tcW w:w="12044" w:type="dxa"/>
            <w:gridSpan w:val="2"/>
            <w:shd w:val="clear" w:color="auto" w:fill="BFBFBF"/>
            <w:vAlign w:val="center"/>
          </w:tcPr>
          <w:p w14:paraId="000000EB" w14:textId="77777777" w:rsidR="007F0CA8" w:rsidRDefault="00133AE2">
            <w:pPr>
              <w:spacing w:after="0" w:line="240" w:lineRule="auto"/>
              <w:jc w:val="left"/>
              <w:rPr>
                <w:rFonts w:ascii="Calibri" w:eastAsia="Calibri" w:hAnsi="Calibri" w:cs="Calibri"/>
                <w:b/>
                <w:sz w:val="16"/>
                <w:szCs w:val="16"/>
              </w:rPr>
            </w:pPr>
            <w:r>
              <w:rPr>
                <w:rFonts w:ascii="Calibri" w:eastAsia="Calibri" w:hAnsi="Calibri" w:cs="Calibri"/>
                <w:b/>
                <w:sz w:val="16"/>
                <w:szCs w:val="16"/>
              </w:rPr>
              <w:t>Criteria</w:t>
            </w:r>
          </w:p>
        </w:tc>
        <w:tc>
          <w:tcPr>
            <w:tcW w:w="567" w:type="dxa"/>
            <w:shd w:val="clear" w:color="auto" w:fill="BFBFBF"/>
            <w:vAlign w:val="center"/>
          </w:tcPr>
          <w:p w14:paraId="000000ED" w14:textId="77777777" w:rsidR="007F0CA8" w:rsidRDefault="00133AE2">
            <w:pPr>
              <w:spacing w:after="0" w:line="240" w:lineRule="auto"/>
              <w:jc w:val="center"/>
              <w:rPr>
                <w:rFonts w:ascii="Calibri" w:eastAsia="Calibri" w:hAnsi="Calibri" w:cs="Calibri"/>
                <w:b/>
                <w:sz w:val="16"/>
                <w:szCs w:val="16"/>
              </w:rPr>
            </w:pPr>
            <w:r>
              <w:rPr>
                <w:rFonts w:ascii="Calibri" w:eastAsia="Calibri" w:hAnsi="Calibri" w:cs="Calibri"/>
                <w:b/>
                <w:sz w:val="16"/>
                <w:szCs w:val="16"/>
              </w:rPr>
              <w:t>Yes</w:t>
            </w:r>
          </w:p>
        </w:tc>
        <w:tc>
          <w:tcPr>
            <w:tcW w:w="567" w:type="dxa"/>
            <w:shd w:val="clear" w:color="auto" w:fill="BFBFBF"/>
            <w:vAlign w:val="center"/>
          </w:tcPr>
          <w:p w14:paraId="000000EE" w14:textId="77777777" w:rsidR="007F0CA8" w:rsidRDefault="00133AE2">
            <w:pPr>
              <w:spacing w:after="0" w:line="240" w:lineRule="auto"/>
              <w:jc w:val="center"/>
              <w:rPr>
                <w:rFonts w:ascii="Calibri" w:eastAsia="Calibri" w:hAnsi="Calibri" w:cs="Calibri"/>
                <w:b/>
                <w:sz w:val="16"/>
                <w:szCs w:val="16"/>
              </w:rPr>
            </w:pPr>
            <w:r>
              <w:rPr>
                <w:rFonts w:ascii="Calibri" w:eastAsia="Calibri" w:hAnsi="Calibri" w:cs="Calibri"/>
                <w:b/>
                <w:sz w:val="16"/>
                <w:szCs w:val="16"/>
              </w:rPr>
              <w:t>No</w:t>
            </w:r>
          </w:p>
        </w:tc>
        <w:tc>
          <w:tcPr>
            <w:tcW w:w="996" w:type="dxa"/>
            <w:shd w:val="clear" w:color="auto" w:fill="BFBFBF"/>
            <w:vAlign w:val="center"/>
          </w:tcPr>
          <w:p w14:paraId="000000EF" w14:textId="77777777" w:rsidR="007F0CA8" w:rsidRDefault="00133AE2">
            <w:pPr>
              <w:spacing w:after="0" w:line="240" w:lineRule="auto"/>
              <w:jc w:val="center"/>
              <w:rPr>
                <w:rFonts w:ascii="Calibri" w:eastAsia="Calibri" w:hAnsi="Calibri" w:cs="Calibri"/>
                <w:b/>
                <w:sz w:val="16"/>
                <w:szCs w:val="16"/>
              </w:rPr>
            </w:pPr>
            <w:r>
              <w:rPr>
                <w:rFonts w:ascii="Calibri" w:eastAsia="Calibri" w:hAnsi="Calibri" w:cs="Calibri"/>
                <w:b/>
                <w:sz w:val="16"/>
                <w:szCs w:val="16"/>
              </w:rPr>
              <w:t>Comment</w:t>
            </w:r>
          </w:p>
        </w:tc>
      </w:tr>
      <w:tr w:rsidR="007F0CA8" w14:paraId="6C8C9A96" w14:textId="77777777" w:rsidTr="00D82851">
        <w:trPr>
          <w:trHeight w:val="227"/>
        </w:trPr>
        <w:tc>
          <w:tcPr>
            <w:tcW w:w="14174" w:type="dxa"/>
            <w:gridSpan w:val="5"/>
            <w:shd w:val="clear" w:color="auto" w:fill="D9D9D9"/>
            <w:vAlign w:val="center"/>
          </w:tcPr>
          <w:p w14:paraId="000000F0" w14:textId="4404756F" w:rsidR="007F0CA8" w:rsidRDefault="00133AE2">
            <w:pPr>
              <w:spacing w:after="0" w:line="240" w:lineRule="auto"/>
              <w:jc w:val="left"/>
              <w:rPr>
                <w:rFonts w:ascii="Calibri" w:eastAsia="Calibri" w:hAnsi="Calibri" w:cs="Calibri"/>
                <w:sz w:val="16"/>
                <w:szCs w:val="16"/>
              </w:rPr>
            </w:pPr>
            <w:r>
              <w:rPr>
                <w:rFonts w:ascii="Calibri" w:eastAsia="Calibri" w:hAnsi="Calibri" w:cs="Calibri"/>
                <w:b/>
                <w:color w:val="000000"/>
                <w:sz w:val="16"/>
                <w:szCs w:val="16"/>
              </w:rPr>
              <w:t xml:space="preserve">1. </w:t>
            </w:r>
            <w:r w:rsidR="00C91C62">
              <w:rPr>
                <w:rFonts w:ascii="Calibri" w:eastAsia="Calibri" w:hAnsi="Calibri" w:cs="Calibri"/>
                <w:b/>
                <w:color w:val="000000"/>
                <w:sz w:val="16"/>
                <w:szCs w:val="16"/>
              </w:rPr>
              <w:t>A</w:t>
            </w:r>
            <w:r>
              <w:rPr>
                <w:rFonts w:ascii="Calibri" w:eastAsia="Calibri" w:hAnsi="Calibri" w:cs="Calibri"/>
                <w:b/>
                <w:color w:val="000000"/>
                <w:sz w:val="16"/>
                <w:szCs w:val="16"/>
              </w:rPr>
              <w:t xml:space="preserve">ccuracy </w:t>
            </w:r>
            <w:r w:rsidR="000A4DCB">
              <w:rPr>
                <w:rFonts w:ascii="Calibri" w:eastAsia="Calibri" w:hAnsi="Calibri" w:cs="Calibri"/>
                <w:b/>
                <w:color w:val="000000"/>
                <w:sz w:val="16"/>
                <w:szCs w:val="16"/>
              </w:rPr>
              <w:t>criteri</w:t>
            </w:r>
            <w:r w:rsidR="0051469C">
              <w:rPr>
                <w:rFonts w:ascii="Calibri" w:eastAsia="Calibri" w:hAnsi="Calibri" w:cs="Calibri"/>
                <w:b/>
                <w:color w:val="000000"/>
                <w:sz w:val="16"/>
                <w:szCs w:val="16"/>
              </w:rPr>
              <w:t>a</w:t>
            </w:r>
          </w:p>
        </w:tc>
      </w:tr>
      <w:tr w:rsidR="007F0CA8" w:rsidRPr="00057810" w14:paraId="659CC4BE" w14:textId="77777777" w:rsidTr="00D82851">
        <w:trPr>
          <w:trHeight w:val="227"/>
        </w:trPr>
        <w:tc>
          <w:tcPr>
            <w:tcW w:w="846" w:type="dxa"/>
            <w:shd w:val="clear" w:color="auto" w:fill="auto"/>
            <w:vAlign w:val="center"/>
          </w:tcPr>
          <w:p w14:paraId="000000F5"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1</w:t>
            </w:r>
          </w:p>
        </w:tc>
        <w:tc>
          <w:tcPr>
            <w:tcW w:w="11198" w:type="dxa"/>
            <w:shd w:val="clear" w:color="auto" w:fill="auto"/>
            <w:vAlign w:val="center"/>
          </w:tcPr>
          <w:p w14:paraId="000000F6" w14:textId="1EB0F454" w:rsidR="007F0CA8" w:rsidRPr="00D82851" w:rsidRDefault="00F467C0">
            <w:pPr>
              <w:spacing w:after="0" w:line="240" w:lineRule="auto"/>
              <w:jc w:val="left"/>
              <w:rPr>
                <w:rFonts w:ascii="Calibri" w:eastAsia="Calibri" w:hAnsi="Calibri" w:cs="Calibri"/>
                <w:sz w:val="16"/>
                <w:szCs w:val="16"/>
              </w:rPr>
            </w:pPr>
            <w:r w:rsidRPr="00F467C0">
              <w:rPr>
                <w:rFonts w:ascii="Calibri" w:eastAsia="Calibri" w:hAnsi="Calibri" w:cs="Calibri"/>
                <w:sz w:val="16"/>
                <w:szCs w:val="16"/>
              </w:rPr>
              <w:t>Precision and accuracy are reported using the following metrics: Mean Absolute Relative Difference (MARD), consensus error grid, and percent of results within a defined range vs reference</w:t>
            </w:r>
          </w:p>
        </w:tc>
        <w:tc>
          <w:tcPr>
            <w:tcW w:w="567" w:type="dxa"/>
            <w:vAlign w:val="center"/>
          </w:tcPr>
          <w:p w14:paraId="000000F7" w14:textId="77777777" w:rsidR="007F0CA8" w:rsidRPr="00D82851" w:rsidRDefault="007F0CA8">
            <w:pPr>
              <w:spacing w:after="0" w:line="240" w:lineRule="auto"/>
              <w:jc w:val="left"/>
              <w:rPr>
                <w:rFonts w:ascii="Calibri" w:eastAsia="Calibri" w:hAnsi="Calibri" w:cs="Calibri"/>
                <w:sz w:val="16"/>
                <w:szCs w:val="16"/>
              </w:rPr>
            </w:pPr>
          </w:p>
        </w:tc>
        <w:tc>
          <w:tcPr>
            <w:tcW w:w="567" w:type="dxa"/>
            <w:vAlign w:val="center"/>
          </w:tcPr>
          <w:p w14:paraId="000000F8" w14:textId="77777777" w:rsidR="007F0CA8" w:rsidRPr="00D82851" w:rsidRDefault="007F0CA8">
            <w:pPr>
              <w:spacing w:after="0" w:line="240" w:lineRule="auto"/>
              <w:jc w:val="left"/>
              <w:rPr>
                <w:rFonts w:ascii="Calibri" w:eastAsia="Calibri" w:hAnsi="Calibri" w:cs="Calibri"/>
                <w:sz w:val="16"/>
                <w:szCs w:val="16"/>
              </w:rPr>
            </w:pPr>
          </w:p>
        </w:tc>
        <w:tc>
          <w:tcPr>
            <w:tcW w:w="996" w:type="dxa"/>
            <w:vAlign w:val="center"/>
          </w:tcPr>
          <w:p w14:paraId="000000F9" w14:textId="77777777" w:rsidR="007F0CA8" w:rsidRPr="00D82851" w:rsidRDefault="007F0CA8">
            <w:pPr>
              <w:spacing w:after="0" w:line="240" w:lineRule="auto"/>
              <w:jc w:val="left"/>
              <w:rPr>
                <w:rFonts w:ascii="Calibri" w:eastAsia="Calibri" w:hAnsi="Calibri" w:cs="Calibri"/>
                <w:sz w:val="16"/>
                <w:szCs w:val="16"/>
              </w:rPr>
            </w:pPr>
          </w:p>
        </w:tc>
      </w:tr>
      <w:tr w:rsidR="007F0CA8" w:rsidRPr="00057810" w14:paraId="5841BC50" w14:textId="77777777" w:rsidTr="00D82851">
        <w:trPr>
          <w:trHeight w:val="227"/>
        </w:trPr>
        <w:tc>
          <w:tcPr>
            <w:tcW w:w="846" w:type="dxa"/>
            <w:shd w:val="clear" w:color="auto" w:fill="auto"/>
            <w:vAlign w:val="center"/>
          </w:tcPr>
          <w:p w14:paraId="000000FA"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1.1.</w:t>
            </w:r>
          </w:p>
        </w:tc>
        <w:tc>
          <w:tcPr>
            <w:tcW w:w="11198" w:type="dxa"/>
            <w:shd w:val="clear" w:color="auto" w:fill="auto"/>
            <w:vAlign w:val="center"/>
          </w:tcPr>
          <w:p w14:paraId="000000FB" w14:textId="7E9DE200"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MARD</w:t>
            </w:r>
            <w:r w:rsidRPr="00D82851">
              <w:rPr>
                <w:rFonts w:ascii="Calibri" w:eastAsia="Calibri" w:hAnsi="Calibri" w:cs="Calibri"/>
                <w:sz w:val="16"/>
                <w:szCs w:val="16"/>
              </w:rPr>
              <w:t xml:space="preserve">: The device demonstrates a Mean Absolute </w:t>
            </w:r>
            <w:r w:rsidR="001C219A" w:rsidRPr="00D82851">
              <w:rPr>
                <w:rFonts w:ascii="Calibri" w:eastAsia="Calibri" w:hAnsi="Calibri" w:cs="Calibri"/>
                <w:sz w:val="16"/>
                <w:szCs w:val="16"/>
              </w:rPr>
              <w:t>Relative</w:t>
            </w:r>
            <w:r w:rsidRPr="00D82851">
              <w:rPr>
                <w:rFonts w:ascii="Calibri" w:eastAsia="Calibri" w:hAnsi="Calibri" w:cs="Calibri"/>
                <w:sz w:val="16"/>
                <w:szCs w:val="16"/>
              </w:rPr>
              <w:t xml:space="preserve"> Difference (MARD) &lt; 10%</w:t>
            </w:r>
            <w:r w:rsidR="00D227D9">
              <w:rPr>
                <w:rFonts w:ascii="Calibri" w:eastAsia="Calibri" w:hAnsi="Calibri" w:cs="Calibri"/>
                <w:sz w:val="16"/>
                <w:szCs w:val="16"/>
              </w:rPr>
              <w:t xml:space="preserve"> </w:t>
            </w:r>
            <w:r w:rsidR="00D227D9" w:rsidRPr="00D227D9">
              <w:rPr>
                <w:rFonts w:ascii="Calibri" w:eastAsia="Calibri" w:hAnsi="Calibri" w:cs="Calibri"/>
                <w:sz w:val="16"/>
                <w:szCs w:val="16"/>
              </w:rPr>
              <w:t>when compared with venous blood glucose</w:t>
            </w:r>
            <w:r w:rsidR="00714A0D" w:rsidDel="00714A0D">
              <w:rPr>
                <w:rFonts w:ascii="Calibri" w:eastAsia="Calibri" w:hAnsi="Calibri" w:cs="Calibri"/>
                <w:sz w:val="16"/>
                <w:szCs w:val="16"/>
              </w:rPr>
              <w:t xml:space="preserve"> </w:t>
            </w:r>
          </w:p>
        </w:tc>
        <w:tc>
          <w:tcPr>
            <w:tcW w:w="567" w:type="dxa"/>
            <w:vAlign w:val="center"/>
          </w:tcPr>
          <w:p w14:paraId="000000FC"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0FD"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0FE"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0B4C6E93" w14:textId="77777777" w:rsidTr="00D82851">
        <w:trPr>
          <w:trHeight w:val="227"/>
        </w:trPr>
        <w:tc>
          <w:tcPr>
            <w:tcW w:w="846" w:type="dxa"/>
            <w:shd w:val="clear" w:color="auto" w:fill="auto"/>
            <w:vAlign w:val="center"/>
          </w:tcPr>
          <w:p w14:paraId="000000FF"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1.1.1.</w:t>
            </w:r>
          </w:p>
        </w:tc>
        <w:tc>
          <w:tcPr>
            <w:tcW w:w="11198" w:type="dxa"/>
            <w:shd w:val="clear" w:color="auto" w:fill="auto"/>
            <w:vAlign w:val="center"/>
          </w:tcPr>
          <w:p w14:paraId="00000100" w14:textId="48097D11"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sz w:val="16"/>
                <w:szCs w:val="16"/>
              </w:rPr>
              <w:t xml:space="preserve"> </w:t>
            </w:r>
            <w:r w:rsidR="00F467C0" w:rsidRPr="00F467C0">
              <w:rPr>
                <w:rFonts w:ascii="Calibri" w:eastAsia="Calibri" w:hAnsi="Calibri" w:cs="Calibri"/>
                <w:sz w:val="16"/>
                <w:szCs w:val="16"/>
              </w:rPr>
              <w:t>MARD is reported throughout the sensor’s operational lifespan, considering different glucose thresholds such as hypoglycemia, hyperglycemia, and Time in Range (TIR)</w:t>
            </w:r>
          </w:p>
        </w:tc>
        <w:tc>
          <w:tcPr>
            <w:tcW w:w="567" w:type="dxa"/>
            <w:vAlign w:val="center"/>
          </w:tcPr>
          <w:p w14:paraId="00000101" w14:textId="77777777" w:rsidR="007F0CA8" w:rsidRPr="00D82851" w:rsidRDefault="007F0CA8">
            <w:pPr>
              <w:spacing w:after="0" w:line="240" w:lineRule="auto"/>
              <w:jc w:val="left"/>
              <w:rPr>
                <w:rFonts w:ascii="Calibri" w:eastAsia="Calibri" w:hAnsi="Calibri" w:cs="Calibri"/>
                <w:sz w:val="16"/>
                <w:szCs w:val="16"/>
              </w:rPr>
            </w:pPr>
          </w:p>
        </w:tc>
        <w:tc>
          <w:tcPr>
            <w:tcW w:w="567" w:type="dxa"/>
            <w:vAlign w:val="center"/>
          </w:tcPr>
          <w:p w14:paraId="00000102" w14:textId="77777777" w:rsidR="007F0CA8" w:rsidRPr="00D82851" w:rsidRDefault="007F0CA8">
            <w:pPr>
              <w:spacing w:after="0" w:line="240" w:lineRule="auto"/>
              <w:jc w:val="left"/>
              <w:rPr>
                <w:rFonts w:ascii="Calibri" w:eastAsia="Calibri" w:hAnsi="Calibri" w:cs="Calibri"/>
                <w:sz w:val="16"/>
                <w:szCs w:val="16"/>
              </w:rPr>
            </w:pPr>
          </w:p>
        </w:tc>
        <w:tc>
          <w:tcPr>
            <w:tcW w:w="996" w:type="dxa"/>
            <w:vAlign w:val="center"/>
          </w:tcPr>
          <w:p w14:paraId="00000103" w14:textId="77777777" w:rsidR="007F0CA8" w:rsidRPr="00D82851" w:rsidRDefault="007F0CA8">
            <w:pPr>
              <w:spacing w:after="0" w:line="240" w:lineRule="auto"/>
              <w:jc w:val="left"/>
              <w:rPr>
                <w:rFonts w:ascii="Calibri" w:eastAsia="Calibri" w:hAnsi="Calibri" w:cs="Calibri"/>
                <w:sz w:val="16"/>
                <w:szCs w:val="16"/>
              </w:rPr>
            </w:pPr>
          </w:p>
        </w:tc>
      </w:tr>
      <w:tr w:rsidR="007F0CA8" w:rsidRPr="00057810" w14:paraId="0E3AC736" w14:textId="77777777" w:rsidTr="00D82851">
        <w:trPr>
          <w:trHeight w:val="227"/>
        </w:trPr>
        <w:tc>
          <w:tcPr>
            <w:tcW w:w="846" w:type="dxa"/>
            <w:shd w:val="clear" w:color="auto" w:fill="auto"/>
            <w:vAlign w:val="center"/>
          </w:tcPr>
          <w:p w14:paraId="00000104"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1.2.</w:t>
            </w:r>
          </w:p>
        </w:tc>
        <w:tc>
          <w:tcPr>
            <w:tcW w:w="11198" w:type="dxa"/>
            <w:shd w:val="clear" w:color="auto" w:fill="auto"/>
            <w:vAlign w:val="center"/>
          </w:tcPr>
          <w:p w14:paraId="00000105" w14:textId="4F855478" w:rsidR="007F0CA8" w:rsidRPr="00BA4930" w:rsidRDefault="00BA4930">
            <w:pPr>
              <w:spacing w:after="0" w:line="240" w:lineRule="auto"/>
              <w:jc w:val="left"/>
              <w:rPr>
                <w:rFonts w:ascii="Calibri" w:eastAsia="Calibri" w:hAnsi="Calibri" w:cs="Calibri"/>
                <w:b/>
                <w:sz w:val="16"/>
                <w:szCs w:val="16"/>
              </w:rPr>
            </w:pPr>
            <w:r w:rsidRPr="00BA4930">
              <w:rPr>
                <w:rFonts w:ascii="Calibri" w:eastAsia="Calibri" w:hAnsi="Calibri" w:cs="Calibri"/>
                <w:b/>
                <w:sz w:val="16"/>
                <w:szCs w:val="16"/>
              </w:rPr>
              <w:t xml:space="preserve">Consensus error grid: </w:t>
            </w:r>
            <w:r w:rsidR="007B58F0" w:rsidRPr="007B58F0">
              <w:rPr>
                <w:rFonts w:ascii="Calibri" w:eastAsia="Calibri" w:hAnsi="Calibri" w:cs="Calibri"/>
                <w:bCs/>
                <w:sz w:val="16"/>
                <w:szCs w:val="16"/>
              </w:rPr>
              <w:t>Report results in Zones A and B, in which have no effect on the clinical action or the action would have little effect on the clinical outcome</w:t>
            </w:r>
            <w:r w:rsidR="007B58F0" w:rsidRPr="007B58F0" w:rsidDel="007B58F0">
              <w:rPr>
                <w:rFonts w:ascii="Calibri" w:eastAsia="Calibri" w:hAnsi="Calibri" w:cs="Calibri"/>
                <w:bCs/>
                <w:sz w:val="16"/>
                <w:szCs w:val="16"/>
              </w:rPr>
              <w:t xml:space="preserve"> </w:t>
            </w:r>
          </w:p>
        </w:tc>
        <w:tc>
          <w:tcPr>
            <w:tcW w:w="567" w:type="dxa"/>
            <w:vAlign w:val="center"/>
          </w:tcPr>
          <w:p w14:paraId="00000106"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07"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08"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7FF912DE" w14:textId="77777777" w:rsidTr="00D82851">
        <w:trPr>
          <w:trHeight w:val="227"/>
        </w:trPr>
        <w:tc>
          <w:tcPr>
            <w:tcW w:w="846" w:type="dxa"/>
            <w:shd w:val="clear" w:color="auto" w:fill="auto"/>
            <w:vAlign w:val="center"/>
          </w:tcPr>
          <w:p w14:paraId="00000109"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1.3.</w:t>
            </w:r>
          </w:p>
        </w:tc>
        <w:tc>
          <w:tcPr>
            <w:tcW w:w="11198" w:type="dxa"/>
            <w:shd w:val="clear" w:color="auto" w:fill="auto"/>
            <w:vAlign w:val="center"/>
          </w:tcPr>
          <w:p w14:paraId="1B3A64E6" w14:textId="55115481" w:rsidR="004F688E" w:rsidRDefault="00133AE2" w:rsidP="004F688E">
            <w:pPr>
              <w:spacing w:after="0" w:line="240" w:lineRule="auto"/>
              <w:jc w:val="left"/>
              <w:rPr>
                <w:rFonts w:ascii="Calibri" w:eastAsia="Calibri" w:hAnsi="Calibri" w:cs="Calibri"/>
                <w:b/>
                <w:bCs/>
                <w:sz w:val="16"/>
                <w:szCs w:val="16"/>
              </w:rPr>
            </w:pPr>
            <w:r w:rsidRPr="00D82851">
              <w:rPr>
                <w:rFonts w:ascii="Calibri" w:eastAsia="Calibri" w:hAnsi="Calibri" w:cs="Calibri"/>
                <w:b/>
                <w:sz w:val="16"/>
                <w:szCs w:val="16"/>
              </w:rPr>
              <w:t>Agreement rate</w:t>
            </w:r>
            <w:r w:rsidRPr="00D82851">
              <w:rPr>
                <w:rFonts w:ascii="Calibri" w:eastAsia="Calibri" w:hAnsi="Calibri" w:cs="Calibri"/>
                <w:sz w:val="16"/>
                <w:szCs w:val="16"/>
              </w:rPr>
              <w:t xml:space="preserve">: </w:t>
            </w:r>
            <w:r w:rsidR="000F5021" w:rsidRPr="000F5021">
              <w:rPr>
                <w:rFonts w:ascii="Calibri" w:eastAsia="Calibri" w:hAnsi="Calibri" w:cs="Calibri"/>
                <w:sz w:val="16"/>
                <w:szCs w:val="16"/>
              </w:rPr>
              <w:t>Agreement thresholds for iCGM accuracy: Each item below specifies the minimum percentage of acceptable agreement relative to blood glucose values across defined glycemic ranges</w:t>
            </w:r>
            <w:r w:rsidR="000F5021">
              <w:rPr>
                <w:rFonts w:ascii="Calibri" w:eastAsia="Calibri" w:hAnsi="Calibri" w:cs="Calibri"/>
                <w:sz w:val="16"/>
                <w:szCs w:val="16"/>
              </w:rPr>
              <w:fldChar w:fldCharType="begin" w:fldLock="1"/>
            </w:r>
            <w:r w:rsidR="001263DB">
              <w:rPr>
                <w:rFonts w:ascii="Calibri" w:eastAsia="Calibri" w:hAnsi="Calibri" w:cs="Calibri"/>
                <w:sz w:val="16"/>
                <w:szCs w:val="16"/>
              </w:rPr>
              <w:instrText>ADDIN CSL_CITATION {"citationItems":[{"id":"ITEM-1","itemData":{"DOI":"10.1177/19322968241250357","ISSN":"1932-2968","abstract":"Continuous glucose monitoring (CGM) has been shown to improve glycemic control and self-monitoring, as well as to reduce the risk of hypoglycemia. Integrated CGM (iCGM) FDA-cleared systems with published performance data are established nonadjunctive and accurate CGM tools that can directly inform decision-making in the treatment of diabetes (i.e., insulin dosing). Studies have assessed accuracy and safety data of CGMs that were eventually cleared for iCGM by the FDA and that informed the recommendation for their nonadjunctive use. Subsequent robust clinical trials and real-world studies demonstrated clinical effectiveness with improvements in a range of patient outcomes. In recent years, a number of non-iCGM-approved CGM devices have entered the market outside the United States worldwide. Some of these non-iCGM-approved CGM devices require additional user verification of blood glucose levels to be performed for making treatment decisions, termed adjunctive. Moreover, in many non-iCGM-approved CGM devices, accuracy studies published in peer-reviewed journals are scarce or have many limitations. Consequently, non-iCGM-approved CGM devices cannot be automatically perceived as having the same performance or quality standards than those approved for iCGM by the FDA. As a result, although these devices tend to cost less than iCGMs that carry FDA clearance and could therefore be attractive from the point of view of a health care payer, it must be emphasized that evaluation of costs should not be limited to the device (such as the usability preference that patients have for nonadjunctive sensors compared to adjunctive sensors) but to the wider value of the total benefit that the product provides to the patient.","author":[{"dropping-particle":"","family":"Klonoff","given":"David C","non-dropping-particle":"","parse-names":false,"suffix":""},{"dropping-particle":"","family":"Gabbay","given":"Monica","non-dropping-particle":"","parse-names":false,"suffix":""},{"dropping-particle":"","family":"Moon","given":"Sun Joon","non-dropping-particle":"","parse-names":false,"suffix":""},{"dropping-particle":"","family":"Wilmot","given":"Emma G","non-dropping-particle":"","parse-names":false,"suffix":""}],"container-title":"Journal of Diabetes Science and Technology","id":"ITEM-1","issued":{"date-parts":[["2024","5","3"]]},"title":"Importance of FDA-Integrated Continuous Glucose Monitors to Ensure Accuracy of Continuous Glucose Monitoring","type":"article-journal"},"uris":["http://www.mendeley.com/documents/?uuid=93bbb02d-2a08-4fee-8205-64a1e2789bbd"]},{"id":"ITEM-2","itemData":{"DOI":"10.1111/dom.14962","ISSN":"1462-8902","abstract":"The National Institute for Clinical Excellence updated guidance for continuous glucose monitoring (CGM) in 2022, recommending that CGM be available to all people living with type 1 diabetes. Manufacturers can trade in the UK with Conformité Européenne (CE) marking without an initial national assessment. The regulatory process for CGM CE marking, in contrast to the Food and Drug Administration (FDA) and Australian Therapeutic Goods Administration (TGA) process, is described. Manufacturers operating in the UK provided clinical accuracy studies submitted for CE marking. Critical appraisal of the studies shows several CGM devices have CE marking for wide‐ranging indications beyond available data, unlike FDA and TGA approval. The FDA and TGA use tighter controls, requiring comprehensive product‐specific clinical data evaluation. In 2018, the FDA published the integrated CGM (iCGM) criteria permitting interoperability. Applying the iCGM criteria to clinical data provided by manufacturers trading in the UK identified several study protocols that minimized glucose variability, thereby improving CGM accuracy on all metrics. These results do not translate into real‐life performance. Furthermore, for many CGM devices available in the UK, accuracy reported in the hypoglycaemic range is below iCGM standards, or measurement is absent. We offer a framework to evaluate CGM accuracy studies critically. The review concludes that FDA‐ and TGA‐approved indications match the available clinical data, whereas CE marking indications can have discrepancies. The UK can bolster regulation with UK Conformity Assessed marking from January 2025. However, balanced regulation is needed to ensure innovation and timely technological access are not hindered.","author":[{"dropping-particle":"","family":"Pemberton","given":"John S","non-dropping-particle":"","parse-names":false,"suffix":""},{"dropping-particle":"","family":"Wilmot","given":"Emma G","non-dropping-particle":"","parse-names":false,"suffix":""},{"dropping-particle":"","family":"Barnard‐Kelly","given":"Katharine","non-dropping-particle":"","parse-names":false,"suffix":""},{"dropping-particle":"","family":"Leelarathna","given":"Lalantha","non-dropping-particle":"","parse-names":false,"suffix":""},{"dropping-particle":"","family":"Oliver","given":"Nick","non-dropping-particle":"","parse-names":false,"suffix":""},{"dropping-particle":"","family":"Randell","given":"Tabitha","non-dropping-particle":"","parse-names":false,"suffix":""},{"dropping-particle":"","family":"Taplin","given":"Craig E","non-dropping-particle":"","parse-names":false,"suffix":""},{"dropping-particle":"","family":"Choudhary","given":"Pratik","non-dropping-particle":"","parse-names":false,"suffix":""},{"dropping-particle":"","family":"Adolfsson","given":"Peter","non-dropping-particle":"","parse-names":false,"suffix":""}],"container-title":"Diabetes, Obesity and Metabolism","id":"ITEM-2","issue":"4","issued":{"date-parts":[["2023","4","5"]]},"page":"916-939","title":"CGM accuracy: Contrasting CE marking with the governmental controls of the USA (FDA) and Australia (TGA): A narrative review","type":"article-journal","volume":"25"},"uris":["http://www.mendeley.com/documents/?uuid=681fdf9f-a5b8-4811-87cc-6f70096344d9"]}],"mendeley":{"formattedCitation":"(5,14)","plainTextFormattedCitation":"(5,14)","previouslyFormattedCitation":"(5,14)"},"properties":{"noteIndex":0},"schema":"https://github.com/citation-style-language/schema/raw/master/csl-citation.json"}</w:instrText>
            </w:r>
            <w:r w:rsidR="000F5021">
              <w:rPr>
                <w:rFonts w:ascii="Calibri" w:eastAsia="Calibri" w:hAnsi="Calibri" w:cs="Calibri"/>
                <w:sz w:val="16"/>
                <w:szCs w:val="16"/>
              </w:rPr>
              <w:fldChar w:fldCharType="separate"/>
            </w:r>
            <w:r w:rsidR="001263DB" w:rsidRPr="001263DB">
              <w:rPr>
                <w:rFonts w:ascii="Calibri" w:eastAsia="Calibri" w:hAnsi="Calibri" w:cs="Calibri"/>
                <w:noProof/>
                <w:sz w:val="16"/>
                <w:szCs w:val="16"/>
              </w:rPr>
              <w:t>(5,14)</w:t>
            </w:r>
            <w:r w:rsidR="000F5021">
              <w:rPr>
                <w:rFonts w:ascii="Calibri" w:eastAsia="Calibri" w:hAnsi="Calibri" w:cs="Calibri"/>
                <w:sz w:val="16"/>
                <w:szCs w:val="16"/>
              </w:rPr>
              <w:fldChar w:fldCharType="end"/>
            </w:r>
            <w:r w:rsidR="000F5021">
              <w:rPr>
                <w:rFonts w:ascii="Calibri" w:eastAsia="Calibri" w:hAnsi="Calibri" w:cs="Calibri"/>
                <w:sz w:val="16"/>
                <w:szCs w:val="16"/>
              </w:rPr>
              <w:t xml:space="preserve">: </w:t>
            </w:r>
            <w:r w:rsidRPr="00D82851">
              <w:rPr>
                <w:rFonts w:ascii="Calibri" w:eastAsia="Calibri" w:hAnsi="Calibri" w:cs="Calibri"/>
                <w:sz w:val="16"/>
                <w:szCs w:val="16"/>
              </w:rPr>
              <w:br/>
            </w:r>
            <w:r w:rsidR="005A031A">
              <w:rPr>
                <w:rFonts w:ascii="Calibri" w:eastAsia="Calibri" w:hAnsi="Calibri" w:cs="Calibri"/>
                <w:b/>
                <w:bCs/>
                <w:sz w:val="16"/>
                <w:szCs w:val="16"/>
              </w:rPr>
              <w:t>iCGM special contro</w:t>
            </w:r>
            <w:r w:rsidR="00A04F59">
              <w:rPr>
                <w:rFonts w:ascii="Calibri" w:eastAsia="Calibri" w:hAnsi="Calibri" w:cs="Calibri"/>
                <w:b/>
                <w:bCs/>
                <w:sz w:val="16"/>
                <w:szCs w:val="16"/>
              </w:rPr>
              <w:t>l p</w:t>
            </w:r>
            <w:r w:rsidR="004F688E" w:rsidRPr="004F688E">
              <w:rPr>
                <w:rFonts w:ascii="Calibri" w:eastAsia="Calibri" w:hAnsi="Calibri" w:cs="Calibri"/>
                <w:b/>
                <w:bCs/>
                <w:sz w:val="16"/>
                <w:szCs w:val="16"/>
              </w:rPr>
              <w:t xml:space="preserve">erformance </w:t>
            </w:r>
            <w:r w:rsidR="00A04F59">
              <w:rPr>
                <w:rFonts w:ascii="Calibri" w:eastAsia="Calibri" w:hAnsi="Calibri" w:cs="Calibri"/>
                <w:b/>
                <w:bCs/>
                <w:sz w:val="16"/>
                <w:szCs w:val="16"/>
              </w:rPr>
              <w:t>r</w:t>
            </w:r>
            <w:r w:rsidR="004F688E" w:rsidRPr="004F688E">
              <w:rPr>
                <w:rFonts w:ascii="Calibri" w:eastAsia="Calibri" w:hAnsi="Calibri" w:cs="Calibri"/>
                <w:b/>
                <w:bCs/>
                <w:sz w:val="16"/>
                <w:szCs w:val="16"/>
              </w:rPr>
              <w:t>equirement</w:t>
            </w:r>
            <w:r w:rsidR="00DF4021">
              <w:rPr>
                <w:rFonts w:ascii="Calibri" w:eastAsia="Calibri" w:hAnsi="Calibri" w:cs="Calibri"/>
                <w:b/>
                <w:bCs/>
                <w:sz w:val="16"/>
                <w:szCs w:val="16"/>
              </w:rPr>
              <w:t xml:space="preserve"> (all with 95% LCL</w:t>
            </w:r>
            <w:r w:rsidR="00670E41">
              <w:rPr>
                <w:rFonts w:ascii="Calibri" w:eastAsia="Calibri" w:hAnsi="Calibri" w:cs="Calibri"/>
                <w:b/>
                <w:bCs/>
                <w:sz w:val="16"/>
                <w:szCs w:val="16"/>
              </w:rPr>
              <w:t>*)</w:t>
            </w:r>
            <w:r w:rsidR="004F688E" w:rsidRPr="004F688E">
              <w:rPr>
                <w:rFonts w:ascii="Calibri" w:eastAsia="Calibri" w:hAnsi="Calibri" w:cs="Calibri"/>
                <w:b/>
                <w:bCs/>
                <w:sz w:val="16"/>
                <w:szCs w:val="16"/>
              </w:rPr>
              <w:t xml:space="preserve">: </w:t>
            </w:r>
          </w:p>
          <w:p w14:paraId="3E841A51" w14:textId="1DDB82F0" w:rsidR="004F688E" w:rsidRPr="00200512" w:rsidRDefault="00A04F59" w:rsidP="00200512">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A</w:t>
            </w:r>
            <w:r w:rsidR="00D65C5D">
              <w:rPr>
                <w:rFonts w:ascii="Calibri" w:eastAsia="Calibri" w:hAnsi="Calibri" w:cs="Calibri"/>
                <w:sz w:val="16"/>
                <w:szCs w:val="16"/>
              </w:rPr>
              <w:t xml:space="preserve">: </w:t>
            </w:r>
            <w:r w:rsidR="004F688E" w:rsidRPr="00200512">
              <w:rPr>
                <w:rFonts w:ascii="Calibri" w:eastAsia="Calibri" w:hAnsi="Calibri" w:cs="Calibri"/>
                <w:sz w:val="16"/>
                <w:szCs w:val="16"/>
              </w:rPr>
              <w:t>Within 15 mg/dL, &lt;70 mg/dL: &gt;85%</w:t>
            </w:r>
          </w:p>
          <w:p w14:paraId="2BF6B1A0" w14:textId="093AE664" w:rsidR="004F688E" w:rsidRPr="00200512" w:rsidRDefault="007E0A3B" w:rsidP="00200512">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 xml:space="preserve">B: </w:t>
            </w:r>
            <w:r w:rsidR="004F688E" w:rsidRPr="00200512">
              <w:rPr>
                <w:rFonts w:ascii="Calibri" w:eastAsia="Calibri" w:hAnsi="Calibri" w:cs="Calibri"/>
                <w:sz w:val="16"/>
                <w:szCs w:val="16"/>
              </w:rPr>
              <w:t>Within 15%, 70–180 mg/dL: &gt;70%</w:t>
            </w:r>
          </w:p>
          <w:p w14:paraId="228A7DAE" w14:textId="33A53C75" w:rsidR="004F688E" w:rsidRPr="00200512" w:rsidRDefault="004F3E2B" w:rsidP="00200512">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 xml:space="preserve">C: </w:t>
            </w:r>
            <w:r w:rsidR="004F688E" w:rsidRPr="00200512">
              <w:rPr>
                <w:rFonts w:ascii="Calibri" w:eastAsia="Calibri" w:hAnsi="Calibri" w:cs="Calibri"/>
                <w:sz w:val="16"/>
                <w:szCs w:val="16"/>
              </w:rPr>
              <w:t>Within 15%, &gt;180 mg/dL: &gt;80%</w:t>
            </w:r>
          </w:p>
          <w:p w14:paraId="5E9CCB72" w14:textId="650D1BD5" w:rsidR="004F688E" w:rsidRPr="00200512" w:rsidRDefault="0091124B" w:rsidP="00200512">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 xml:space="preserve">D: </w:t>
            </w:r>
            <w:r w:rsidR="004F688E" w:rsidRPr="00200512">
              <w:rPr>
                <w:rFonts w:ascii="Calibri" w:eastAsia="Calibri" w:hAnsi="Calibri" w:cs="Calibri"/>
                <w:sz w:val="16"/>
                <w:szCs w:val="16"/>
              </w:rPr>
              <w:t>Within 40 mg/dL, &lt;70 mg/dL: &gt;98%</w:t>
            </w:r>
          </w:p>
          <w:p w14:paraId="695623A8" w14:textId="42F1B796" w:rsidR="004F688E" w:rsidRPr="00200512" w:rsidRDefault="0091124B" w:rsidP="00200512">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 xml:space="preserve">E: </w:t>
            </w:r>
            <w:r w:rsidR="004F688E" w:rsidRPr="00200512">
              <w:rPr>
                <w:rFonts w:ascii="Calibri" w:eastAsia="Calibri" w:hAnsi="Calibri" w:cs="Calibri"/>
                <w:sz w:val="16"/>
                <w:szCs w:val="16"/>
              </w:rPr>
              <w:t>Within 40%, 70–180 mg/dL: &gt;99%</w:t>
            </w:r>
          </w:p>
          <w:p w14:paraId="0C70DF98" w14:textId="4E1CBCF9" w:rsidR="004F688E" w:rsidRPr="00200512" w:rsidRDefault="00BE7EAB" w:rsidP="00200512">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 xml:space="preserve">F: </w:t>
            </w:r>
            <w:r w:rsidR="004F688E" w:rsidRPr="00200512">
              <w:rPr>
                <w:rFonts w:ascii="Calibri" w:eastAsia="Calibri" w:hAnsi="Calibri" w:cs="Calibri"/>
                <w:sz w:val="16"/>
                <w:szCs w:val="16"/>
              </w:rPr>
              <w:t>Within 40%, &gt;180 mg/dL: &gt;99%</w:t>
            </w:r>
          </w:p>
          <w:p w14:paraId="340FF6DB" w14:textId="3F8CC066" w:rsidR="004F688E" w:rsidRPr="00200512" w:rsidRDefault="003E3507" w:rsidP="00200512">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 xml:space="preserve">G: </w:t>
            </w:r>
            <w:r w:rsidR="004F688E" w:rsidRPr="00200512">
              <w:rPr>
                <w:rFonts w:ascii="Calibri" w:eastAsia="Calibri" w:hAnsi="Calibri" w:cs="Calibri"/>
                <w:sz w:val="16"/>
                <w:szCs w:val="16"/>
              </w:rPr>
              <w:t>Within 20%: &gt;87%</w:t>
            </w:r>
          </w:p>
          <w:p w14:paraId="748927BE" w14:textId="15BDEE96" w:rsidR="004F688E" w:rsidRPr="006546C0" w:rsidRDefault="00B169F9" w:rsidP="00200512">
            <w:pPr>
              <w:pStyle w:val="ListParagraph"/>
              <w:numPr>
                <w:ilvl w:val="0"/>
                <w:numId w:val="54"/>
              </w:numPr>
              <w:spacing w:after="0" w:line="240" w:lineRule="auto"/>
              <w:jc w:val="left"/>
              <w:rPr>
                <w:rFonts w:ascii="Calibri" w:eastAsia="Calibri" w:hAnsi="Calibri" w:cs="Calibri"/>
                <w:sz w:val="16"/>
                <w:szCs w:val="16"/>
              </w:rPr>
            </w:pPr>
            <w:r w:rsidRPr="006546C0">
              <w:rPr>
                <w:rFonts w:ascii="Calibri" w:eastAsia="Calibri" w:hAnsi="Calibri" w:cs="Calibri"/>
                <w:sz w:val="16"/>
                <w:szCs w:val="16"/>
              </w:rPr>
              <w:t xml:space="preserve">H: </w:t>
            </w:r>
            <w:r w:rsidR="004F688E" w:rsidRPr="006546C0">
              <w:rPr>
                <w:rFonts w:ascii="Calibri" w:eastAsia="Calibri" w:hAnsi="Calibri" w:cs="Calibri"/>
                <w:sz w:val="16"/>
                <w:szCs w:val="16"/>
              </w:rPr>
              <w:t>CGM &lt;70 mg/dL &amp; Ref** &gt;180 mg/dL: 0</w:t>
            </w:r>
          </w:p>
          <w:p w14:paraId="7991AE18" w14:textId="3276A8B1" w:rsidR="004F688E" w:rsidRPr="00200512" w:rsidRDefault="00964013" w:rsidP="00200512">
            <w:pPr>
              <w:pStyle w:val="ListParagraph"/>
              <w:numPr>
                <w:ilvl w:val="0"/>
                <w:numId w:val="54"/>
              </w:numPr>
              <w:spacing w:after="0" w:line="240" w:lineRule="auto"/>
              <w:jc w:val="left"/>
              <w:rPr>
                <w:rFonts w:ascii="Calibri" w:eastAsia="Calibri" w:hAnsi="Calibri" w:cs="Calibri"/>
                <w:sz w:val="16"/>
                <w:szCs w:val="16"/>
              </w:rPr>
            </w:pPr>
            <w:r w:rsidRPr="007B58F0">
              <w:rPr>
                <w:rFonts w:ascii="Calibri" w:eastAsia="Calibri" w:hAnsi="Calibri" w:cs="Calibri"/>
                <w:sz w:val="16"/>
                <w:szCs w:val="16"/>
              </w:rPr>
              <w:t xml:space="preserve">I: </w:t>
            </w:r>
            <w:r w:rsidR="004F688E" w:rsidRPr="00200512">
              <w:rPr>
                <w:rFonts w:ascii="Calibri" w:eastAsia="Calibri" w:hAnsi="Calibri" w:cs="Calibri"/>
                <w:sz w:val="16"/>
                <w:szCs w:val="16"/>
              </w:rPr>
              <w:t>CGM &gt;180 mg/dL &amp; Ref &lt;70 mg/dL: 0</w:t>
            </w:r>
          </w:p>
          <w:p w14:paraId="72235E51" w14:textId="0D324A9F" w:rsidR="004F688E" w:rsidRPr="00200512" w:rsidRDefault="0080005C" w:rsidP="004F688E">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 xml:space="preserve">J: </w:t>
            </w:r>
            <w:r w:rsidR="004F688E" w:rsidRPr="00200512">
              <w:rPr>
                <w:rFonts w:ascii="Calibri" w:eastAsia="Calibri" w:hAnsi="Calibri" w:cs="Calibri"/>
                <w:sz w:val="16"/>
                <w:szCs w:val="16"/>
              </w:rPr>
              <w:t>CGM ROC*** &gt;1 mg/dL/min &amp; Ref ROC &lt;–2 mg/dL/min: &lt;1%</w:t>
            </w:r>
          </w:p>
          <w:p w14:paraId="08842FC2" w14:textId="5D6571B4" w:rsidR="004F688E" w:rsidRPr="00200512" w:rsidRDefault="00B6424A" w:rsidP="004F688E">
            <w:pPr>
              <w:pStyle w:val="ListParagraph"/>
              <w:numPr>
                <w:ilvl w:val="0"/>
                <w:numId w:val="54"/>
              </w:numPr>
              <w:spacing w:after="0" w:line="240" w:lineRule="auto"/>
              <w:jc w:val="left"/>
              <w:rPr>
                <w:rFonts w:ascii="Calibri" w:eastAsia="Calibri" w:hAnsi="Calibri" w:cs="Calibri"/>
                <w:sz w:val="16"/>
                <w:szCs w:val="16"/>
              </w:rPr>
            </w:pPr>
            <w:r>
              <w:rPr>
                <w:rFonts w:ascii="Calibri" w:eastAsia="Calibri" w:hAnsi="Calibri" w:cs="Calibri"/>
                <w:sz w:val="16"/>
                <w:szCs w:val="16"/>
              </w:rPr>
              <w:t xml:space="preserve">K: </w:t>
            </w:r>
            <w:r w:rsidR="004F688E" w:rsidRPr="00200512">
              <w:rPr>
                <w:rFonts w:ascii="Calibri" w:eastAsia="Calibri" w:hAnsi="Calibri" w:cs="Calibri"/>
                <w:sz w:val="16"/>
                <w:szCs w:val="16"/>
              </w:rPr>
              <w:t>CGM ROC &lt;–1 mg/dL/min &amp; Ref ROC &gt;2 mg/dL/min: &lt;1%</w:t>
            </w:r>
          </w:p>
          <w:p w14:paraId="0000010A" w14:textId="09F42033" w:rsidR="007F0CA8" w:rsidRPr="00D82851" w:rsidRDefault="009E4236" w:rsidP="000F5021">
            <w:pPr>
              <w:spacing w:after="0" w:line="240" w:lineRule="auto"/>
              <w:jc w:val="left"/>
              <w:rPr>
                <w:rFonts w:ascii="Calibri" w:eastAsia="Calibri" w:hAnsi="Calibri" w:cs="Calibri"/>
                <w:sz w:val="16"/>
                <w:szCs w:val="16"/>
              </w:rPr>
            </w:pPr>
            <w:r>
              <w:rPr>
                <w:rFonts w:ascii="Calibri" w:eastAsia="Calibri" w:hAnsi="Calibri" w:cs="Calibri"/>
                <w:sz w:val="16"/>
                <w:szCs w:val="16"/>
              </w:rPr>
              <w:t>*</w:t>
            </w:r>
            <w:r w:rsidR="004F688E" w:rsidRPr="00200512">
              <w:rPr>
                <w:rFonts w:ascii="Calibri" w:eastAsia="Calibri" w:hAnsi="Calibri" w:cs="Calibri"/>
                <w:sz w:val="16"/>
                <w:szCs w:val="16"/>
              </w:rPr>
              <w:t xml:space="preserve">LCL: lower confidence limit, </w:t>
            </w:r>
            <w:r>
              <w:rPr>
                <w:rFonts w:ascii="Calibri" w:eastAsia="Calibri" w:hAnsi="Calibri" w:cs="Calibri"/>
                <w:sz w:val="16"/>
                <w:szCs w:val="16"/>
              </w:rPr>
              <w:t>**</w:t>
            </w:r>
            <w:r w:rsidR="004F688E" w:rsidRPr="00200512">
              <w:rPr>
                <w:rFonts w:ascii="Calibri" w:eastAsia="Calibri" w:hAnsi="Calibri" w:cs="Calibri"/>
                <w:sz w:val="16"/>
                <w:szCs w:val="16"/>
              </w:rPr>
              <w:t xml:space="preserve">Ref: reference glucose value, </w:t>
            </w:r>
            <w:r>
              <w:rPr>
                <w:rFonts w:ascii="Calibri" w:eastAsia="Calibri" w:hAnsi="Calibri" w:cs="Calibri"/>
                <w:sz w:val="16"/>
                <w:szCs w:val="16"/>
              </w:rPr>
              <w:t>***</w:t>
            </w:r>
            <w:r w:rsidR="004F688E" w:rsidRPr="00200512">
              <w:rPr>
                <w:rFonts w:ascii="Calibri" w:eastAsia="Calibri" w:hAnsi="Calibri" w:cs="Calibri"/>
                <w:sz w:val="16"/>
                <w:szCs w:val="16"/>
              </w:rPr>
              <w:t xml:space="preserve">ROC: rate of change (glucose rate </w:t>
            </w:r>
            <w:r w:rsidR="00AB3C84">
              <w:rPr>
                <w:rFonts w:ascii="Calibri" w:eastAsia="Calibri" w:hAnsi="Calibri" w:cs="Calibri"/>
                <w:sz w:val="16"/>
                <w:szCs w:val="16"/>
              </w:rPr>
              <w:t xml:space="preserve">of change </w:t>
            </w:r>
            <w:r w:rsidR="004F688E" w:rsidRPr="00200512">
              <w:rPr>
                <w:rFonts w:ascii="Calibri" w:eastAsia="Calibri" w:hAnsi="Calibri" w:cs="Calibri"/>
                <w:sz w:val="16"/>
                <w:szCs w:val="16"/>
              </w:rPr>
              <w:t>in mg/dL per minute)</w:t>
            </w:r>
            <w:r w:rsidR="004F688E" w:rsidRPr="00200512" w:rsidDel="004F688E">
              <w:rPr>
                <w:rFonts w:ascii="Calibri" w:eastAsia="Calibri" w:hAnsi="Calibri" w:cs="Calibri"/>
                <w:sz w:val="16"/>
                <w:szCs w:val="16"/>
              </w:rPr>
              <w:t xml:space="preserve"> </w:t>
            </w:r>
          </w:p>
        </w:tc>
        <w:tc>
          <w:tcPr>
            <w:tcW w:w="567" w:type="dxa"/>
            <w:vAlign w:val="center"/>
          </w:tcPr>
          <w:p w14:paraId="0000010B"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0C"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0D"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1155CDF4" w14:textId="77777777" w:rsidTr="00D82851">
        <w:trPr>
          <w:trHeight w:val="227"/>
        </w:trPr>
        <w:tc>
          <w:tcPr>
            <w:tcW w:w="14174" w:type="dxa"/>
            <w:gridSpan w:val="5"/>
            <w:shd w:val="clear" w:color="auto" w:fill="D9D9D9"/>
            <w:vAlign w:val="center"/>
          </w:tcPr>
          <w:p w14:paraId="0000010E" w14:textId="77777777" w:rsidR="007F0CA8" w:rsidRPr="000A4DCB" w:rsidRDefault="00133AE2">
            <w:pPr>
              <w:spacing w:after="0" w:line="240" w:lineRule="auto"/>
              <w:jc w:val="left"/>
              <w:rPr>
                <w:rFonts w:ascii="Calibri" w:eastAsia="Calibri" w:hAnsi="Calibri" w:cs="Calibri"/>
                <w:b/>
                <w:sz w:val="16"/>
                <w:szCs w:val="16"/>
              </w:rPr>
            </w:pPr>
            <w:r w:rsidRPr="000A4DCB">
              <w:rPr>
                <w:rFonts w:ascii="Calibri" w:eastAsia="Calibri" w:hAnsi="Calibri" w:cs="Calibri"/>
                <w:b/>
                <w:color w:val="000000"/>
                <w:sz w:val="16"/>
                <w:szCs w:val="16"/>
              </w:rPr>
              <w:t>2. Design of performance studies</w:t>
            </w:r>
          </w:p>
        </w:tc>
      </w:tr>
      <w:tr w:rsidR="007F0CA8" w:rsidRPr="00057810" w14:paraId="23CAD47F" w14:textId="77777777" w:rsidTr="00D82851">
        <w:trPr>
          <w:trHeight w:val="227"/>
        </w:trPr>
        <w:tc>
          <w:tcPr>
            <w:tcW w:w="846" w:type="dxa"/>
            <w:shd w:val="clear" w:color="auto" w:fill="auto"/>
            <w:vAlign w:val="center"/>
          </w:tcPr>
          <w:p w14:paraId="00000113"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2.1.</w:t>
            </w:r>
          </w:p>
        </w:tc>
        <w:tc>
          <w:tcPr>
            <w:tcW w:w="11198" w:type="dxa"/>
            <w:shd w:val="clear" w:color="auto" w:fill="auto"/>
            <w:vAlign w:val="center"/>
          </w:tcPr>
          <w:p w14:paraId="00000114"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 xml:space="preserve">Population Representation: </w:t>
            </w:r>
            <w:r w:rsidRPr="00D82851">
              <w:rPr>
                <w:rFonts w:ascii="Calibri" w:eastAsia="Calibri" w:hAnsi="Calibri" w:cs="Calibri"/>
                <w:sz w:val="16"/>
                <w:szCs w:val="16"/>
              </w:rPr>
              <w:t>Performance is validated in diverse populations, including pediatric, adult, older adults, and pregnant individuals*.</w:t>
            </w:r>
          </w:p>
        </w:tc>
        <w:tc>
          <w:tcPr>
            <w:tcW w:w="567" w:type="dxa"/>
            <w:vAlign w:val="center"/>
          </w:tcPr>
          <w:p w14:paraId="00000115"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16"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17"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3746D139" w14:textId="77777777" w:rsidTr="00D82851">
        <w:trPr>
          <w:trHeight w:val="227"/>
        </w:trPr>
        <w:tc>
          <w:tcPr>
            <w:tcW w:w="846" w:type="dxa"/>
            <w:shd w:val="clear" w:color="auto" w:fill="auto"/>
            <w:vAlign w:val="center"/>
          </w:tcPr>
          <w:p w14:paraId="00000118"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2.2.</w:t>
            </w:r>
          </w:p>
        </w:tc>
        <w:tc>
          <w:tcPr>
            <w:tcW w:w="11198" w:type="dxa"/>
            <w:shd w:val="clear" w:color="auto" w:fill="auto"/>
            <w:vAlign w:val="center"/>
          </w:tcPr>
          <w:p w14:paraId="00000119"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Anatomical Sites:</w:t>
            </w:r>
            <w:r w:rsidRPr="00D82851">
              <w:rPr>
                <w:rFonts w:ascii="Calibri" w:eastAsia="Calibri" w:hAnsi="Calibri" w:cs="Calibri"/>
                <w:sz w:val="16"/>
                <w:szCs w:val="16"/>
              </w:rPr>
              <w:t xml:space="preserve"> Performance is reported for all intended anatomical application sites, including paired readings.</w:t>
            </w:r>
          </w:p>
        </w:tc>
        <w:tc>
          <w:tcPr>
            <w:tcW w:w="567" w:type="dxa"/>
            <w:vAlign w:val="center"/>
          </w:tcPr>
          <w:p w14:paraId="0000011A"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1B"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1C"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32D53D51" w14:textId="77777777" w:rsidTr="00D82851">
        <w:trPr>
          <w:trHeight w:val="227"/>
        </w:trPr>
        <w:tc>
          <w:tcPr>
            <w:tcW w:w="846" w:type="dxa"/>
            <w:shd w:val="clear" w:color="auto" w:fill="auto"/>
            <w:vAlign w:val="center"/>
          </w:tcPr>
          <w:p w14:paraId="0000011D"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2.3.</w:t>
            </w:r>
          </w:p>
        </w:tc>
        <w:tc>
          <w:tcPr>
            <w:tcW w:w="11198" w:type="dxa"/>
            <w:shd w:val="clear" w:color="auto" w:fill="auto"/>
            <w:vAlign w:val="center"/>
          </w:tcPr>
          <w:p w14:paraId="0000011E"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Study Setting</w:t>
            </w:r>
            <w:r w:rsidRPr="00D82851">
              <w:rPr>
                <w:rFonts w:ascii="Calibri" w:eastAsia="Calibri" w:hAnsi="Calibri" w:cs="Calibri"/>
                <w:sz w:val="16"/>
                <w:szCs w:val="16"/>
              </w:rPr>
              <w:t>: Performance studies clearly describe whether the study was conducted in-clinic, free-living, or hybrid setting.</w:t>
            </w:r>
          </w:p>
        </w:tc>
        <w:tc>
          <w:tcPr>
            <w:tcW w:w="567" w:type="dxa"/>
            <w:vAlign w:val="center"/>
          </w:tcPr>
          <w:p w14:paraId="0000011F"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20"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21"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0E28105F" w14:textId="77777777" w:rsidTr="00057810">
        <w:trPr>
          <w:trHeight w:val="70"/>
        </w:trPr>
        <w:tc>
          <w:tcPr>
            <w:tcW w:w="846" w:type="dxa"/>
            <w:shd w:val="clear" w:color="auto" w:fill="auto"/>
            <w:vAlign w:val="center"/>
          </w:tcPr>
          <w:p w14:paraId="00000122"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2.4.</w:t>
            </w:r>
          </w:p>
        </w:tc>
        <w:tc>
          <w:tcPr>
            <w:tcW w:w="11198" w:type="dxa"/>
            <w:shd w:val="clear" w:color="auto" w:fill="auto"/>
            <w:vAlign w:val="center"/>
          </w:tcPr>
          <w:p w14:paraId="00000123" w14:textId="0299981A"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Comparator measurement</w:t>
            </w:r>
            <w:r w:rsidRPr="00D82851">
              <w:rPr>
                <w:rFonts w:ascii="Calibri" w:eastAsia="Calibri" w:hAnsi="Calibri" w:cs="Calibri"/>
                <w:sz w:val="16"/>
                <w:szCs w:val="16"/>
              </w:rPr>
              <w:t>: Sampling compartment (capillary, venous, or arterialized-venous) is clearly defined.</w:t>
            </w:r>
          </w:p>
        </w:tc>
        <w:tc>
          <w:tcPr>
            <w:tcW w:w="567" w:type="dxa"/>
            <w:vAlign w:val="center"/>
          </w:tcPr>
          <w:p w14:paraId="00000124"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25"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26"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3208C9E1" w14:textId="77777777" w:rsidTr="00D82851">
        <w:trPr>
          <w:trHeight w:val="227"/>
        </w:trPr>
        <w:tc>
          <w:tcPr>
            <w:tcW w:w="846" w:type="dxa"/>
            <w:shd w:val="clear" w:color="auto" w:fill="auto"/>
            <w:vAlign w:val="center"/>
          </w:tcPr>
          <w:p w14:paraId="00000127"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2.5.</w:t>
            </w:r>
          </w:p>
        </w:tc>
        <w:tc>
          <w:tcPr>
            <w:tcW w:w="11198" w:type="dxa"/>
            <w:shd w:val="clear" w:color="auto" w:fill="auto"/>
            <w:vAlign w:val="center"/>
          </w:tcPr>
          <w:p w14:paraId="00000128"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Reporting</w:t>
            </w:r>
            <w:r w:rsidRPr="00D82851">
              <w:rPr>
                <w:rFonts w:ascii="Calibri" w:eastAsia="Calibri" w:hAnsi="Calibri" w:cs="Calibri"/>
                <w:sz w:val="16"/>
                <w:szCs w:val="16"/>
              </w:rPr>
              <w:t>: Performance studies are published in indexed, peer-reviewed journals.</w:t>
            </w:r>
          </w:p>
        </w:tc>
        <w:tc>
          <w:tcPr>
            <w:tcW w:w="567" w:type="dxa"/>
            <w:vAlign w:val="center"/>
          </w:tcPr>
          <w:p w14:paraId="00000129"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2A"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2B"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16358D84" w14:textId="77777777" w:rsidTr="00D82851">
        <w:trPr>
          <w:trHeight w:val="227"/>
        </w:trPr>
        <w:tc>
          <w:tcPr>
            <w:tcW w:w="846" w:type="dxa"/>
            <w:shd w:val="clear" w:color="auto" w:fill="auto"/>
            <w:vAlign w:val="center"/>
          </w:tcPr>
          <w:p w14:paraId="0000012C" w14:textId="77777777" w:rsidR="007F0CA8" w:rsidRPr="000A4DCB" w:rsidRDefault="00133AE2">
            <w:pPr>
              <w:spacing w:after="0" w:line="240" w:lineRule="auto"/>
              <w:jc w:val="center"/>
              <w:rPr>
                <w:rFonts w:ascii="Calibri" w:eastAsia="Calibri" w:hAnsi="Calibri" w:cs="Calibri"/>
                <w:b/>
                <w:color w:val="000000"/>
                <w:sz w:val="16"/>
                <w:szCs w:val="16"/>
              </w:rPr>
            </w:pPr>
            <w:r w:rsidRPr="000A4DCB">
              <w:rPr>
                <w:rFonts w:ascii="Calibri" w:eastAsia="Calibri" w:hAnsi="Calibri" w:cs="Calibri"/>
                <w:b/>
                <w:color w:val="000000"/>
                <w:sz w:val="16"/>
                <w:szCs w:val="16"/>
              </w:rPr>
              <w:t>2.6.</w:t>
            </w:r>
          </w:p>
        </w:tc>
        <w:tc>
          <w:tcPr>
            <w:tcW w:w="11198" w:type="dxa"/>
            <w:shd w:val="clear" w:color="auto" w:fill="auto"/>
            <w:vAlign w:val="center"/>
          </w:tcPr>
          <w:p w14:paraId="0000012D"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RWE</w:t>
            </w:r>
            <w:r w:rsidRPr="00D82851">
              <w:rPr>
                <w:rFonts w:ascii="Calibri" w:eastAsia="Calibri" w:hAnsi="Calibri" w:cs="Calibri"/>
                <w:sz w:val="16"/>
                <w:szCs w:val="16"/>
              </w:rPr>
              <w:t>: If approved, performance is reported for everyday use, including high-stress environments (e.g., hospitals).</w:t>
            </w:r>
          </w:p>
        </w:tc>
        <w:tc>
          <w:tcPr>
            <w:tcW w:w="567" w:type="dxa"/>
            <w:vAlign w:val="center"/>
          </w:tcPr>
          <w:p w14:paraId="0000012E"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2F"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30" w14:textId="77777777" w:rsidR="007F0CA8" w:rsidRPr="00D82851" w:rsidRDefault="007F0CA8">
            <w:pPr>
              <w:spacing w:after="0" w:line="240" w:lineRule="auto"/>
              <w:jc w:val="left"/>
              <w:rPr>
                <w:rFonts w:ascii="Calibri" w:eastAsia="Calibri" w:hAnsi="Calibri" w:cs="Calibri"/>
                <w:b/>
                <w:sz w:val="16"/>
                <w:szCs w:val="16"/>
              </w:rPr>
            </w:pPr>
          </w:p>
        </w:tc>
      </w:tr>
      <w:tr w:rsidR="007F0CA8" w:rsidRPr="00BA4930" w14:paraId="1F82AD17" w14:textId="77777777" w:rsidTr="00D82851">
        <w:trPr>
          <w:trHeight w:val="227"/>
        </w:trPr>
        <w:tc>
          <w:tcPr>
            <w:tcW w:w="14174" w:type="dxa"/>
            <w:gridSpan w:val="5"/>
            <w:shd w:val="clear" w:color="auto" w:fill="D9D9D9"/>
            <w:vAlign w:val="center"/>
          </w:tcPr>
          <w:p w14:paraId="00000131" w14:textId="77777777" w:rsidR="007F0CA8" w:rsidRPr="00057810" w:rsidRDefault="00133AE2">
            <w:pPr>
              <w:spacing w:after="0" w:line="240" w:lineRule="auto"/>
              <w:jc w:val="left"/>
              <w:rPr>
                <w:rFonts w:ascii="Calibri" w:eastAsia="Calibri" w:hAnsi="Calibri" w:cs="Calibri"/>
                <w:b/>
                <w:color w:val="000000"/>
                <w:sz w:val="16"/>
                <w:szCs w:val="16"/>
              </w:rPr>
            </w:pPr>
            <w:r w:rsidRPr="000A4DCB">
              <w:rPr>
                <w:rFonts w:ascii="Calibri" w:eastAsia="Calibri" w:hAnsi="Calibri" w:cs="Calibri"/>
                <w:b/>
                <w:color w:val="000000"/>
                <w:sz w:val="16"/>
                <w:szCs w:val="16"/>
              </w:rPr>
              <w:t xml:space="preserve">3. </w:t>
            </w:r>
            <w:r w:rsidRPr="00C42124">
              <w:rPr>
                <w:rFonts w:ascii="Calibri" w:eastAsia="Calibri" w:hAnsi="Calibri" w:cs="Calibri"/>
                <w:b/>
                <w:color w:val="000000"/>
                <w:sz w:val="16"/>
                <w:szCs w:val="16"/>
              </w:rPr>
              <w:t>Calib</w:t>
            </w:r>
            <w:r w:rsidRPr="00057810">
              <w:rPr>
                <w:rFonts w:ascii="Calibri" w:eastAsia="Calibri" w:hAnsi="Calibri" w:cs="Calibri"/>
                <w:b/>
                <w:color w:val="000000"/>
                <w:sz w:val="16"/>
                <w:szCs w:val="16"/>
              </w:rPr>
              <w:t>ration</w:t>
            </w:r>
          </w:p>
        </w:tc>
      </w:tr>
      <w:tr w:rsidR="007F0CA8" w:rsidRPr="00057810" w14:paraId="7336FE4E" w14:textId="77777777" w:rsidTr="00D82851">
        <w:trPr>
          <w:trHeight w:val="227"/>
        </w:trPr>
        <w:tc>
          <w:tcPr>
            <w:tcW w:w="846" w:type="dxa"/>
            <w:shd w:val="clear" w:color="auto" w:fill="auto"/>
            <w:vAlign w:val="center"/>
          </w:tcPr>
          <w:p w14:paraId="00000136" w14:textId="77777777" w:rsidR="007F0CA8" w:rsidRPr="00057810" w:rsidRDefault="00133AE2">
            <w:pPr>
              <w:spacing w:after="0" w:line="240" w:lineRule="auto"/>
              <w:jc w:val="center"/>
              <w:rPr>
                <w:rFonts w:ascii="Calibri" w:eastAsia="Calibri" w:hAnsi="Calibri" w:cs="Calibri"/>
                <w:b/>
                <w:color w:val="000000"/>
                <w:sz w:val="16"/>
                <w:szCs w:val="16"/>
              </w:rPr>
            </w:pPr>
            <w:r w:rsidRPr="00057810">
              <w:rPr>
                <w:rFonts w:ascii="Calibri" w:eastAsia="Calibri" w:hAnsi="Calibri" w:cs="Calibri"/>
                <w:b/>
                <w:color w:val="000000"/>
                <w:sz w:val="16"/>
                <w:szCs w:val="16"/>
              </w:rPr>
              <w:t>3.1.</w:t>
            </w:r>
          </w:p>
        </w:tc>
        <w:tc>
          <w:tcPr>
            <w:tcW w:w="11198" w:type="dxa"/>
            <w:shd w:val="clear" w:color="auto" w:fill="auto"/>
            <w:vAlign w:val="center"/>
          </w:tcPr>
          <w:p w14:paraId="00000137"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Factory-calibrated</w:t>
            </w:r>
            <w:r w:rsidRPr="00D82851">
              <w:rPr>
                <w:rFonts w:ascii="Calibri" w:eastAsia="Calibri" w:hAnsi="Calibri" w:cs="Calibri"/>
                <w:sz w:val="16"/>
                <w:szCs w:val="16"/>
              </w:rPr>
              <w:t>: The device is factory-calibrated and calibration remains accurate throughout the sensor’s lifespan.</w:t>
            </w:r>
          </w:p>
        </w:tc>
        <w:tc>
          <w:tcPr>
            <w:tcW w:w="567" w:type="dxa"/>
            <w:vAlign w:val="center"/>
          </w:tcPr>
          <w:p w14:paraId="00000138"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39"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3A"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1FC6E3F5" w14:textId="77777777" w:rsidTr="00D82851">
        <w:trPr>
          <w:trHeight w:val="227"/>
        </w:trPr>
        <w:tc>
          <w:tcPr>
            <w:tcW w:w="846" w:type="dxa"/>
            <w:shd w:val="clear" w:color="auto" w:fill="auto"/>
            <w:vAlign w:val="center"/>
          </w:tcPr>
          <w:p w14:paraId="0000013B"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3.2.</w:t>
            </w:r>
          </w:p>
        </w:tc>
        <w:tc>
          <w:tcPr>
            <w:tcW w:w="11198" w:type="dxa"/>
            <w:shd w:val="clear" w:color="auto" w:fill="auto"/>
            <w:vAlign w:val="center"/>
          </w:tcPr>
          <w:p w14:paraId="0000013C" w14:textId="77777777" w:rsidR="007F0CA8" w:rsidRPr="00D82851" w:rsidRDefault="00133AE2">
            <w:pPr>
              <w:spacing w:after="0" w:line="240" w:lineRule="auto"/>
              <w:jc w:val="left"/>
              <w:rPr>
                <w:rFonts w:ascii="Calibri" w:eastAsia="Calibri" w:hAnsi="Calibri" w:cs="Calibri"/>
                <w:b/>
                <w:sz w:val="16"/>
                <w:szCs w:val="16"/>
              </w:rPr>
            </w:pPr>
            <w:r w:rsidRPr="00D82851">
              <w:rPr>
                <w:rFonts w:ascii="Calibri" w:eastAsia="Calibri" w:hAnsi="Calibri" w:cs="Calibri"/>
                <w:b/>
                <w:sz w:val="16"/>
                <w:szCs w:val="16"/>
              </w:rPr>
              <w:t>Calibration method:</w:t>
            </w:r>
            <w:r w:rsidRPr="00D82851">
              <w:rPr>
                <w:rFonts w:ascii="Calibri" w:eastAsia="Calibri" w:hAnsi="Calibri" w:cs="Calibri"/>
                <w:sz w:val="16"/>
                <w:szCs w:val="16"/>
              </w:rPr>
              <w:t xml:space="preserve"> If the device requires manual calibration, the calibration method is explicitly described and precise instructions for healthcare professionals and patients on how to perform manual calibration is provided.</w:t>
            </w:r>
          </w:p>
        </w:tc>
        <w:tc>
          <w:tcPr>
            <w:tcW w:w="567" w:type="dxa"/>
            <w:vAlign w:val="center"/>
          </w:tcPr>
          <w:p w14:paraId="0000013D"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3E"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3F"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2C23FDF4" w14:textId="77777777" w:rsidTr="00D82851">
        <w:trPr>
          <w:trHeight w:val="227"/>
        </w:trPr>
        <w:tc>
          <w:tcPr>
            <w:tcW w:w="14174" w:type="dxa"/>
            <w:gridSpan w:val="5"/>
            <w:shd w:val="clear" w:color="auto" w:fill="D9D9D9"/>
            <w:vAlign w:val="center"/>
          </w:tcPr>
          <w:p w14:paraId="00000140" w14:textId="77777777" w:rsidR="007F0CA8" w:rsidRPr="00D82851" w:rsidRDefault="00133AE2">
            <w:pPr>
              <w:spacing w:after="0" w:line="240" w:lineRule="auto"/>
              <w:jc w:val="left"/>
              <w:rPr>
                <w:rFonts w:ascii="Calibri" w:eastAsia="Calibri" w:hAnsi="Calibri" w:cs="Calibri"/>
                <w:b/>
                <w:sz w:val="16"/>
                <w:szCs w:val="16"/>
              </w:rPr>
            </w:pPr>
            <w:r w:rsidRPr="00D82851">
              <w:rPr>
                <w:rFonts w:ascii="Calibri" w:eastAsia="Calibri" w:hAnsi="Calibri" w:cs="Calibri"/>
                <w:b/>
                <w:color w:val="000000"/>
                <w:sz w:val="16"/>
                <w:szCs w:val="16"/>
              </w:rPr>
              <w:t>4. Report generation and data sharing</w:t>
            </w:r>
          </w:p>
        </w:tc>
      </w:tr>
      <w:tr w:rsidR="007F0CA8" w:rsidRPr="00057810" w14:paraId="7BD24C35" w14:textId="77777777" w:rsidTr="00D82851">
        <w:trPr>
          <w:trHeight w:val="227"/>
        </w:trPr>
        <w:tc>
          <w:tcPr>
            <w:tcW w:w="846" w:type="dxa"/>
            <w:shd w:val="clear" w:color="auto" w:fill="auto"/>
            <w:vAlign w:val="center"/>
          </w:tcPr>
          <w:p w14:paraId="00000145"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4.1.</w:t>
            </w:r>
          </w:p>
        </w:tc>
        <w:tc>
          <w:tcPr>
            <w:tcW w:w="11198" w:type="dxa"/>
            <w:shd w:val="clear" w:color="auto" w:fill="auto"/>
            <w:vAlign w:val="center"/>
          </w:tcPr>
          <w:p w14:paraId="00000146"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Standardized reports</w:t>
            </w:r>
            <w:r w:rsidRPr="00D82851">
              <w:rPr>
                <w:rFonts w:ascii="Calibri" w:eastAsia="Calibri" w:hAnsi="Calibri" w:cs="Calibri"/>
                <w:sz w:val="16"/>
                <w:szCs w:val="16"/>
              </w:rPr>
              <w:t xml:space="preserve">: The report adheres to the recommendations by the 2019 international ATTD consensus (Battelino et al. 2019 </w:t>
            </w:r>
            <w:r w:rsidRPr="00D82851">
              <w:rPr>
                <w:rFonts w:ascii="Calibri" w:eastAsia="Calibri" w:hAnsi="Calibri" w:cs="Calibri"/>
                <w:color w:val="000000"/>
                <w:sz w:val="16"/>
                <w:szCs w:val="16"/>
              </w:rPr>
              <w:t>[14]</w:t>
            </w:r>
            <w:r w:rsidRPr="00D82851">
              <w:rPr>
                <w:rFonts w:ascii="Calibri" w:eastAsia="Calibri" w:hAnsi="Calibri" w:cs="Calibri"/>
                <w:sz w:val="16"/>
                <w:szCs w:val="16"/>
              </w:rPr>
              <w:t>).</w:t>
            </w:r>
          </w:p>
        </w:tc>
        <w:tc>
          <w:tcPr>
            <w:tcW w:w="567" w:type="dxa"/>
            <w:vAlign w:val="center"/>
          </w:tcPr>
          <w:p w14:paraId="00000147"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48"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49"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4DC293E6" w14:textId="77777777" w:rsidTr="00D82851">
        <w:trPr>
          <w:trHeight w:val="227"/>
        </w:trPr>
        <w:tc>
          <w:tcPr>
            <w:tcW w:w="846" w:type="dxa"/>
            <w:shd w:val="clear" w:color="auto" w:fill="auto"/>
            <w:vAlign w:val="center"/>
          </w:tcPr>
          <w:p w14:paraId="0000014A"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4.2.</w:t>
            </w:r>
          </w:p>
        </w:tc>
        <w:tc>
          <w:tcPr>
            <w:tcW w:w="11198" w:type="dxa"/>
            <w:shd w:val="clear" w:color="auto" w:fill="auto"/>
            <w:vAlign w:val="center"/>
          </w:tcPr>
          <w:p w14:paraId="0000014B"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Interoperability</w:t>
            </w:r>
            <w:r w:rsidRPr="00D82851">
              <w:rPr>
                <w:rFonts w:ascii="Calibri" w:eastAsia="Calibri" w:hAnsi="Calibri" w:cs="Calibri"/>
                <w:sz w:val="16"/>
                <w:szCs w:val="16"/>
              </w:rPr>
              <w:t>: The device integrates seamlessly with smartphones, insulin pumps, and other diabetes management devices.</w:t>
            </w:r>
          </w:p>
        </w:tc>
        <w:tc>
          <w:tcPr>
            <w:tcW w:w="567" w:type="dxa"/>
            <w:vAlign w:val="center"/>
          </w:tcPr>
          <w:p w14:paraId="0000014C"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4D"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4E"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3CB0C821" w14:textId="77777777" w:rsidTr="00D82851">
        <w:trPr>
          <w:trHeight w:val="227"/>
        </w:trPr>
        <w:tc>
          <w:tcPr>
            <w:tcW w:w="846" w:type="dxa"/>
            <w:shd w:val="clear" w:color="auto" w:fill="auto"/>
            <w:vAlign w:val="center"/>
          </w:tcPr>
          <w:p w14:paraId="0000014F"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lastRenderedPageBreak/>
              <w:t>4.3.</w:t>
            </w:r>
          </w:p>
        </w:tc>
        <w:tc>
          <w:tcPr>
            <w:tcW w:w="11198" w:type="dxa"/>
            <w:shd w:val="clear" w:color="auto" w:fill="auto"/>
            <w:vAlign w:val="center"/>
          </w:tcPr>
          <w:p w14:paraId="00000150"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Privacy compliance</w:t>
            </w:r>
            <w:r w:rsidRPr="00D82851">
              <w:rPr>
                <w:rFonts w:ascii="Calibri" w:eastAsia="Calibri" w:hAnsi="Calibri" w:cs="Calibri"/>
                <w:sz w:val="16"/>
                <w:szCs w:val="16"/>
              </w:rPr>
              <w:t>: The device adheres to local data privacy regulations.</w:t>
            </w:r>
          </w:p>
        </w:tc>
        <w:tc>
          <w:tcPr>
            <w:tcW w:w="567" w:type="dxa"/>
            <w:vAlign w:val="center"/>
          </w:tcPr>
          <w:p w14:paraId="00000151"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52"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53"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6DDC27CB" w14:textId="77777777" w:rsidTr="00D82851">
        <w:trPr>
          <w:trHeight w:val="227"/>
        </w:trPr>
        <w:tc>
          <w:tcPr>
            <w:tcW w:w="14174" w:type="dxa"/>
            <w:gridSpan w:val="5"/>
            <w:shd w:val="clear" w:color="auto" w:fill="D9D9D9"/>
            <w:vAlign w:val="center"/>
          </w:tcPr>
          <w:p w14:paraId="00000154" w14:textId="3E896B8D" w:rsidR="007F0CA8" w:rsidRPr="00D82851" w:rsidRDefault="00133AE2">
            <w:pPr>
              <w:spacing w:after="0" w:line="240" w:lineRule="auto"/>
              <w:jc w:val="left"/>
              <w:rPr>
                <w:rFonts w:ascii="Calibri" w:eastAsia="Calibri" w:hAnsi="Calibri" w:cs="Calibri"/>
                <w:b/>
                <w:sz w:val="16"/>
                <w:szCs w:val="16"/>
              </w:rPr>
            </w:pPr>
            <w:r w:rsidRPr="00D82851">
              <w:rPr>
                <w:rFonts w:ascii="Calibri" w:eastAsia="Calibri" w:hAnsi="Calibri" w:cs="Calibri"/>
                <w:b/>
                <w:color w:val="000000"/>
                <w:sz w:val="16"/>
                <w:szCs w:val="16"/>
              </w:rPr>
              <w:t>5. User support, post-sale services, and patient safety</w:t>
            </w:r>
          </w:p>
        </w:tc>
      </w:tr>
      <w:tr w:rsidR="007F0CA8" w:rsidRPr="00057810" w14:paraId="31EF789B" w14:textId="77777777" w:rsidTr="00D82851">
        <w:trPr>
          <w:trHeight w:val="227"/>
        </w:trPr>
        <w:tc>
          <w:tcPr>
            <w:tcW w:w="846" w:type="dxa"/>
            <w:shd w:val="clear" w:color="auto" w:fill="auto"/>
            <w:vAlign w:val="center"/>
          </w:tcPr>
          <w:p w14:paraId="00000159"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5.1.</w:t>
            </w:r>
          </w:p>
        </w:tc>
        <w:tc>
          <w:tcPr>
            <w:tcW w:w="11198" w:type="dxa"/>
            <w:shd w:val="clear" w:color="auto" w:fill="auto"/>
            <w:vAlign w:val="center"/>
          </w:tcPr>
          <w:p w14:paraId="0000015A"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Technical support</w:t>
            </w:r>
            <w:r w:rsidRPr="00D82851">
              <w:rPr>
                <w:rFonts w:ascii="Calibri" w:eastAsia="Calibri" w:hAnsi="Calibri" w:cs="Calibri"/>
                <w:sz w:val="16"/>
                <w:szCs w:val="16"/>
              </w:rPr>
              <w:t>: Manufacturer provides omnichannel customer support in every market where the device is available.</w:t>
            </w:r>
          </w:p>
        </w:tc>
        <w:tc>
          <w:tcPr>
            <w:tcW w:w="567" w:type="dxa"/>
            <w:vAlign w:val="center"/>
          </w:tcPr>
          <w:p w14:paraId="0000015B"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5C"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5D"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4AF299DD" w14:textId="77777777" w:rsidTr="00D82851">
        <w:trPr>
          <w:trHeight w:val="227"/>
        </w:trPr>
        <w:tc>
          <w:tcPr>
            <w:tcW w:w="846" w:type="dxa"/>
            <w:shd w:val="clear" w:color="auto" w:fill="auto"/>
            <w:vAlign w:val="center"/>
          </w:tcPr>
          <w:p w14:paraId="0000015E"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5.2.</w:t>
            </w:r>
          </w:p>
        </w:tc>
        <w:tc>
          <w:tcPr>
            <w:tcW w:w="11198" w:type="dxa"/>
            <w:shd w:val="clear" w:color="auto" w:fill="auto"/>
            <w:vAlign w:val="center"/>
          </w:tcPr>
          <w:p w14:paraId="0000015F" w14:textId="07BA3C80"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Warranty and repairs</w:t>
            </w:r>
            <w:r w:rsidRPr="00D82851">
              <w:rPr>
                <w:rFonts w:ascii="Calibri" w:eastAsia="Calibri" w:hAnsi="Calibri" w:cs="Calibri"/>
                <w:sz w:val="16"/>
                <w:szCs w:val="16"/>
              </w:rPr>
              <w:t xml:space="preserve">: Manufacturer </w:t>
            </w:r>
            <w:r w:rsidR="00057810" w:rsidRPr="00D82851">
              <w:rPr>
                <w:rFonts w:ascii="Calibri" w:eastAsia="Calibri" w:hAnsi="Calibri" w:cs="Calibri"/>
                <w:sz w:val="16"/>
                <w:szCs w:val="16"/>
              </w:rPr>
              <w:t>ensure</w:t>
            </w:r>
            <w:r w:rsidRPr="00D82851">
              <w:rPr>
                <w:rFonts w:ascii="Calibri" w:eastAsia="Calibri" w:hAnsi="Calibri" w:cs="Calibri"/>
                <w:sz w:val="16"/>
                <w:szCs w:val="16"/>
              </w:rPr>
              <w:t xml:space="preserve"> robust post-sale policies, including user-friendly educational resources, warranties, and device replacement protocols.</w:t>
            </w:r>
          </w:p>
        </w:tc>
        <w:tc>
          <w:tcPr>
            <w:tcW w:w="567" w:type="dxa"/>
            <w:vAlign w:val="center"/>
          </w:tcPr>
          <w:p w14:paraId="00000160"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61"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62"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58059F08" w14:textId="77777777" w:rsidTr="00D82851">
        <w:trPr>
          <w:trHeight w:val="227"/>
        </w:trPr>
        <w:tc>
          <w:tcPr>
            <w:tcW w:w="846" w:type="dxa"/>
            <w:shd w:val="clear" w:color="auto" w:fill="auto"/>
            <w:vAlign w:val="center"/>
          </w:tcPr>
          <w:p w14:paraId="00000163"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5.3.</w:t>
            </w:r>
          </w:p>
        </w:tc>
        <w:tc>
          <w:tcPr>
            <w:tcW w:w="11198" w:type="dxa"/>
            <w:shd w:val="clear" w:color="auto" w:fill="auto"/>
            <w:vAlign w:val="center"/>
          </w:tcPr>
          <w:p w14:paraId="00000164" w14:textId="38EFE5E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Biocompatibility</w:t>
            </w:r>
            <w:r w:rsidRPr="00D82851">
              <w:rPr>
                <w:rFonts w:ascii="Calibri" w:eastAsia="Calibri" w:hAnsi="Calibri" w:cs="Calibri"/>
                <w:sz w:val="16"/>
                <w:szCs w:val="16"/>
              </w:rPr>
              <w:t xml:space="preserve">: The device </w:t>
            </w:r>
            <w:r w:rsidRPr="00D82851">
              <w:rPr>
                <w:rFonts w:ascii="Calibri" w:eastAsia="Calibri" w:hAnsi="Calibri" w:cs="Calibri"/>
                <w:color w:val="000000"/>
                <w:sz w:val="16"/>
                <w:szCs w:val="16"/>
              </w:rPr>
              <w:t>complies with standards and explicitly reports materials, potential allergens, and interactions with medications or other devices.</w:t>
            </w:r>
          </w:p>
        </w:tc>
        <w:tc>
          <w:tcPr>
            <w:tcW w:w="567" w:type="dxa"/>
            <w:vAlign w:val="center"/>
          </w:tcPr>
          <w:p w14:paraId="00000165"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66"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67"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6AB2D763" w14:textId="77777777" w:rsidTr="00D82851">
        <w:trPr>
          <w:trHeight w:val="227"/>
        </w:trPr>
        <w:tc>
          <w:tcPr>
            <w:tcW w:w="846" w:type="dxa"/>
            <w:shd w:val="clear" w:color="auto" w:fill="auto"/>
            <w:vAlign w:val="center"/>
          </w:tcPr>
          <w:p w14:paraId="00000168"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5.4.</w:t>
            </w:r>
          </w:p>
        </w:tc>
        <w:tc>
          <w:tcPr>
            <w:tcW w:w="11198" w:type="dxa"/>
            <w:shd w:val="clear" w:color="auto" w:fill="auto"/>
            <w:vAlign w:val="center"/>
          </w:tcPr>
          <w:p w14:paraId="00000169"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Customizable alerts</w:t>
            </w:r>
            <w:r w:rsidRPr="00D82851">
              <w:rPr>
                <w:rFonts w:ascii="Calibri" w:eastAsia="Calibri" w:hAnsi="Calibri" w:cs="Calibri"/>
                <w:sz w:val="16"/>
                <w:szCs w:val="16"/>
              </w:rPr>
              <w:t>: The device allows users to customize alarm thresholds and settings based on individual needs.</w:t>
            </w:r>
          </w:p>
        </w:tc>
        <w:tc>
          <w:tcPr>
            <w:tcW w:w="567" w:type="dxa"/>
            <w:vAlign w:val="center"/>
          </w:tcPr>
          <w:p w14:paraId="0000016A"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6B"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6C"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69FDD6DD" w14:textId="77777777" w:rsidTr="00D82851">
        <w:trPr>
          <w:trHeight w:val="227"/>
        </w:trPr>
        <w:tc>
          <w:tcPr>
            <w:tcW w:w="846" w:type="dxa"/>
            <w:shd w:val="clear" w:color="auto" w:fill="auto"/>
            <w:vAlign w:val="center"/>
          </w:tcPr>
          <w:p w14:paraId="0000016D"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5.4.1.</w:t>
            </w:r>
          </w:p>
        </w:tc>
        <w:tc>
          <w:tcPr>
            <w:tcW w:w="11198" w:type="dxa"/>
            <w:shd w:val="clear" w:color="auto" w:fill="auto"/>
            <w:vAlign w:val="center"/>
          </w:tcPr>
          <w:p w14:paraId="0000016E"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Alerts metrics</w:t>
            </w:r>
            <w:r w:rsidRPr="00D82851">
              <w:rPr>
                <w:rFonts w:ascii="Calibri" w:eastAsia="Calibri" w:hAnsi="Calibri" w:cs="Calibri"/>
                <w:sz w:val="16"/>
                <w:szCs w:val="16"/>
              </w:rPr>
              <w:t>: True alert, false alert, missed alert, and correct alert rates are provided.</w:t>
            </w:r>
          </w:p>
        </w:tc>
        <w:tc>
          <w:tcPr>
            <w:tcW w:w="567" w:type="dxa"/>
            <w:vAlign w:val="center"/>
          </w:tcPr>
          <w:p w14:paraId="0000016F"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70"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71" w14:textId="77777777" w:rsidR="007F0CA8" w:rsidRPr="00D82851" w:rsidRDefault="007F0CA8">
            <w:pPr>
              <w:spacing w:after="0" w:line="240" w:lineRule="auto"/>
              <w:jc w:val="left"/>
              <w:rPr>
                <w:rFonts w:ascii="Calibri" w:eastAsia="Calibri" w:hAnsi="Calibri" w:cs="Calibri"/>
                <w:b/>
                <w:sz w:val="16"/>
                <w:szCs w:val="16"/>
              </w:rPr>
            </w:pPr>
          </w:p>
        </w:tc>
      </w:tr>
      <w:tr w:rsidR="007F0CA8" w:rsidRPr="00057810" w14:paraId="4A28DDB0" w14:textId="77777777" w:rsidTr="00D82851">
        <w:trPr>
          <w:trHeight w:val="227"/>
        </w:trPr>
        <w:tc>
          <w:tcPr>
            <w:tcW w:w="846" w:type="dxa"/>
            <w:shd w:val="clear" w:color="auto" w:fill="auto"/>
            <w:vAlign w:val="center"/>
          </w:tcPr>
          <w:p w14:paraId="00000172" w14:textId="77777777" w:rsidR="007F0CA8" w:rsidRDefault="00133AE2">
            <w:pPr>
              <w:spacing w:after="0" w:line="240" w:lineRule="auto"/>
              <w:jc w:val="center"/>
              <w:rPr>
                <w:rFonts w:ascii="Calibri" w:eastAsia="Calibri" w:hAnsi="Calibri" w:cs="Calibri"/>
                <w:b/>
                <w:color w:val="000000"/>
                <w:sz w:val="16"/>
                <w:szCs w:val="16"/>
              </w:rPr>
            </w:pPr>
            <w:r>
              <w:rPr>
                <w:rFonts w:ascii="Calibri" w:eastAsia="Calibri" w:hAnsi="Calibri" w:cs="Calibri"/>
                <w:b/>
                <w:color w:val="000000"/>
                <w:sz w:val="16"/>
                <w:szCs w:val="16"/>
              </w:rPr>
              <w:t>5.5.</w:t>
            </w:r>
          </w:p>
        </w:tc>
        <w:tc>
          <w:tcPr>
            <w:tcW w:w="11198" w:type="dxa"/>
            <w:shd w:val="clear" w:color="auto" w:fill="auto"/>
            <w:vAlign w:val="center"/>
          </w:tcPr>
          <w:p w14:paraId="00000173" w14:textId="77777777" w:rsidR="007F0CA8" w:rsidRPr="00D82851" w:rsidRDefault="00133AE2">
            <w:pPr>
              <w:spacing w:after="0" w:line="240" w:lineRule="auto"/>
              <w:jc w:val="left"/>
              <w:rPr>
                <w:rFonts w:ascii="Calibri" w:eastAsia="Calibri" w:hAnsi="Calibri" w:cs="Calibri"/>
                <w:sz w:val="16"/>
                <w:szCs w:val="16"/>
              </w:rPr>
            </w:pPr>
            <w:r w:rsidRPr="00D82851">
              <w:rPr>
                <w:rFonts w:ascii="Calibri" w:eastAsia="Calibri" w:hAnsi="Calibri" w:cs="Calibri"/>
                <w:b/>
                <w:sz w:val="16"/>
                <w:szCs w:val="16"/>
              </w:rPr>
              <w:t>Signal loss:</w:t>
            </w:r>
            <w:r w:rsidRPr="00D82851">
              <w:rPr>
                <w:rFonts w:ascii="Calibri" w:eastAsia="Calibri" w:hAnsi="Calibri" w:cs="Calibri"/>
                <w:sz w:val="16"/>
                <w:szCs w:val="16"/>
              </w:rPr>
              <w:t xml:space="preserve"> The device includes alerts for signal loss.</w:t>
            </w:r>
          </w:p>
        </w:tc>
        <w:tc>
          <w:tcPr>
            <w:tcW w:w="567" w:type="dxa"/>
            <w:vAlign w:val="center"/>
          </w:tcPr>
          <w:p w14:paraId="00000174" w14:textId="77777777" w:rsidR="007F0CA8" w:rsidRPr="00D82851" w:rsidRDefault="007F0CA8">
            <w:pPr>
              <w:spacing w:after="0" w:line="240" w:lineRule="auto"/>
              <w:jc w:val="left"/>
              <w:rPr>
                <w:rFonts w:ascii="Calibri" w:eastAsia="Calibri" w:hAnsi="Calibri" w:cs="Calibri"/>
                <w:b/>
                <w:sz w:val="16"/>
                <w:szCs w:val="16"/>
              </w:rPr>
            </w:pPr>
          </w:p>
        </w:tc>
        <w:tc>
          <w:tcPr>
            <w:tcW w:w="567" w:type="dxa"/>
            <w:vAlign w:val="center"/>
          </w:tcPr>
          <w:p w14:paraId="00000175" w14:textId="77777777" w:rsidR="007F0CA8" w:rsidRPr="00D82851" w:rsidRDefault="007F0CA8">
            <w:pPr>
              <w:spacing w:after="0" w:line="240" w:lineRule="auto"/>
              <w:jc w:val="left"/>
              <w:rPr>
                <w:rFonts w:ascii="Calibri" w:eastAsia="Calibri" w:hAnsi="Calibri" w:cs="Calibri"/>
                <w:b/>
                <w:sz w:val="16"/>
                <w:szCs w:val="16"/>
              </w:rPr>
            </w:pPr>
          </w:p>
        </w:tc>
        <w:tc>
          <w:tcPr>
            <w:tcW w:w="996" w:type="dxa"/>
            <w:vAlign w:val="center"/>
          </w:tcPr>
          <w:p w14:paraId="00000176" w14:textId="77777777" w:rsidR="007F0CA8" w:rsidRPr="00D82851" w:rsidRDefault="007F0CA8">
            <w:pPr>
              <w:spacing w:after="0" w:line="240" w:lineRule="auto"/>
              <w:jc w:val="left"/>
              <w:rPr>
                <w:rFonts w:ascii="Calibri" w:eastAsia="Calibri" w:hAnsi="Calibri" w:cs="Calibri"/>
                <w:b/>
                <w:sz w:val="16"/>
                <w:szCs w:val="16"/>
              </w:rPr>
            </w:pPr>
          </w:p>
        </w:tc>
      </w:tr>
    </w:tbl>
    <w:p w14:paraId="00000177" w14:textId="77777777" w:rsidR="007F0CA8" w:rsidRPr="00D82851" w:rsidRDefault="00133AE2">
      <w:pPr>
        <w:rPr>
          <w:sz w:val="15"/>
          <w:szCs w:val="15"/>
        </w:rPr>
        <w:sectPr w:rsidR="007F0CA8" w:rsidRPr="00D82851">
          <w:footerReference w:type="even" r:id="rId9"/>
          <w:footerReference w:type="default" r:id="rId10"/>
          <w:pgSz w:w="16838" w:h="11906" w:orient="landscape"/>
          <w:pgMar w:top="1440" w:right="1440" w:bottom="1440" w:left="1440" w:header="708" w:footer="708" w:gutter="0"/>
          <w:cols w:space="720"/>
        </w:sectPr>
      </w:pPr>
      <w:r w:rsidRPr="00D82851">
        <w:rPr>
          <w:sz w:val="15"/>
          <w:szCs w:val="15"/>
        </w:rPr>
        <w:t>*The population representation is for the intended approval.</w:t>
      </w:r>
    </w:p>
    <w:p w14:paraId="4C224102" w14:textId="77777777" w:rsidR="007B0405" w:rsidRPr="007B0405" w:rsidRDefault="007B0405" w:rsidP="007B0405"/>
    <w:p w14:paraId="284BB273" w14:textId="77777777" w:rsidR="007B0405" w:rsidRPr="007B0405" w:rsidRDefault="007B0405" w:rsidP="007B0405"/>
    <w:p w14:paraId="537FAFDA" w14:textId="77777777" w:rsidR="007B0405" w:rsidRPr="00D82851" w:rsidRDefault="007B0405" w:rsidP="007B0405">
      <w:pPr>
        <w:pStyle w:val="Heading2"/>
      </w:pPr>
    </w:p>
    <w:sectPr w:rsidR="007B0405" w:rsidRPr="00D82851">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51A23" w14:textId="77777777" w:rsidR="00F97C76" w:rsidRDefault="00F97C76">
      <w:pPr>
        <w:spacing w:after="0" w:line="240" w:lineRule="auto"/>
      </w:pPr>
      <w:r>
        <w:separator/>
      </w:r>
    </w:p>
  </w:endnote>
  <w:endnote w:type="continuationSeparator" w:id="0">
    <w:p w14:paraId="4841B8AC" w14:textId="77777777" w:rsidR="00F97C76" w:rsidRDefault="00F97C76">
      <w:pPr>
        <w:spacing w:after="0" w:line="240" w:lineRule="auto"/>
      </w:pPr>
      <w:r>
        <w:continuationSeparator/>
      </w:r>
    </w:p>
  </w:endnote>
  <w:endnote w:type="continuationNotice" w:id="1">
    <w:p w14:paraId="3B67246E" w14:textId="77777777" w:rsidR="00F97C76" w:rsidRDefault="00F97C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Noto Sans Symbols">
    <w:altName w:val="Calibri"/>
    <w:charset w:val="00"/>
    <w:family w:val="auto"/>
    <w:pitch w:val="default"/>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7A" w14:textId="77777777" w:rsidR="007F0CA8" w:rsidRDefault="00133AE2">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17B" w14:textId="77777777" w:rsidR="007F0CA8" w:rsidRDefault="007F0CA8">
    <w:pPr>
      <w:pBdr>
        <w:top w:val="nil"/>
        <w:left w:val="nil"/>
        <w:bottom w:val="nil"/>
        <w:right w:val="nil"/>
        <w:between w:val="nil"/>
      </w:pBdr>
      <w:tabs>
        <w:tab w:val="center" w:pos="4513"/>
        <w:tab w:val="right" w:pos="9026"/>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7C" w14:textId="0107354A" w:rsidR="007F0CA8" w:rsidRDefault="00133AE2">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CD115B">
      <w:rPr>
        <w:noProof/>
        <w:color w:val="000000"/>
      </w:rPr>
      <w:t>1</w:t>
    </w:r>
    <w:r>
      <w:rPr>
        <w:color w:val="000000"/>
      </w:rPr>
      <w:fldChar w:fldCharType="end"/>
    </w:r>
  </w:p>
  <w:p w14:paraId="0000017D" w14:textId="77777777" w:rsidR="007F0CA8" w:rsidRDefault="007F0CA8">
    <w:pPr>
      <w:pBdr>
        <w:top w:val="nil"/>
        <w:left w:val="nil"/>
        <w:bottom w:val="nil"/>
        <w:right w:val="nil"/>
        <w:between w:val="nil"/>
      </w:pBdr>
      <w:tabs>
        <w:tab w:val="center" w:pos="4513"/>
        <w:tab w:val="right" w:pos="9026"/>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1EC6E" w14:textId="77777777" w:rsidR="00F97C76" w:rsidRDefault="00F97C76">
      <w:pPr>
        <w:spacing w:after="0" w:line="240" w:lineRule="auto"/>
      </w:pPr>
      <w:r>
        <w:separator/>
      </w:r>
    </w:p>
  </w:footnote>
  <w:footnote w:type="continuationSeparator" w:id="0">
    <w:p w14:paraId="2E7D3472" w14:textId="77777777" w:rsidR="00F97C76" w:rsidRDefault="00F97C76">
      <w:pPr>
        <w:spacing w:after="0" w:line="240" w:lineRule="auto"/>
      </w:pPr>
      <w:r>
        <w:continuationSeparator/>
      </w:r>
    </w:p>
  </w:footnote>
  <w:footnote w:type="continuationNotice" w:id="1">
    <w:p w14:paraId="21983C7F" w14:textId="77777777" w:rsidR="00F97C76" w:rsidRDefault="00F97C7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61143"/>
    <w:multiLevelType w:val="hybridMultilevel"/>
    <w:tmpl w:val="F3C0BA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1B355DE"/>
    <w:multiLevelType w:val="hybridMultilevel"/>
    <w:tmpl w:val="1C705408"/>
    <w:lvl w:ilvl="0" w:tplc="D0445F84">
      <w:numFmt w:val="bullet"/>
      <w:lvlText w:val="•"/>
      <w:lvlJc w:val="left"/>
      <w:pPr>
        <w:ind w:left="720" w:hanging="720"/>
      </w:pPr>
      <w:rPr>
        <w:rFonts w:ascii="Aptos" w:eastAsia="Aptos" w:hAnsi="Aptos" w:cs="Apto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565395"/>
    <w:multiLevelType w:val="multilevel"/>
    <w:tmpl w:val="6E4CD1C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C7F09D2"/>
    <w:multiLevelType w:val="multilevel"/>
    <w:tmpl w:val="014E87B4"/>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4" w15:restartNumberingAfterBreak="0">
    <w:nsid w:val="0CE564FB"/>
    <w:multiLevelType w:val="multilevel"/>
    <w:tmpl w:val="826E5BCE"/>
    <w:lvl w:ilvl="0">
      <w:start w:val="1"/>
      <w:numFmt w:val="bullet"/>
      <w:lvlText w:val="●"/>
      <w:lvlJc w:val="left"/>
      <w:pPr>
        <w:ind w:left="1434" w:hanging="360"/>
      </w:pPr>
      <w:rPr>
        <w:rFonts w:ascii="Noto Sans Symbols" w:eastAsia="Noto Sans Symbols" w:hAnsi="Noto Sans Symbols" w:cs="Noto Sans Symbols"/>
      </w:rPr>
    </w:lvl>
    <w:lvl w:ilvl="1">
      <w:start w:val="1"/>
      <w:numFmt w:val="bullet"/>
      <w:lvlText w:val="o"/>
      <w:lvlJc w:val="left"/>
      <w:pPr>
        <w:ind w:left="2154" w:hanging="360"/>
      </w:pPr>
      <w:rPr>
        <w:rFonts w:ascii="Courier New" w:eastAsia="Courier New" w:hAnsi="Courier New" w:cs="Courier New"/>
      </w:rPr>
    </w:lvl>
    <w:lvl w:ilvl="2">
      <w:start w:val="1"/>
      <w:numFmt w:val="bullet"/>
      <w:lvlText w:val="▪"/>
      <w:lvlJc w:val="left"/>
      <w:pPr>
        <w:ind w:left="2874" w:hanging="360"/>
      </w:pPr>
      <w:rPr>
        <w:rFonts w:ascii="Noto Sans Symbols" w:eastAsia="Noto Sans Symbols" w:hAnsi="Noto Sans Symbols" w:cs="Noto Sans Symbols"/>
      </w:rPr>
    </w:lvl>
    <w:lvl w:ilvl="3">
      <w:start w:val="1"/>
      <w:numFmt w:val="bullet"/>
      <w:lvlText w:val="●"/>
      <w:lvlJc w:val="left"/>
      <w:pPr>
        <w:ind w:left="3594" w:hanging="360"/>
      </w:pPr>
      <w:rPr>
        <w:rFonts w:ascii="Noto Sans Symbols" w:eastAsia="Noto Sans Symbols" w:hAnsi="Noto Sans Symbols" w:cs="Noto Sans Symbols"/>
      </w:rPr>
    </w:lvl>
    <w:lvl w:ilvl="4">
      <w:start w:val="1"/>
      <w:numFmt w:val="bullet"/>
      <w:lvlText w:val="o"/>
      <w:lvlJc w:val="left"/>
      <w:pPr>
        <w:ind w:left="4314" w:hanging="360"/>
      </w:pPr>
      <w:rPr>
        <w:rFonts w:ascii="Courier New" w:eastAsia="Courier New" w:hAnsi="Courier New" w:cs="Courier New"/>
      </w:rPr>
    </w:lvl>
    <w:lvl w:ilvl="5">
      <w:start w:val="1"/>
      <w:numFmt w:val="bullet"/>
      <w:lvlText w:val="▪"/>
      <w:lvlJc w:val="left"/>
      <w:pPr>
        <w:ind w:left="5034" w:hanging="360"/>
      </w:pPr>
      <w:rPr>
        <w:rFonts w:ascii="Noto Sans Symbols" w:eastAsia="Noto Sans Symbols" w:hAnsi="Noto Sans Symbols" w:cs="Noto Sans Symbols"/>
      </w:rPr>
    </w:lvl>
    <w:lvl w:ilvl="6">
      <w:start w:val="1"/>
      <w:numFmt w:val="bullet"/>
      <w:lvlText w:val="●"/>
      <w:lvlJc w:val="left"/>
      <w:pPr>
        <w:ind w:left="5754" w:hanging="360"/>
      </w:pPr>
      <w:rPr>
        <w:rFonts w:ascii="Noto Sans Symbols" w:eastAsia="Noto Sans Symbols" w:hAnsi="Noto Sans Symbols" w:cs="Noto Sans Symbols"/>
      </w:rPr>
    </w:lvl>
    <w:lvl w:ilvl="7">
      <w:start w:val="1"/>
      <w:numFmt w:val="bullet"/>
      <w:lvlText w:val="o"/>
      <w:lvlJc w:val="left"/>
      <w:pPr>
        <w:ind w:left="6474" w:hanging="360"/>
      </w:pPr>
      <w:rPr>
        <w:rFonts w:ascii="Courier New" w:eastAsia="Courier New" w:hAnsi="Courier New" w:cs="Courier New"/>
      </w:rPr>
    </w:lvl>
    <w:lvl w:ilvl="8">
      <w:start w:val="1"/>
      <w:numFmt w:val="bullet"/>
      <w:lvlText w:val="▪"/>
      <w:lvlJc w:val="left"/>
      <w:pPr>
        <w:ind w:left="7194" w:hanging="360"/>
      </w:pPr>
      <w:rPr>
        <w:rFonts w:ascii="Noto Sans Symbols" w:eastAsia="Noto Sans Symbols" w:hAnsi="Noto Sans Symbols" w:cs="Noto Sans Symbols"/>
      </w:rPr>
    </w:lvl>
  </w:abstractNum>
  <w:abstractNum w:abstractNumId="5" w15:restartNumberingAfterBreak="0">
    <w:nsid w:val="0DC735CB"/>
    <w:multiLevelType w:val="multilevel"/>
    <w:tmpl w:val="C1A0A7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EE10018"/>
    <w:multiLevelType w:val="multilevel"/>
    <w:tmpl w:val="9BFED06C"/>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7" w15:restartNumberingAfterBreak="0">
    <w:nsid w:val="103575B2"/>
    <w:multiLevelType w:val="hybridMultilevel"/>
    <w:tmpl w:val="08F4BE6E"/>
    <w:lvl w:ilvl="0" w:tplc="D0445F84">
      <w:numFmt w:val="bullet"/>
      <w:lvlText w:val="•"/>
      <w:lvlJc w:val="left"/>
      <w:pPr>
        <w:ind w:left="720" w:hanging="36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3804E27"/>
    <w:multiLevelType w:val="hybridMultilevel"/>
    <w:tmpl w:val="FACC1F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768288B"/>
    <w:multiLevelType w:val="multilevel"/>
    <w:tmpl w:val="414EC2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8594061"/>
    <w:multiLevelType w:val="hybridMultilevel"/>
    <w:tmpl w:val="2B0275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85C2E6F"/>
    <w:multiLevelType w:val="multilevel"/>
    <w:tmpl w:val="159209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9643DD3"/>
    <w:multiLevelType w:val="multilevel"/>
    <w:tmpl w:val="0D92DF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A8E77F9"/>
    <w:multiLevelType w:val="hybridMultilevel"/>
    <w:tmpl w:val="DA5447E6"/>
    <w:lvl w:ilvl="0" w:tplc="D0445F84">
      <w:numFmt w:val="bullet"/>
      <w:lvlText w:val="•"/>
      <w:lvlJc w:val="left"/>
      <w:pPr>
        <w:ind w:left="1080" w:hanging="72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1E926EFF"/>
    <w:multiLevelType w:val="hybridMultilevel"/>
    <w:tmpl w:val="FE0CA822"/>
    <w:lvl w:ilvl="0" w:tplc="D0445F84">
      <w:numFmt w:val="bullet"/>
      <w:lvlText w:val="•"/>
      <w:lvlJc w:val="left"/>
      <w:pPr>
        <w:ind w:left="1080" w:hanging="72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1F832A00"/>
    <w:multiLevelType w:val="hybridMultilevel"/>
    <w:tmpl w:val="15941708"/>
    <w:lvl w:ilvl="0" w:tplc="D0445F84">
      <w:numFmt w:val="bullet"/>
      <w:lvlText w:val="•"/>
      <w:lvlJc w:val="left"/>
      <w:pPr>
        <w:ind w:left="1080" w:hanging="72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0C97FFA"/>
    <w:multiLevelType w:val="multilevel"/>
    <w:tmpl w:val="C94E60C6"/>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17" w15:restartNumberingAfterBreak="0">
    <w:nsid w:val="21167D43"/>
    <w:multiLevelType w:val="multilevel"/>
    <w:tmpl w:val="860C0464"/>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18" w15:restartNumberingAfterBreak="0">
    <w:nsid w:val="27BE4D09"/>
    <w:multiLevelType w:val="hybridMultilevel"/>
    <w:tmpl w:val="BC5CA2DC"/>
    <w:lvl w:ilvl="0" w:tplc="D0445F84">
      <w:numFmt w:val="bullet"/>
      <w:lvlText w:val="•"/>
      <w:lvlJc w:val="left"/>
      <w:pPr>
        <w:ind w:left="1080" w:hanging="72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C0A2891"/>
    <w:multiLevelType w:val="multilevel"/>
    <w:tmpl w:val="117C40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0AF73AB"/>
    <w:multiLevelType w:val="multilevel"/>
    <w:tmpl w:val="7556C356"/>
    <w:lvl w:ilvl="0">
      <w:start w:val="1"/>
      <w:numFmt w:val="upperLetter"/>
      <w:lvlText w:val="%1."/>
      <w:lvlJc w:val="left"/>
      <w:pPr>
        <w:ind w:left="720" w:hanging="360"/>
      </w:pPr>
    </w:lvl>
    <w:lvl w:ilvl="1">
      <w:numFmt w:val="bullet"/>
      <w:lvlText w:val="•"/>
      <w:lvlJc w:val="left"/>
      <w:pPr>
        <w:ind w:left="1800" w:hanging="720"/>
      </w:pPr>
      <w:rPr>
        <w:rFonts w:ascii="Aptos" w:eastAsia="Aptos" w:hAnsi="Aptos" w:cs="Apto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60F25C2"/>
    <w:multiLevelType w:val="multilevel"/>
    <w:tmpl w:val="743A43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BF31BE4"/>
    <w:multiLevelType w:val="multilevel"/>
    <w:tmpl w:val="633A1CA8"/>
    <w:lvl w:ilvl="0">
      <w:start w:val="1"/>
      <w:numFmt w:val="bullet"/>
      <w:lvlText w:val="●"/>
      <w:lvlJc w:val="left"/>
      <w:pPr>
        <w:ind w:left="1434" w:hanging="360"/>
      </w:pPr>
      <w:rPr>
        <w:rFonts w:ascii="Noto Sans Symbols" w:eastAsia="Noto Sans Symbols" w:hAnsi="Noto Sans Symbols" w:cs="Noto Sans Symbols"/>
      </w:rPr>
    </w:lvl>
    <w:lvl w:ilvl="1">
      <w:start w:val="1"/>
      <w:numFmt w:val="bullet"/>
      <w:lvlText w:val="o"/>
      <w:lvlJc w:val="left"/>
      <w:pPr>
        <w:ind w:left="2154" w:hanging="360"/>
      </w:pPr>
      <w:rPr>
        <w:rFonts w:ascii="Courier New" w:eastAsia="Courier New" w:hAnsi="Courier New" w:cs="Courier New"/>
      </w:rPr>
    </w:lvl>
    <w:lvl w:ilvl="2">
      <w:start w:val="1"/>
      <w:numFmt w:val="bullet"/>
      <w:lvlText w:val="▪"/>
      <w:lvlJc w:val="left"/>
      <w:pPr>
        <w:ind w:left="2874" w:hanging="360"/>
      </w:pPr>
      <w:rPr>
        <w:rFonts w:ascii="Noto Sans Symbols" w:eastAsia="Noto Sans Symbols" w:hAnsi="Noto Sans Symbols" w:cs="Noto Sans Symbols"/>
      </w:rPr>
    </w:lvl>
    <w:lvl w:ilvl="3">
      <w:start w:val="1"/>
      <w:numFmt w:val="bullet"/>
      <w:lvlText w:val="●"/>
      <w:lvlJc w:val="left"/>
      <w:pPr>
        <w:ind w:left="3594" w:hanging="360"/>
      </w:pPr>
      <w:rPr>
        <w:rFonts w:ascii="Noto Sans Symbols" w:eastAsia="Noto Sans Symbols" w:hAnsi="Noto Sans Symbols" w:cs="Noto Sans Symbols"/>
      </w:rPr>
    </w:lvl>
    <w:lvl w:ilvl="4">
      <w:start w:val="1"/>
      <w:numFmt w:val="bullet"/>
      <w:lvlText w:val="o"/>
      <w:lvlJc w:val="left"/>
      <w:pPr>
        <w:ind w:left="4314" w:hanging="360"/>
      </w:pPr>
      <w:rPr>
        <w:rFonts w:ascii="Courier New" w:eastAsia="Courier New" w:hAnsi="Courier New" w:cs="Courier New"/>
      </w:rPr>
    </w:lvl>
    <w:lvl w:ilvl="5">
      <w:start w:val="1"/>
      <w:numFmt w:val="bullet"/>
      <w:lvlText w:val="▪"/>
      <w:lvlJc w:val="left"/>
      <w:pPr>
        <w:ind w:left="5034" w:hanging="360"/>
      </w:pPr>
      <w:rPr>
        <w:rFonts w:ascii="Noto Sans Symbols" w:eastAsia="Noto Sans Symbols" w:hAnsi="Noto Sans Symbols" w:cs="Noto Sans Symbols"/>
      </w:rPr>
    </w:lvl>
    <w:lvl w:ilvl="6">
      <w:start w:val="1"/>
      <w:numFmt w:val="bullet"/>
      <w:lvlText w:val="●"/>
      <w:lvlJc w:val="left"/>
      <w:pPr>
        <w:ind w:left="5754" w:hanging="360"/>
      </w:pPr>
      <w:rPr>
        <w:rFonts w:ascii="Noto Sans Symbols" w:eastAsia="Noto Sans Symbols" w:hAnsi="Noto Sans Symbols" w:cs="Noto Sans Symbols"/>
      </w:rPr>
    </w:lvl>
    <w:lvl w:ilvl="7">
      <w:start w:val="1"/>
      <w:numFmt w:val="bullet"/>
      <w:lvlText w:val="o"/>
      <w:lvlJc w:val="left"/>
      <w:pPr>
        <w:ind w:left="6474" w:hanging="360"/>
      </w:pPr>
      <w:rPr>
        <w:rFonts w:ascii="Courier New" w:eastAsia="Courier New" w:hAnsi="Courier New" w:cs="Courier New"/>
      </w:rPr>
    </w:lvl>
    <w:lvl w:ilvl="8">
      <w:start w:val="1"/>
      <w:numFmt w:val="bullet"/>
      <w:lvlText w:val="▪"/>
      <w:lvlJc w:val="left"/>
      <w:pPr>
        <w:ind w:left="7194" w:hanging="360"/>
      </w:pPr>
      <w:rPr>
        <w:rFonts w:ascii="Noto Sans Symbols" w:eastAsia="Noto Sans Symbols" w:hAnsi="Noto Sans Symbols" w:cs="Noto Sans Symbols"/>
      </w:rPr>
    </w:lvl>
  </w:abstractNum>
  <w:abstractNum w:abstractNumId="23" w15:restartNumberingAfterBreak="0">
    <w:nsid w:val="3CD029D3"/>
    <w:multiLevelType w:val="multilevel"/>
    <w:tmpl w:val="62142968"/>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D80244D"/>
    <w:multiLevelType w:val="multilevel"/>
    <w:tmpl w:val="B10241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1B16493"/>
    <w:multiLevelType w:val="multilevel"/>
    <w:tmpl w:val="5BEA72F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3277D9B"/>
    <w:multiLevelType w:val="multilevel"/>
    <w:tmpl w:val="F0B88B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3FE2824"/>
    <w:multiLevelType w:val="hybridMultilevel"/>
    <w:tmpl w:val="EFDA3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44484D30"/>
    <w:multiLevelType w:val="multilevel"/>
    <w:tmpl w:val="FD9007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4A04301F"/>
    <w:multiLevelType w:val="multilevel"/>
    <w:tmpl w:val="B98A557C"/>
    <w:lvl w:ilvl="0">
      <w:start w:val="1"/>
      <w:numFmt w:val="bullet"/>
      <w:lvlText w:val="●"/>
      <w:lvlJc w:val="left"/>
      <w:pPr>
        <w:ind w:left="1434" w:hanging="360"/>
      </w:pPr>
      <w:rPr>
        <w:rFonts w:ascii="Noto Sans Symbols" w:eastAsia="Noto Sans Symbols" w:hAnsi="Noto Sans Symbols" w:cs="Noto Sans Symbols"/>
      </w:rPr>
    </w:lvl>
    <w:lvl w:ilvl="1">
      <w:start w:val="1"/>
      <w:numFmt w:val="bullet"/>
      <w:lvlText w:val="o"/>
      <w:lvlJc w:val="left"/>
      <w:pPr>
        <w:ind w:left="2154" w:hanging="360"/>
      </w:pPr>
      <w:rPr>
        <w:rFonts w:ascii="Courier New" w:eastAsia="Courier New" w:hAnsi="Courier New" w:cs="Courier New"/>
      </w:rPr>
    </w:lvl>
    <w:lvl w:ilvl="2">
      <w:start w:val="1"/>
      <w:numFmt w:val="bullet"/>
      <w:lvlText w:val="▪"/>
      <w:lvlJc w:val="left"/>
      <w:pPr>
        <w:ind w:left="2874" w:hanging="360"/>
      </w:pPr>
      <w:rPr>
        <w:rFonts w:ascii="Noto Sans Symbols" w:eastAsia="Noto Sans Symbols" w:hAnsi="Noto Sans Symbols" w:cs="Noto Sans Symbols"/>
      </w:rPr>
    </w:lvl>
    <w:lvl w:ilvl="3">
      <w:start w:val="1"/>
      <w:numFmt w:val="bullet"/>
      <w:lvlText w:val="●"/>
      <w:lvlJc w:val="left"/>
      <w:pPr>
        <w:ind w:left="3594" w:hanging="360"/>
      </w:pPr>
      <w:rPr>
        <w:rFonts w:ascii="Noto Sans Symbols" w:eastAsia="Noto Sans Symbols" w:hAnsi="Noto Sans Symbols" w:cs="Noto Sans Symbols"/>
      </w:rPr>
    </w:lvl>
    <w:lvl w:ilvl="4">
      <w:start w:val="1"/>
      <w:numFmt w:val="bullet"/>
      <w:lvlText w:val="o"/>
      <w:lvlJc w:val="left"/>
      <w:pPr>
        <w:ind w:left="4314" w:hanging="360"/>
      </w:pPr>
      <w:rPr>
        <w:rFonts w:ascii="Courier New" w:eastAsia="Courier New" w:hAnsi="Courier New" w:cs="Courier New"/>
      </w:rPr>
    </w:lvl>
    <w:lvl w:ilvl="5">
      <w:start w:val="1"/>
      <w:numFmt w:val="bullet"/>
      <w:lvlText w:val="▪"/>
      <w:lvlJc w:val="left"/>
      <w:pPr>
        <w:ind w:left="5034" w:hanging="360"/>
      </w:pPr>
      <w:rPr>
        <w:rFonts w:ascii="Noto Sans Symbols" w:eastAsia="Noto Sans Symbols" w:hAnsi="Noto Sans Symbols" w:cs="Noto Sans Symbols"/>
      </w:rPr>
    </w:lvl>
    <w:lvl w:ilvl="6">
      <w:start w:val="1"/>
      <w:numFmt w:val="bullet"/>
      <w:lvlText w:val="●"/>
      <w:lvlJc w:val="left"/>
      <w:pPr>
        <w:ind w:left="5754" w:hanging="360"/>
      </w:pPr>
      <w:rPr>
        <w:rFonts w:ascii="Noto Sans Symbols" w:eastAsia="Noto Sans Symbols" w:hAnsi="Noto Sans Symbols" w:cs="Noto Sans Symbols"/>
      </w:rPr>
    </w:lvl>
    <w:lvl w:ilvl="7">
      <w:start w:val="1"/>
      <w:numFmt w:val="bullet"/>
      <w:lvlText w:val="o"/>
      <w:lvlJc w:val="left"/>
      <w:pPr>
        <w:ind w:left="6474" w:hanging="360"/>
      </w:pPr>
      <w:rPr>
        <w:rFonts w:ascii="Courier New" w:eastAsia="Courier New" w:hAnsi="Courier New" w:cs="Courier New"/>
      </w:rPr>
    </w:lvl>
    <w:lvl w:ilvl="8">
      <w:start w:val="1"/>
      <w:numFmt w:val="bullet"/>
      <w:lvlText w:val="▪"/>
      <w:lvlJc w:val="left"/>
      <w:pPr>
        <w:ind w:left="7194" w:hanging="360"/>
      </w:pPr>
      <w:rPr>
        <w:rFonts w:ascii="Noto Sans Symbols" w:eastAsia="Noto Sans Symbols" w:hAnsi="Noto Sans Symbols" w:cs="Noto Sans Symbols"/>
      </w:rPr>
    </w:lvl>
  </w:abstractNum>
  <w:abstractNum w:abstractNumId="30" w15:restartNumberingAfterBreak="0">
    <w:nsid w:val="4E41542B"/>
    <w:multiLevelType w:val="hybridMultilevel"/>
    <w:tmpl w:val="6DAA7808"/>
    <w:lvl w:ilvl="0" w:tplc="D0445F84">
      <w:numFmt w:val="bullet"/>
      <w:lvlText w:val="•"/>
      <w:lvlJc w:val="left"/>
      <w:pPr>
        <w:ind w:left="720" w:hanging="36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4F885498"/>
    <w:multiLevelType w:val="multilevel"/>
    <w:tmpl w:val="0F92C8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526076CA"/>
    <w:multiLevelType w:val="multilevel"/>
    <w:tmpl w:val="D472B9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28615E6"/>
    <w:multiLevelType w:val="multilevel"/>
    <w:tmpl w:val="74EAB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53D14B2A"/>
    <w:multiLevelType w:val="hybridMultilevel"/>
    <w:tmpl w:val="BE6A9C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4CD73A1"/>
    <w:multiLevelType w:val="hybridMultilevel"/>
    <w:tmpl w:val="5C86EF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55FC6E59"/>
    <w:multiLevelType w:val="multilevel"/>
    <w:tmpl w:val="53346E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566B11FE"/>
    <w:multiLevelType w:val="multilevel"/>
    <w:tmpl w:val="F28C6A22"/>
    <w:lvl w:ilvl="0">
      <w:start w:val="1"/>
      <w:numFmt w:val="upperLetter"/>
      <w:lvlText w:val="%1."/>
      <w:lvlJc w:val="left"/>
      <w:pPr>
        <w:ind w:left="720" w:hanging="360"/>
      </w:pPr>
    </w:lvl>
    <w:lvl w:ilvl="1">
      <w:numFmt w:val="bullet"/>
      <w:lvlText w:val="•"/>
      <w:lvlJc w:val="left"/>
      <w:pPr>
        <w:ind w:left="1800" w:hanging="720"/>
      </w:pPr>
      <w:rPr>
        <w:rFonts w:ascii="Aptos" w:eastAsia="Aptos" w:hAnsi="Aptos" w:cs="Apto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69A1C48"/>
    <w:multiLevelType w:val="multilevel"/>
    <w:tmpl w:val="4552A6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584228A9"/>
    <w:multiLevelType w:val="multilevel"/>
    <w:tmpl w:val="0F3814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59416BDA"/>
    <w:multiLevelType w:val="multilevel"/>
    <w:tmpl w:val="AF5832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5F910EBE"/>
    <w:multiLevelType w:val="hybridMultilevel"/>
    <w:tmpl w:val="A406EA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6615AED"/>
    <w:multiLevelType w:val="multilevel"/>
    <w:tmpl w:val="EA22ADD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3" w15:restartNumberingAfterBreak="0">
    <w:nsid w:val="67056C64"/>
    <w:multiLevelType w:val="hybridMultilevel"/>
    <w:tmpl w:val="196C8E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A00485F"/>
    <w:multiLevelType w:val="hybridMultilevel"/>
    <w:tmpl w:val="3C446874"/>
    <w:lvl w:ilvl="0" w:tplc="D0445F84">
      <w:numFmt w:val="bullet"/>
      <w:lvlText w:val="•"/>
      <w:lvlJc w:val="left"/>
      <w:pPr>
        <w:ind w:left="1080" w:hanging="72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451E85"/>
    <w:multiLevelType w:val="multilevel"/>
    <w:tmpl w:val="1A70BADC"/>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46" w15:restartNumberingAfterBreak="0">
    <w:nsid w:val="6CB07452"/>
    <w:multiLevelType w:val="multilevel"/>
    <w:tmpl w:val="98EC1C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70D44B5C"/>
    <w:multiLevelType w:val="hybridMultilevel"/>
    <w:tmpl w:val="D6865E8E"/>
    <w:lvl w:ilvl="0" w:tplc="D0445F84">
      <w:numFmt w:val="bullet"/>
      <w:lvlText w:val="•"/>
      <w:lvlJc w:val="left"/>
      <w:pPr>
        <w:ind w:left="1080" w:hanging="72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15:restartNumberingAfterBreak="0">
    <w:nsid w:val="7413409A"/>
    <w:multiLevelType w:val="multilevel"/>
    <w:tmpl w:val="1FB0E6B0"/>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49" w15:restartNumberingAfterBreak="0">
    <w:nsid w:val="75731662"/>
    <w:multiLevelType w:val="multilevel"/>
    <w:tmpl w:val="A15272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776F1C4A"/>
    <w:multiLevelType w:val="hybridMultilevel"/>
    <w:tmpl w:val="D3F4E25E"/>
    <w:lvl w:ilvl="0" w:tplc="D0445F84">
      <w:numFmt w:val="bullet"/>
      <w:lvlText w:val="•"/>
      <w:lvlJc w:val="left"/>
      <w:pPr>
        <w:ind w:left="720" w:hanging="360"/>
      </w:pPr>
      <w:rPr>
        <w:rFonts w:ascii="Aptos" w:eastAsia="Aptos" w:hAnsi="Aptos" w:cs="Apto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1" w15:restartNumberingAfterBreak="0">
    <w:nsid w:val="77D157A6"/>
    <w:multiLevelType w:val="multilevel"/>
    <w:tmpl w:val="A6AA6CF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2" w15:restartNumberingAfterBreak="0">
    <w:nsid w:val="784013EE"/>
    <w:multiLevelType w:val="multilevel"/>
    <w:tmpl w:val="66EA7C9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3" w15:restartNumberingAfterBreak="0">
    <w:nsid w:val="7A0567E9"/>
    <w:multiLevelType w:val="multilevel"/>
    <w:tmpl w:val="41EA1F60"/>
    <w:lvl w:ilvl="0">
      <w:start w:val="1"/>
      <w:numFmt w:val="upperLetter"/>
      <w:lvlText w:val="%1."/>
      <w:lvlJc w:val="left"/>
      <w:pPr>
        <w:ind w:left="720" w:hanging="360"/>
      </w:pPr>
    </w:lvl>
    <w:lvl w:ilvl="1">
      <w:numFmt w:val="bullet"/>
      <w:lvlText w:val="•"/>
      <w:lvlJc w:val="left"/>
      <w:pPr>
        <w:ind w:left="1800" w:hanging="720"/>
      </w:pPr>
      <w:rPr>
        <w:rFonts w:ascii="Aptos" w:eastAsia="Aptos" w:hAnsi="Aptos" w:cs="Apto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82139976">
    <w:abstractNumId w:val="51"/>
  </w:num>
  <w:num w:numId="2" w16cid:durableId="1408452362">
    <w:abstractNumId w:val="17"/>
  </w:num>
  <w:num w:numId="3" w16cid:durableId="1091052511">
    <w:abstractNumId w:val="46"/>
  </w:num>
  <w:num w:numId="4" w16cid:durableId="1027677248">
    <w:abstractNumId w:val="31"/>
  </w:num>
  <w:num w:numId="5" w16cid:durableId="615058836">
    <w:abstractNumId w:val="40"/>
  </w:num>
  <w:num w:numId="6" w16cid:durableId="705523964">
    <w:abstractNumId w:val="53"/>
  </w:num>
  <w:num w:numId="7" w16cid:durableId="519856169">
    <w:abstractNumId w:val="6"/>
  </w:num>
  <w:num w:numId="8" w16cid:durableId="891579671">
    <w:abstractNumId w:val="22"/>
  </w:num>
  <w:num w:numId="9" w16cid:durableId="101920595">
    <w:abstractNumId w:val="33"/>
  </w:num>
  <w:num w:numId="10" w16cid:durableId="1005860076">
    <w:abstractNumId w:val="49"/>
  </w:num>
  <w:num w:numId="11" w16cid:durableId="1726025075">
    <w:abstractNumId w:val="2"/>
  </w:num>
  <w:num w:numId="12" w16cid:durableId="1735002582">
    <w:abstractNumId w:val="26"/>
  </w:num>
  <w:num w:numId="13" w16cid:durableId="881213296">
    <w:abstractNumId w:val="42"/>
  </w:num>
  <w:num w:numId="14" w16cid:durableId="700865933">
    <w:abstractNumId w:val="45"/>
  </w:num>
  <w:num w:numId="15" w16cid:durableId="1692955027">
    <w:abstractNumId w:val="32"/>
  </w:num>
  <w:num w:numId="16" w16cid:durableId="1454863686">
    <w:abstractNumId w:val="12"/>
  </w:num>
  <w:num w:numId="17" w16cid:durableId="562377150">
    <w:abstractNumId w:val="39"/>
  </w:num>
  <w:num w:numId="18" w16cid:durableId="1701861359">
    <w:abstractNumId w:val="37"/>
  </w:num>
  <w:num w:numId="19" w16cid:durableId="1789396712">
    <w:abstractNumId w:val="3"/>
  </w:num>
  <w:num w:numId="20" w16cid:durableId="836923490">
    <w:abstractNumId w:val="4"/>
  </w:num>
  <w:num w:numId="21" w16cid:durableId="2087334749">
    <w:abstractNumId w:val="11"/>
  </w:num>
  <w:num w:numId="22" w16cid:durableId="1978563387">
    <w:abstractNumId w:val="19"/>
  </w:num>
  <w:num w:numId="23" w16cid:durableId="302779147">
    <w:abstractNumId w:val="25"/>
  </w:num>
  <w:num w:numId="24" w16cid:durableId="1854953371">
    <w:abstractNumId w:val="9"/>
  </w:num>
  <w:num w:numId="25" w16cid:durableId="1234583747">
    <w:abstractNumId w:val="52"/>
  </w:num>
  <w:num w:numId="26" w16cid:durableId="675350389">
    <w:abstractNumId w:val="16"/>
  </w:num>
  <w:num w:numId="27" w16cid:durableId="808010268">
    <w:abstractNumId w:val="24"/>
  </w:num>
  <w:num w:numId="28" w16cid:durableId="137961136">
    <w:abstractNumId w:val="36"/>
  </w:num>
  <w:num w:numId="29" w16cid:durableId="504789440">
    <w:abstractNumId w:val="38"/>
  </w:num>
  <w:num w:numId="30" w16cid:durableId="481428691">
    <w:abstractNumId w:val="20"/>
  </w:num>
  <w:num w:numId="31" w16cid:durableId="2055884315">
    <w:abstractNumId w:val="48"/>
  </w:num>
  <w:num w:numId="32" w16cid:durableId="1211040209">
    <w:abstractNumId w:val="29"/>
  </w:num>
  <w:num w:numId="33" w16cid:durableId="1558321681">
    <w:abstractNumId w:val="21"/>
  </w:num>
  <w:num w:numId="34" w16cid:durableId="1084692887">
    <w:abstractNumId w:val="5"/>
  </w:num>
  <w:num w:numId="35" w16cid:durableId="172040925">
    <w:abstractNumId w:val="23"/>
  </w:num>
  <w:num w:numId="36" w16cid:durableId="1352147595">
    <w:abstractNumId w:val="28"/>
  </w:num>
  <w:num w:numId="37" w16cid:durableId="20472265">
    <w:abstractNumId w:val="34"/>
  </w:num>
  <w:num w:numId="38" w16cid:durableId="1103651672">
    <w:abstractNumId w:val="8"/>
  </w:num>
  <w:num w:numId="39" w16cid:durableId="406345229">
    <w:abstractNumId w:val="27"/>
  </w:num>
  <w:num w:numId="40" w16cid:durableId="2058695444">
    <w:abstractNumId w:val="10"/>
  </w:num>
  <w:num w:numId="41" w16cid:durableId="524712059">
    <w:abstractNumId w:val="43"/>
  </w:num>
  <w:num w:numId="42" w16cid:durableId="531068405">
    <w:abstractNumId w:val="18"/>
  </w:num>
  <w:num w:numId="43" w16cid:durableId="255097197">
    <w:abstractNumId w:val="47"/>
  </w:num>
  <w:num w:numId="44" w16cid:durableId="921378908">
    <w:abstractNumId w:val="13"/>
  </w:num>
  <w:num w:numId="45" w16cid:durableId="812871750">
    <w:abstractNumId w:val="44"/>
  </w:num>
  <w:num w:numId="46" w16cid:durableId="1372732576">
    <w:abstractNumId w:val="1"/>
  </w:num>
  <w:num w:numId="47" w16cid:durableId="746726301">
    <w:abstractNumId w:val="15"/>
  </w:num>
  <w:num w:numId="48" w16cid:durableId="1966304334">
    <w:abstractNumId w:val="14"/>
  </w:num>
  <w:num w:numId="49" w16cid:durableId="1788818748">
    <w:abstractNumId w:val="41"/>
  </w:num>
  <w:num w:numId="50" w16cid:durableId="2095660203">
    <w:abstractNumId w:val="0"/>
  </w:num>
  <w:num w:numId="51" w16cid:durableId="1763142092">
    <w:abstractNumId w:val="30"/>
  </w:num>
  <w:num w:numId="52" w16cid:durableId="366686868">
    <w:abstractNumId w:val="50"/>
  </w:num>
  <w:num w:numId="53" w16cid:durableId="1506632599">
    <w:abstractNumId w:val="7"/>
  </w:num>
  <w:num w:numId="54" w16cid:durableId="235631780">
    <w:abstractNumId w:val="3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CA8"/>
    <w:rsid w:val="000155BF"/>
    <w:rsid w:val="000269CB"/>
    <w:rsid w:val="000511E6"/>
    <w:rsid w:val="00053617"/>
    <w:rsid w:val="00057810"/>
    <w:rsid w:val="00091099"/>
    <w:rsid w:val="0009306E"/>
    <w:rsid w:val="00093910"/>
    <w:rsid w:val="00094A11"/>
    <w:rsid w:val="00094B0E"/>
    <w:rsid w:val="00096AFD"/>
    <w:rsid w:val="000A4DCB"/>
    <w:rsid w:val="000B3F56"/>
    <w:rsid w:val="000C2616"/>
    <w:rsid w:val="000C3DDB"/>
    <w:rsid w:val="000D0DC0"/>
    <w:rsid w:val="000D14DE"/>
    <w:rsid w:val="000F5021"/>
    <w:rsid w:val="00100B6D"/>
    <w:rsid w:val="00121FD3"/>
    <w:rsid w:val="001263DB"/>
    <w:rsid w:val="00126E75"/>
    <w:rsid w:val="00133AE2"/>
    <w:rsid w:val="001472FB"/>
    <w:rsid w:val="00150026"/>
    <w:rsid w:val="00185ED6"/>
    <w:rsid w:val="001A67E4"/>
    <w:rsid w:val="001C219A"/>
    <w:rsid w:val="001D4BD8"/>
    <w:rsid w:val="001D7873"/>
    <w:rsid w:val="001E1E9A"/>
    <w:rsid w:val="001E23FC"/>
    <w:rsid w:val="001E4A49"/>
    <w:rsid w:val="001E5E5D"/>
    <w:rsid w:val="001F080A"/>
    <w:rsid w:val="00200512"/>
    <w:rsid w:val="002039D0"/>
    <w:rsid w:val="002073A7"/>
    <w:rsid w:val="002208B7"/>
    <w:rsid w:val="00223E98"/>
    <w:rsid w:val="00233285"/>
    <w:rsid w:val="002370EF"/>
    <w:rsid w:val="00241C23"/>
    <w:rsid w:val="00245A22"/>
    <w:rsid w:val="00251BC2"/>
    <w:rsid w:val="00253752"/>
    <w:rsid w:val="0025795B"/>
    <w:rsid w:val="00257DA8"/>
    <w:rsid w:val="00263E59"/>
    <w:rsid w:val="002660EC"/>
    <w:rsid w:val="00271939"/>
    <w:rsid w:val="002B21B8"/>
    <w:rsid w:val="002B2BDD"/>
    <w:rsid w:val="002C29CF"/>
    <w:rsid w:val="002D66B9"/>
    <w:rsid w:val="002E490F"/>
    <w:rsid w:val="002E6F6C"/>
    <w:rsid w:val="002E75F9"/>
    <w:rsid w:val="003020FF"/>
    <w:rsid w:val="00316A33"/>
    <w:rsid w:val="0032275D"/>
    <w:rsid w:val="0033541E"/>
    <w:rsid w:val="00350551"/>
    <w:rsid w:val="00351047"/>
    <w:rsid w:val="00354D76"/>
    <w:rsid w:val="003564EB"/>
    <w:rsid w:val="00362528"/>
    <w:rsid w:val="00390BDD"/>
    <w:rsid w:val="003C06BC"/>
    <w:rsid w:val="003C16BB"/>
    <w:rsid w:val="003E3507"/>
    <w:rsid w:val="003E3DD3"/>
    <w:rsid w:val="003E6566"/>
    <w:rsid w:val="00404839"/>
    <w:rsid w:val="00406415"/>
    <w:rsid w:val="00414A35"/>
    <w:rsid w:val="00420EE9"/>
    <w:rsid w:val="00441A66"/>
    <w:rsid w:val="00447D07"/>
    <w:rsid w:val="0046067C"/>
    <w:rsid w:val="00472113"/>
    <w:rsid w:val="00484401"/>
    <w:rsid w:val="00487EDE"/>
    <w:rsid w:val="004A1417"/>
    <w:rsid w:val="004B3FF4"/>
    <w:rsid w:val="004B5C50"/>
    <w:rsid w:val="004B5EF6"/>
    <w:rsid w:val="004D638F"/>
    <w:rsid w:val="004D6509"/>
    <w:rsid w:val="004E30E2"/>
    <w:rsid w:val="004E3EB4"/>
    <w:rsid w:val="004F3E2B"/>
    <w:rsid w:val="004F688E"/>
    <w:rsid w:val="004F7917"/>
    <w:rsid w:val="00505E02"/>
    <w:rsid w:val="005144AF"/>
    <w:rsid w:val="0051469C"/>
    <w:rsid w:val="0052140A"/>
    <w:rsid w:val="00525F88"/>
    <w:rsid w:val="00543E8E"/>
    <w:rsid w:val="00546F47"/>
    <w:rsid w:val="0056058F"/>
    <w:rsid w:val="00571345"/>
    <w:rsid w:val="005845E0"/>
    <w:rsid w:val="005847C3"/>
    <w:rsid w:val="005850E0"/>
    <w:rsid w:val="00597A38"/>
    <w:rsid w:val="005A031A"/>
    <w:rsid w:val="005A213A"/>
    <w:rsid w:val="005A3AD0"/>
    <w:rsid w:val="005A4BDC"/>
    <w:rsid w:val="005D1876"/>
    <w:rsid w:val="005F3D85"/>
    <w:rsid w:val="00612EBE"/>
    <w:rsid w:val="00631767"/>
    <w:rsid w:val="00631E09"/>
    <w:rsid w:val="006327B1"/>
    <w:rsid w:val="00637B20"/>
    <w:rsid w:val="00643EC7"/>
    <w:rsid w:val="0065308D"/>
    <w:rsid w:val="006546C0"/>
    <w:rsid w:val="0066480D"/>
    <w:rsid w:val="0066636B"/>
    <w:rsid w:val="00670E41"/>
    <w:rsid w:val="00697F78"/>
    <w:rsid w:val="006B2528"/>
    <w:rsid w:val="006B4353"/>
    <w:rsid w:val="006D5006"/>
    <w:rsid w:val="006F3902"/>
    <w:rsid w:val="007065E9"/>
    <w:rsid w:val="00714A0D"/>
    <w:rsid w:val="0072447D"/>
    <w:rsid w:val="00730C60"/>
    <w:rsid w:val="00732160"/>
    <w:rsid w:val="00733376"/>
    <w:rsid w:val="00735FFF"/>
    <w:rsid w:val="00742006"/>
    <w:rsid w:val="007507DF"/>
    <w:rsid w:val="007769A2"/>
    <w:rsid w:val="0077716E"/>
    <w:rsid w:val="007861E7"/>
    <w:rsid w:val="00790694"/>
    <w:rsid w:val="007B0405"/>
    <w:rsid w:val="007B24D1"/>
    <w:rsid w:val="007B58F0"/>
    <w:rsid w:val="007D1DD2"/>
    <w:rsid w:val="007E0A3B"/>
    <w:rsid w:val="007F0CA8"/>
    <w:rsid w:val="007F113A"/>
    <w:rsid w:val="007F7C4F"/>
    <w:rsid w:val="0080005C"/>
    <w:rsid w:val="00801C8E"/>
    <w:rsid w:val="0081500B"/>
    <w:rsid w:val="0081600E"/>
    <w:rsid w:val="008363CC"/>
    <w:rsid w:val="00873232"/>
    <w:rsid w:val="0089082E"/>
    <w:rsid w:val="00897F2A"/>
    <w:rsid w:val="008B2D70"/>
    <w:rsid w:val="008C3DD3"/>
    <w:rsid w:val="008C5267"/>
    <w:rsid w:val="008F49FF"/>
    <w:rsid w:val="008F4F6A"/>
    <w:rsid w:val="0090692D"/>
    <w:rsid w:val="0091124B"/>
    <w:rsid w:val="00953676"/>
    <w:rsid w:val="00955F59"/>
    <w:rsid w:val="009625A7"/>
    <w:rsid w:val="00962DF0"/>
    <w:rsid w:val="0096377F"/>
    <w:rsid w:val="00963826"/>
    <w:rsid w:val="00964013"/>
    <w:rsid w:val="009658DB"/>
    <w:rsid w:val="00967D31"/>
    <w:rsid w:val="00984CA5"/>
    <w:rsid w:val="00993BBA"/>
    <w:rsid w:val="00995898"/>
    <w:rsid w:val="009A49D7"/>
    <w:rsid w:val="009E4236"/>
    <w:rsid w:val="009F0696"/>
    <w:rsid w:val="009F1D76"/>
    <w:rsid w:val="009F5A59"/>
    <w:rsid w:val="00A01AB0"/>
    <w:rsid w:val="00A04F59"/>
    <w:rsid w:val="00A10B7C"/>
    <w:rsid w:val="00A117BF"/>
    <w:rsid w:val="00A2263F"/>
    <w:rsid w:val="00A278A8"/>
    <w:rsid w:val="00A42F4D"/>
    <w:rsid w:val="00A45B70"/>
    <w:rsid w:val="00A65B0F"/>
    <w:rsid w:val="00A956FF"/>
    <w:rsid w:val="00AA7458"/>
    <w:rsid w:val="00AB3C84"/>
    <w:rsid w:val="00AB5CAB"/>
    <w:rsid w:val="00AB653D"/>
    <w:rsid w:val="00AC0318"/>
    <w:rsid w:val="00AE5F09"/>
    <w:rsid w:val="00AF0899"/>
    <w:rsid w:val="00B01A78"/>
    <w:rsid w:val="00B03D8E"/>
    <w:rsid w:val="00B169F9"/>
    <w:rsid w:val="00B16EF3"/>
    <w:rsid w:val="00B233AA"/>
    <w:rsid w:val="00B32125"/>
    <w:rsid w:val="00B569A8"/>
    <w:rsid w:val="00B634E2"/>
    <w:rsid w:val="00B6424A"/>
    <w:rsid w:val="00B66B91"/>
    <w:rsid w:val="00B74189"/>
    <w:rsid w:val="00B8225F"/>
    <w:rsid w:val="00B909CB"/>
    <w:rsid w:val="00BA116B"/>
    <w:rsid w:val="00BA4930"/>
    <w:rsid w:val="00BB0BDA"/>
    <w:rsid w:val="00BB7A2D"/>
    <w:rsid w:val="00BD1587"/>
    <w:rsid w:val="00BD6863"/>
    <w:rsid w:val="00BE7858"/>
    <w:rsid w:val="00BE7EAB"/>
    <w:rsid w:val="00C12A65"/>
    <w:rsid w:val="00C132E0"/>
    <w:rsid w:val="00C1351E"/>
    <w:rsid w:val="00C3256F"/>
    <w:rsid w:val="00C42124"/>
    <w:rsid w:val="00C47D00"/>
    <w:rsid w:val="00C6632E"/>
    <w:rsid w:val="00C70A8E"/>
    <w:rsid w:val="00C761E5"/>
    <w:rsid w:val="00C8286A"/>
    <w:rsid w:val="00C83F38"/>
    <w:rsid w:val="00C84C55"/>
    <w:rsid w:val="00C874B9"/>
    <w:rsid w:val="00C91C62"/>
    <w:rsid w:val="00CA37F3"/>
    <w:rsid w:val="00CB110F"/>
    <w:rsid w:val="00CB1CFB"/>
    <w:rsid w:val="00CC73AF"/>
    <w:rsid w:val="00CD115B"/>
    <w:rsid w:val="00CE40A1"/>
    <w:rsid w:val="00D02CBE"/>
    <w:rsid w:val="00D03B72"/>
    <w:rsid w:val="00D14591"/>
    <w:rsid w:val="00D21262"/>
    <w:rsid w:val="00D227D9"/>
    <w:rsid w:val="00D24447"/>
    <w:rsid w:val="00D31298"/>
    <w:rsid w:val="00D5211A"/>
    <w:rsid w:val="00D604D3"/>
    <w:rsid w:val="00D62D41"/>
    <w:rsid w:val="00D65C5D"/>
    <w:rsid w:val="00D82851"/>
    <w:rsid w:val="00D8294A"/>
    <w:rsid w:val="00DC295D"/>
    <w:rsid w:val="00DD4BBE"/>
    <w:rsid w:val="00DD5572"/>
    <w:rsid w:val="00DE6166"/>
    <w:rsid w:val="00DE793D"/>
    <w:rsid w:val="00DF4021"/>
    <w:rsid w:val="00E06A48"/>
    <w:rsid w:val="00E246C0"/>
    <w:rsid w:val="00E37054"/>
    <w:rsid w:val="00E37F73"/>
    <w:rsid w:val="00E44495"/>
    <w:rsid w:val="00E450D8"/>
    <w:rsid w:val="00E5370D"/>
    <w:rsid w:val="00E549F9"/>
    <w:rsid w:val="00E84282"/>
    <w:rsid w:val="00E86741"/>
    <w:rsid w:val="00EB0AD4"/>
    <w:rsid w:val="00EC0BF3"/>
    <w:rsid w:val="00EC2EF8"/>
    <w:rsid w:val="00ED02EF"/>
    <w:rsid w:val="00ED2C53"/>
    <w:rsid w:val="00ED66F9"/>
    <w:rsid w:val="00EE75E4"/>
    <w:rsid w:val="00EF2F5C"/>
    <w:rsid w:val="00EF51A4"/>
    <w:rsid w:val="00F011B7"/>
    <w:rsid w:val="00F171A7"/>
    <w:rsid w:val="00F25CF4"/>
    <w:rsid w:val="00F365B4"/>
    <w:rsid w:val="00F467C0"/>
    <w:rsid w:val="00F51125"/>
    <w:rsid w:val="00F5738F"/>
    <w:rsid w:val="00F72690"/>
    <w:rsid w:val="00F764EB"/>
    <w:rsid w:val="00F930D9"/>
    <w:rsid w:val="00F97583"/>
    <w:rsid w:val="00F97C76"/>
    <w:rsid w:val="00FA1E39"/>
    <w:rsid w:val="00FB3E8A"/>
    <w:rsid w:val="00FB4D52"/>
    <w:rsid w:val="00FC2D3B"/>
    <w:rsid w:val="00FE16A5"/>
    <w:rsid w:val="00FE731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CA33EB"/>
  <w15:docId w15:val="{27DA2963-24D3-44F0-A827-1B7BA351B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s-CO" w:eastAsia="es-CO" w:bidi="ar-SA"/>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51B"/>
    <w:rPr>
      <w:lang w:val="en-US"/>
    </w:rPr>
  </w:style>
  <w:style w:type="paragraph" w:styleId="Heading1">
    <w:name w:val="heading 1"/>
    <w:basedOn w:val="Normal"/>
    <w:next w:val="Normal"/>
    <w:link w:val="Heading1Char"/>
    <w:uiPriority w:val="9"/>
    <w:qFormat/>
    <w:rsid w:val="00A745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745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A745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A745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A745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45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45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45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45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A745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A745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A745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A745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A745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A745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4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4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4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451B"/>
    <w:rPr>
      <w:rFonts w:eastAsiaTheme="majorEastAsia" w:cstheme="majorBidi"/>
      <w:color w:val="272727" w:themeColor="text1" w:themeTint="D8"/>
    </w:rPr>
  </w:style>
  <w:style w:type="character" w:customStyle="1" w:styleId="TitleChar">
    <w:name w:val="Title Char"/>
    <w:basedOn w:val="DefaultParagraphFont"/>
    <w:link w:val="Title"/>
    <w:uiPriority w:val="10"/>
    <w:rsid w:val="00A74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A74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451B"/>
    <w:pPr>
      <w:spacing w:before="160"/>
      <w:jc w:val="center"/>
    </w:pPr>
    <w:rPr>
      <w:i/>
      <w:iCs/>
      <w:color w:val="404040" w:themeColor="text1" w:themeTint="BF"/>
    </w:rPr>
  </w:style>
  <w:style w:type="character" w:customStyle="1" w:styleId="QuoteChar">
    <w:name w:val="Quote Char"/>
    <w:basedOn w:val="DefaultParagraphFont"/>
    <w:link w:val="Quote"/>
    <w:uiPriority w:val="29"/>
    <w:rsid w:val="00A7451B"/>
    <w:rPr>
      <w:i/>
      <w:iCs/>
      <w:color w:val="404040" w:themeColor="text1" w:themeTint="BF"/>
    </w:rPr>
  </w:style>
  <w:style w:type="paragraph" w:styleId="ListParagraph">
    <w:name w:val="List Paragraph"/>
    <w:basedOn w:val="Normal"/>
    <w:uiPriority w:val="34"/>
    <w:qFormat/>
    <w:rsid w:val="00A7451B"/>
    <w:pPr>
      <w:ind w:left="720"/>
      <w:contextualSpacing/>
    </w:pPr>
  </w:style>
  <w:style w:type="character" w:styleId="IntenseEmphasis">
    <w:name w:val="Intense Emphasis"/>
    <w:basedOn w:val="DefaultParagraphFont"/>
    <w:uiPriority w:val="21"/>
    <w:qFormat/>
    <w:rsid w:val="00A7451B"/>
    <w:rPr>
      <w:i/>
      <w:iCs/>
      <w:color w:val="2F5496" w:themeColor="accent1" w:themeShade="BF"/>
    </w:rPr>
  </w:style>
  <w:style w:type="paragraph" w:styleId="IntenseQuote">
    <w:name w:val="Intense Quote"/>
    <w:basedOn w:val="Normal"/>
    <w:next w:val="Normal"/>
    <w:link w:val="IntenseQuoteChar"/>
    <w:uiPriority w:val="30"/>
    <w:qFormat/>
    <w:rsid w:val="00A745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451B"/>
    <w:rPr>
      <w:i/>
      <w:iCs/>
      <w:color w:val="2F5496" w:themeColor="accent1" w:themeShade="BF"/>
    </w:rPr>
  </w:style>
  <w:style w:type="character" w:styleId="IntenseReference">
    <w:name w:val="Intense Reference"/>
    <w:basedOn w:val="DefaultParagraphFont"/>
    <w:uiPriority w:val="32"/>
    <w:qFormat/>
    <w:rsid w:val="00A7451B"/>
    <w:rPr>
      <w:b/>
      <w:bCs/>
      <w:smallCaps/>
      <w:color w:val="2F5496" w:themeColor="accent1" w:themeShade="BF"/>
      <w:spacing w:val="5"/>
    </w:rPr>
  </w:style>
  <w:style w:type="paragraph" w:styleId="Footer">
    <w:name w:val="footer"/>
    <w:basedOn w:val="Normal"/>
    <w:link w:val="FooterChar"/>
    <w:uiPriority w:val="99"/>
    <w:unhideWhenUsed/>
    <w:rsid w:val="00FE2C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2C08"/>
    <w:rPr>
      <w:sz w:val="22"/>
      <w:szCs w:val="22"/>
    </w:rPr>
  </w:style>
  <w:style w:type="character" w:styleId="PageNumber">
    <w:name w:val="page number"/>
    <w:basedOn w:val="DefaultParagraphFont"/>
    <w:uiPriority w:val="99"/>
    <w:semiHidden/>
    <w:unhideWhenUsed/>
    <w:rsid w:val="00FE2C08"/>
  </w:style>
  <w:style w:type="paragraph" w:styleId="Caption">
    <w:name w:val="caption"/>
    <w:basedOn w:val="Normal"/>
    <w:next w:val="Normal"/>
    <w:uiPriority w:val="35"/>
    <w:unhideWhenUsed/>
    <w:qFormat/>
    <w:rsid w:val="005A6E89"/>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9D71A2"/>
    <w:rPr>
      <w:color w:val="666666"/>
    </w:rPr>
  </w:style>
  <w:style w:type="table" w:customStyle="1" w:styleId="a">
    <w:basedOn w:val="TableNormal1"/>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9F1D76"/>
    <w:pPr>
      <w:spacing w:after="0" w:line="240" w:lineRule="auto"/>
      <w:jc w:val="left"/>
    </w:pPr>
  </w:style>
  <w:style w:type="paragraph" w:styleId="CommentSubject">
    <w:name w:val="annotation subject"/>
    <w:basedOn w:val="CommentText"/>
    <w:next w:val="CommentText"/>
    <w:link w:val="CommentSubjectChar"/>
    <w:uiPriority w:val="99"/>
    <w:semiHidden/>
    <w:unhideWhenUsed/>
    <w:rsid w:val="009F1D76"/>
    <w:rPr>
      <w:b/>
      <w:bCs/>
    </w:rPr>
  </w:style>
  <w:style w:type="character" w:customStyle="1" w:styleId="CommentSubjectChar">
    <w:name w:val="Comment Subject Char"/>
    <w:basedOn w:val="CommentTextChar"/>
    <w:link w:val="CommentSubject"/>
    <w:uiPriority w:val="99"/>
    <w:semiHidden/>
    <w:rsid w:val="009F1D76"/>
    <w:rPr>
      <w:b/>
      <w:bCs/>
      <w:sz w:val="20"/>
      <w:szCs w:val="20"/>
      <w:lang w:val="es-CO"/>
    </w:rPr>
  </w:style>
  <w:style w:type="paragraph" w:styleId="Header">
    <w:name w:val="header"/>
    <w:basedOn w:val="Normal"/>
    <w:link w:val="HeaderChar"/>
    <w:uiPriority w:val="99"/>
    <w:unhideWhenUsed/>
    <w:rsid w:val="009F1D76"/>
    <w:pPr>
      <w:tabs>
        <w:tab w:val="center" w:pos="4419"/>
        <w:tab w:val="right" w:pos="8838"/>
      </w:tabs>
      <w:spacing w:after="0" w:line="240" w:lineRule="auto"/>
    </w:pPr>
  </w:style>
  <w:style w:type="character" w:customStyle="1" w:styleId="HeaderChar">
    <w:name w:val="Header Char"/>
    <w:basedOn w:val="DefaultParagraphFont"/>
    <w:link w:val="Header"/>
    <w:uiPriority w:val="99"/>
    <w:rsid w:val="009F1D76"/>
  </w:style>
  <w:style w:type="paragraph" w:styleId="NormalWeb">
    <w:name w:val="Normal (Web)"/>
    <w:basedOn w:val="Normal"/>
    <w:uiPriority w:val="99"/>
    <w:unhideWhenUsed/>
    <w:rsid w:val="00441A66"/>
    <w:pPr>
      <w:spacing w:before="100" w:beforeAutospacing="1" w:after="100" w:afterAutospacing="1" w:line="240" w:lineRule="auto"/>
      <w:jc w:val="left"/>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A3AD0"/>
    <w:rPr>
      <w:color w:val="0563C1" w:themeColor="hyperlink"/>
      <w:u w:val="single"/>
    </w:rPr>
  </w:style>
  <w:style w:type="character" w:styleId="UnresolvedMention">
    <w:name w:val="Unresolved Mention"/>
    <w:basedOn w:val="DefaultParagraphFont"/>
    <w:uiPriority w:val="99"/>
    <w:semiHidden/>
    <w:unhideWhenUsed/>
    <w:rsid w:val="005A3AD0"/>
    <w:rPr>
      <w:color w:val="605E5C"/>
      <w:shd w:val="clear" w:color="auto" w:fill="E1DFDD"/>
    </w:rPr>
  </w:style>
  <w:style w:type="character" w:styleId="FollowedHyperlink">
    <w:name w:val="FollowedHyperlink"/>
    <w:basedOn w:val="DefaultParagraphFont"/>
    <w:uiPriority w:val="99"/>
    <w:semiHidden/>
    <w:unhideWhenUsed/>
    <w:rsid w:val="00A278A8"/>
    <w:rPr>
      <w:color w:val="954F72" w:themeColor="followedHyperlink"/>
      <w:u w:val="single"/>
    </w:rPr>
  </w:style>
  <w:style w:type="table" w:styleId="TableGrid">
    <w:name w:val="Table Grid"/>
    <w:basedOn w:val="TableNormal"/>
    <w:uiPriority w:val="39"/>
    <w:rsid w:val="003564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D62D4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6231">
      <w:bodyDiv w:val="1"/>
      <w:marLeft w:val="0"/>
      <w:marRight w:val="0"/>
      <w:marTop w:val="0"/>
      <w:marBottom w:val="0"/>
      <w:divBdr>
        <w:top w:val="none" w:sz="0" w:space="0" w:color="auto"/>
        <w:left w:val="none" w:sz="0" w:space="0" w:color="auto"/>
        <w:bottom w:val="none" w:sz="0" w:space="0" w:color="auto"/>
        <w:right w:val="none" w:sz="0" w:space="0" w:color="auto"/>
      </w:divBdr>
    </w:div>
    <w:div w:id="41908426">
      <w:bodyDiv w:val="1"/>
      <w:marLeft w:val="0"/>
      <w:marRight w:val="0"/>
      <w:marTop w:val="0"/>
      <w:marBottom w:val="0"/>
      <w:divBdr>
        <w:top w:val="none" w:sz="0" w:space="0" w:color="auto"/>
        <w:left w:val="none" w:sz="0" w:space="0" w:color="auto"/>
        <w:bottom w:val="none" w:sz="0" w:space="0" w:color="auto"/>
        <w:right w:val="none" w:sz="0" w:space="0" w:color="auto"/>
      </w:divBdr>
    </w:div>
    <w:div w:id="44566238">
      <w:bodyDiv w:val="1"/>
      <w:marLeft w:val="0"/>
      <w:marRight w:val="0"/>
      <w:marTop w:val="0"/>
      <w:marBottom w:val="0"/>
      <w:divBdr>
        <w:top w:val="none" w:sz="0" w:space="0" w:color="auto"/>
        <w:left w:val="none" w:sz="0" w:space="0" w:color="auto"/>
        <w:bottom w:val="none" w:sz="0" w:space="0" w:color="auto"/>
        <w:right w:val="none" w:sz="0" w:space="0" w:color="auto"/>
      </w:divBdr>
    </w:div>
    <w:div w:id="145244691">
      <w:bodyDiv w:val="1"/>
      <w:marLeft w:val="0"/>
      <w:marRight w:val="0"/>
      <w:marTop w:val="0"/>
      <w:marBottom w:val="0"/>
      <w:divBdr>
        <w:top w:val="none" w:sz="0" w:space="0" w:color="auto"/>
        <w:left w:val="none" w:sz="0" w:space="0" w:color="auto"/>
        <w:bottom w:val="none" w:sz="0" w:space="0" w:color="auto"/>
        <w:right w:val="none" w:sz="0" w:space="0" w:color="auto"/>
      </w:divBdr>
    </w:div>
    <w:div w:id="165098822">
      <w:bodyDiv w:val="1"/>
      <w:marLeft w:val="0"/>
      <w:marRight w:val="0"/>
      <w:marTop w:val="0"/>
      <w:marBottom w:val="0"/>
      <w:divBdr>
        <w:top w:val="none" w:sz="0" w:space="0" w:color="auto"/>
        <w:left w:val="none" w:sz="0" w:space="0" w:color="auto"/>
        <w:bottom w:val="none" w:sz="0" w:space="0" w:color="auto"/>
        <w:right w:val="none" w:sz="0" w:space="0" w:color="auto"/>
      </w:divBdr>
    </w:div>
    <w:div w:id="184709797">
      <w:bodyDiv w:val="1"/>
      <w:marLeft w:val="0"/>
      <w:marRight w:val="0"/>
      <w:marTop w:val="0"/>
      <w:marBottom w:val="0"/>
      <w:divBdr>
        <w:top w:val="none" w:sz="0" w:space="0" w:color="auto"/>
        <w:left w:val="none" w:sz="0" w:space="0" w:color="auto"/>
        <w:bottom w:val="none" w:sz="0" w:space="0" w:color="auto"/>
        <w:right w:val="none" w:sz="0" w:space="0" w:color="auto"/>
      </w:divBdr>
    </w:div>
    <w:div w:id="185825532">
      <w:bodyDiv w:val="1"/>
      <w:marLeft w:val="0"/>
      <w:marRight w:val="0"/>
      <w:marTop w:val="0"/>
      <w:marBottom w:val="0"/>
      <w:divBdr>
        <w:top w:val="none" w:sz="0" w:space="0" w:color="auto"/>
        <w:left w:val="none" w:sz="0" w:space="0" w:color="auto"/>
        <w:bottom w:val="none" w:sz="0" w:space="0" w:color="auto"/>
        <w:right w:val="none" w:sz="0" w:space="0" w:color="auto"/>
      </w:divBdr>
    </w:div>
    <w:div w:id="306201496">
      <w:bodyDiv w:val="1"/>
      <w:marLeft w:val="0"/>
      <w:marRight w:val="0"/>
      <w:marTop w:val="0"/>
      <w:marBottom w:val="0"/>
      <w:divBdr>
        <w:top w:val="none" w:sz="0" w:space="0" w:color="auto"/>
        <w:left w:val="none" w:sz="0" w:space="0" w:color="auto"/>
        <w:bottom w:val="none" w:sz="0" w:space="0" w:color="auto"/>
        <w:right w:val="none" w:sz="0" w:space="0" w:color="auto"/>
      </w:divBdr>
    </w:div>
    <w:div w:id="433552920">
      <w:bodyDiv w:val="1"/>
      <w:marLeft w:val="0"/>
      <w:marRight w:val="0"/>
      <w:marTop w:val="0"/>
      <w:marBottom w:val="0"/>
      <w:divBdr>
        <w:top w:val="none" w:sz="0" w:space="0" w:color="auto"/>
        <w:left w:val="none" w:sz="0" w:space="0" w:color="auto"/>
        <w:bottom w:val="none" w:sz="0" w:space="0" w:color="auto"/>
        <w:right w:val="none" w:sz="0" w:space="0" w:color="auto"/>
      </w:divBdr>
    </w:div>
    <w:div w:id="570432069">
      <w:bodyDiv w:val="1"/>
      <w:marLeft w:val="0"/>
      <w:marRight w:val="0"/>
      <w:marTop w:val="0"/>
      <w:marBottom w:val="0"/>
      <w:divBdr>
        <w:top w:val="none" w:sz="0" w:space="0" w:color="auto"/>
        <w:left w:val="none" w:sz="0" w:space="0" w:color="auto"/>
        <w:bottom w:val="none" w:sz="0" w:space="0" w:color="auto"/>
        <w:right w:val="none" w:sz="0" w:space="0" w:color="auto"/>
      </w:divBdr>
    </w:div>
    <w:div w:id="889658506">
      <w:bodyDiv w:val="1"/>
      <w:marLeft w:val="0"/>
      <w:marRight w:val="0"/>
      <w:marTop w:val="0"/>
      <w:marBottom w:val="0"/>
      <w:divBdr>
        <w:top w:val="none" w:sz="0" w:space="0" w:color="auto"/>
        <w:left w:val="none" w:sz="0" w:space="0" w:color="auto"/>
        <w:bottom w:val="none" w:sz="0" w:space="0" w:color="auto"/>
        <w:right w:val="none" w:sz="0" w:space="0" w:color="auto"/>
      </w:divBdr>
    </w:div>
    <w:div w:id="969750785">
      <w:bodyDiv w:val="1"/>
      <w:marLeft w:val="0"/>
      <w:marRight w:val="0"/>
      <w:marTop w:val="0"/>
      <w:marBottom w:val="0"/>
      <w:divBdr>
        <w:top w:val="none" w:sz="0" w:space="0" w:color="auto"/>
        <w:left w:val="none" w:sz="0" w:space="0" w:color="auto"/>
        <w:bottom w:val="none" w:sz="0" w:space="0" w:color="auto"/>
        <w:right w:val="none" w:sz="0" w:space="0" w:color="auto"/>
      </w:divBdr>
    </w:div>
    <w:div w:id="1001859521">
      <w:bodyDiv w:val="1"/>
      <w:marLeft w:val="0"/>
      <w:marRight w:val="0"/>
      <w:marTop w:val="0"/>
      <w:marBottom w:val="0"/>
      <w:divBdr>
        <w:top w:val="none" w:sz="0" w:space="0" w:color="auto"/>
        <w:left w:val="none" w:sz="0" w:space="0" w:color="auto"/>
        <w:bottom w:val="none" w:sz="0" w:space="0" w:color="auto"/>
        <w:right w:val="none" w:sz="0" w:space="0" w:color="auto"/>
      </w:divBdr>
    </w:div>
    <w:div w:id="1041512384">
      <w:bodyDiv w:val="1"/>
      <w:marLeft w:val="0"/>
      <w:marRight w:val="0"/>
      <w:marTop w:val="0"/>
      <w:marBottom w:val="0"/>
      <w:divBdr>
        <w:top w:val="none" w:sz="0" w:space="0" w:color="auto"/>
        <w:left w:val="none" w:sz="0" w:space="0" w:color="auto"/>
        <w:bottom w:val="none" w:sz="0" w:space="0" w:color="auto"/>
        <w:right w:val="none" w:sz="0" w:space="0" w:color="auto"/>
      </w:divBdr>
    </w:div>
    <w:div w:id="1586764974">
      <w:bodyDiv w:val="1"/>
      <w:marLeft w:val="0"/>
      <w:marRight w:val="0"/>
      <w:marTop w:val="0"/>
      <w:marBottom w:val="0"/>
      <w:divBdr>
        <w:top w:val="none" w:sz="0" w:space="0" w:color="auto"/>
        <w:left w:val="none" w:sz="0" w:space="0" w:color="auto"/>
        <w:bottom w:val="none" w:sz="0" w:space="0" w:color="auto"/>
        <w:right w:val="none" w:sz="0" w:space="0" w:color="auto"/>
      </w:divBdr>
    </w:div>
    <w:div w:id="1769230067">
      <w:bodyDiv w:val="1"/>
      <w:marLeft w:val="0"/>
      <w:marRight w:val="0"/>
      <w:marTop w:val="0"/>
      <w:marBottom w:val="0"/>
      <w:divBdr>
        <w:top w:val="none" w:sz="0" w:space="0" w:color="auto"/>
        <w:left w:val="none" w:sz="0" w:space="0" w:color="auto"/>
        <w:bottom w:val="none" w:sz="0" w:space="0" w:color="auto"/>
        <w:right w:val="none" w:sz="0" w:space="0" w:color="auto"/>
      </w:divBdr>
    </w:div>
    <w:div w:id="1769277473">
      <w:bodyDiv w:val="1"/>
      <w:marLeft w:val="0"/>
      <w:marRight w:val="0"/>
      <w:marTop w:val="0"/>
      <w:marBottom w:val="0"/>
      <w:divBdr>
        <w:top w:val="none" w:sz="0" w:space="0" w:color="auto"/>
        <w:left w:val="none" w:sz="0" w:space="0" w:color="auto"/>
        <w:bottom w:val="none" w:sz="0" w:space="0" w:color="auto"/>
        <w:right w:val="none" w:sz="0" w:space="0" w:color="auto"/>
      </w:divBdr>
    </w:div>
    <w:div w:id="1770999560">
      <w:bodyDiv w:val="1"/>
      <w:marLeft w:val="0"/>
      <w:marRight w:val="0"/>
      <w:marTop w:val="0"/>
      <w:marBottom w:val="0"/>
      <w:divBdr>
        <w:top w:val="none" w:sz="0" w:space="0" w:color="auto"/>
        <w:left w:val="none" w:sz="0" w:space="0" w:color="auto"/>
        <w:bottom w:val="none" w:sz="0" w:space="0" w:color="auto"/>
        <w:right w:val="none" w:sz="0" w:space="0" w:color="auto"/>
      </w:divBdr>
    </w:div>
    <w:div w:id="1786118924">
      <w:bodyDiv w:val="1"/>
      <w:marLeft w:val="0"/>
      <w:marRight w:val="0"/>
      <w:marTop w:val="0"/>
      <w:marBottom w:val="0"/>
      <w:divBdr>
        <w:top w:val="none" w:sz="0" w:space="0" w:color="auto"/>
        <w:left w:val="none" w:sz="0" w:space="0" w:color="auto"/>
        <w:bottom w:val="none" w:sz="0" w:space="0" w:color="auto"/>
        <w:right w:val="none" w:sz="0" w:space="0" w:color="auto"/>
      </w:divBdr>
    </w:div>
    <w:div w:id="1790276896">
      <w:bodyDiv w:val="1"/>
      <w:marLeft w:val="0"/>
      <w:marRight w:val="0"/>
      <w:marTop w:val="0"/>
      <w:marBottom w:val="0"/>
      <w:divBdr>
        <w:top w:val="none" w:sz="0" w:space="0" w:color="auto"/>
        <w:left w:val="none" w:sz="0" w:space="0" w:color="auto"/>
        <w:bottom w:val="none" w:sz="0" w:space="0" w:color="auto"/>
        <w:right w:val="none" w:sz="0" w:space="0" w:color="auto"/>
      </w:divBdr>
    </w:div>
    <w:div w:id="20041643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8g8SLc6ukBbleVPYzhZGp6TTbg==">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239E965-F32D-419F-ADE9-50EBC4B46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1562</Words>
  <Characters>8906</Characters>
  <Application>Microsoft Office Word</Application>
  <DocSecurity>0</DocSecurity>
  <Lines>74</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Maldonado Cañón</dc:creator>
  <cp:lastModifiedBy>Bhushan Tandale</cp:lastModifiedBy>
  <cp:revision>3</cp:revision>
  <dcterms:created xsi:type="dcterms:W3CDTF">2025-04-24T13:53:00Z</dcterms:created>
  <dcterms:modified xsi:type="dcterms:W3CDTF">2025-05-05T11:47:00Z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12th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http://www.zotero.org/styles/vancouver</vt:lpwstr>
  </property>
  <property fmtid="{D5CDD505-2E9C-101B-9397-08002B2CF9AE}" pid="24" name="Mendeley Unique User Id_1">
    <vt:lpwstr>1289729b-a54f-38af-be98-a36519e1fe8f</vt:lpwstr>
  </property>
</Properties>
</file>