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96" w:rsidRDefault="00FE4196">
      <w:r>
        <w:rPr>
          <w:noProof/>
        </w:rPr>
        <w:drawing>
          <wp:inline distT="0" distB="0" distL="0" distR="0" wp14:anchorId="154C8811" wp14:editId="652C5BF7">
            <wp:extent cx="5800725" cy="3914775"/>
            <wp:effectExtent l="0" t="0" r="9525" b="9525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CDD8E77-6AFB-49EC-B2A7-65BCB1BAF2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2CDD8E77-6AFB-49EC-B2A7-65BCB1BAF2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253" cy="391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96" w:rsidRDefault="00FE4196" w:rsidP="00FE4196">
      <w:r>
        <w:t>Fig.1 a) Trend analysis of Eosinophil and Basophil percentage during the course of the disease</w:t>
      </w:r>
    </w:p>
    <w:p w:rsidR="00FE4196" w:rsidRDefault="00FE4196">
      <w:r>
        <w:rPr>
          <w:noProof/>
        </w:rPr>
        <w:drawing>
          <wp:inline distT="0" distB="0" distL="0" distR="0" wp14:anchorId="0C7B0706" wp14:editId="50C2A747">
            <wp:extent cx="5800725" cy="3057280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F72FFE77-EC1D-4A06-B1FE-26D22D71AF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F72FFE77-EC1D-4A06-B1FE-26D22D71AF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3384" cy="30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96" w:rsidRDefault="00FE4196">
      <w:r w:rsidRPr="00FE4196">
        <w:t>b) BCR-ABL1 transcript levels as determined on International Scale (IS) by Real Time PCR.</w:t>
      </w:r>
      <w:bookmarkStart w:id="0" w:name="_GoBack"/>
      <w:bookmarkEnd w:id="0"/>
    </w:p>
    <w:sectPr w:rsidR="00FE4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6"/>
    <w:rsid w:val="00C834E2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0DC3"/>
  <w15:chartTrackingRefBased/>
  <w15:docId w15:val="{339B4705-86BA-497A-85F5-55422DD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ACTREC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2025-04-17T07:57:00Z</dcterms:created>
  <dcterms:modified xsi:type="dcterms:W3CDTF">2025-04-17T07:59:00Z</dcterms:modified>
</cp:coreProperties>
</file>