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C93A82" w:rsidRPr="00C93A82" w:rsidTr="00091B8E">
        <w:tc>
          <w:tcPr>
            <w:tcW w:w="9350" w:type="dxa"/>
            <w:gridSpan w:val="3"/>
            <w:tcBorders>
              <w:bottom w:val="single" w:sz="4" w:space="0" w:color="auto"/>
            </w:tcBorders>
          </w:tcPr>
          <w:p w:rsidR="00327793" w:rsidRPr="00C93A82" w:rsidRDefault="00A2274A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0" w:name="_GoBack"/>
            <w:bookmarkEnd w:id="0"/>
            <w:r w:rsidRPr="00C93A82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Additional</w:t>
            </w:r>
            <w:r w:rsidR="00327793" w:rsidRPr="00C93A82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file 2.</w:t>
            </w:r>
            <w:r w:rsidR="00327793"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C93A82" w:rsidRPr="00C93A82">
              <w:rPr>
                <w:rFonts w:ascii="Times New Roman" w:eastAsia="굴림" w:hAnsi="Times New Roman" w:cs="Times New Roman"/>
                <w:color w:val="000000" w:themeColor="text1"/>
                <w:kern w:val="0"/>
                <w:sz w:val="18"/>
                <w:szCs w:val="18"/>
              </w:rPr>
              <w:t>Summary of our bimaxillary orthognathic surgery protocol</w:t>
            </w:r>
          </w:p>
        </w:tc>
      </w:tr>
      <w:tr w:rsidR="00C93A82" w:rsidRPr="00C93A82" w:rsidTr="00091B8E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  <w:t xml:space="preserve">Preoperative day 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93A82" w:rsidRPr="00C93A82" w:rsidTr="00BA45BF">
        <w:tc>
          <w:tcPr>
            <w:tcW w:w="935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AE6070" w:rsidP="005B2210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Four</w:t>
            </w:r>
            <w:r w:rsidR="00B3190A" w:rsidRPr="00C93A8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weeks before surgery (baseline)</w:t>
            </w:r>
            <w:r w:rsidR="005B2210"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C93A82" w:rsidRPr="00C93A82" w:rsidTr="00BA45BF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:rsidR="00BA45BF" w:rsidRPr="00C93A82" w:rsidRDefault="00BA45BF" w:rsidP="00FB1A46">
            <w:pPr>
              <w:spacing w:line="360" w:lineRule="auto"/>
              <w:ind w:firstLineChars="200" w:firstLine="36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Inclusion and exclusion criteria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BA45BF" w:rsidRPr="00C93A82" w:rsidRDefault="00BA45BF" w:rsidP="00BA45B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I</w:t>
            </w: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nclusion criteria</w:t>
            </w:r>
          </w:p>
          <w:p w:rsidR="00BA45BF" w:rsidRPr="00C93A82" w:rsidRDefault="00BA45BF" w:rsidP="00BA45BF">
            <w:pPr>
              <w:spacing w:line="360" w:lineRule="auto"/>
              <w:rPr>
                <w:rFonts w:ascii="Times New Roman" w:eastAsia="바탕체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eastAsia="바탕체" w:hAnsi="Times New Roman" w:cs="Times New Roman"/>
                <w:color w:val="000000" w:themeColor="text1"/>
                <w:sz w:val="18"/>
                <w:szCs w:val="18"/>
              </w:rPr>
              <w:t>1) adult (i.e., age ≥</w:t>
            </w:r>
            <w:r w:rsidR="00B3190A" w:rsidRPr="00C93A82">
              <w:rPr>
                <w:rFonts w:ascii="Times New Roman" w:eastAsia="바탕체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B3190A" w:rsidRPr="00C93A82">
              <w:rPr>
                <w:rFonts w:ascii="Times New Roman" w:eastAsia="바탕체" w:hAnsi="Times New Roman" w:cs="Times New Roman" w:hint="eastAsia"/>
                <w:color w:val="000000" w:themeColor="text1"/>
                <w:sz w:val="18"/>
                <w:szCs w:val="18"/>
              </w:rPr>
              <w:t>20</w:t>
            </w:r>
            <w:r w:rsidRPr="00C93A82">
              <w:rPr>
                <w:rFonts w:ascii="Times New Roman" w:eastAsia="바탕체" w:hAnsi="Times New Roman" w:cs="Times New Roman"/>
                <w:color w:val="000000" w:themeColor="text1"/>
                <w:sz w:val="18"/>
                <w:szCs w:val="18"/>
              </w:rPr>
              <w:t xml:space="preserve"> years)</w:t>
            </w:r>
          </w:p>
          <w:p w:rsidR="00BA45BF" w:rsidRPr="00C93A82" w:rsidRDefault="00BA45BF" w:rsidP="00BA45BF">
            <w:pPr>
              <w:spacing w:line="360" w:lineRule="auto"/>
              <w:rPr>
                <w:rFonts w:ascii="Times New Roman" w:eastAsia="바탕체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eastAsia="바탕체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C93A82">
              <w:rPr>
                <w:rFonts w:ascii="Times New Roman" w:eastAsia="바탕체" w:hAnsi="Times New Roman" w:cs="Times New Roman"/>
                <w:color w:val="000000" w:themeColor="text1"/>
                <w:sz w:val="18"/>
                <w:szCs w:val="18"/>
              </w:rPr>
              <w:t xml:space="preserve">) elective bimaxillary orthognathic </w:t>
            </w:r>
          </w:p>
          <w:p w:rsidR="00BA45BF" w:rsidRPr="00C93A82" w:rsidRDefault="00E42838" w:rsidP="00BA45BF">
            <w:pPr>
              <w:spacing w:line="360" w:lineRule="auto"/>
              <w:rPr>
                <w:rFonts w:ascii="Times New Roman" w:eastAsia="바탕체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eastAsia="바탕체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="00BA45BF" w:rsidRPr="00C93A82">
              <w:rPr>
                <w:rFonts w:ascii="Times New Roman" w:eastAsia="바탕체" w:hAnsi="Times New Roman" w:cs="Times New Roman"/>
                <w:color w:val="000000" w:themeColor="text1"/>
                <w:sz w:val="18"/>
                <w:szCs w:val="18"/>
              </w:rPr>
              <w:t>urgery</w:t>
            </w:r>
          </w:p>
          <w:p w:rsidR="00BA45BF" w:rsidRPr="00C93A82" w:rsidRDefault="00BA45BF" w:rsidP="00BA45BF">
            <w:pPr>
              <w:spacing w:line="360" w:lineRule="auto"/>
              <w:rPr>
                <w:rFonts w:ascii="Times New Roman" w:eastAsia="바탕체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eastAsia="바탕체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Pr="00C93A82">
              <w:rPr>
                <w:rFonts w:ascii="Times New Roman" w:eastAsia="바탕체" w:hAnsi="Times New Roman" w:cs="Times New Roman"/>
                <w:color w:val="000000" w:themeColor="text1"/>
                <w:sz w:val="18"/>
                <w:szCs w:val="18"/>
              </w:rPr>
              <w:t>) ASA physical status I or II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BA45BF" w:rsidRPr="00C93A82" w:rsidRDefault="00BA45BF" w:rsidP="00BA45B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E</w:t>
            </w: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xclusion criteria</w:t>
            </w:r>
          </w:p>
          <w:p w:rsidR="00BA45BF" w:rsidRPr="00C93A82" w:rsidRDefault="00BA45BF" w:rsidP="00BA45B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 hemodynamic unstable case</w:t>
            </w:r>
          </w:p>
          <w:p w:rsidR="00BA45BF" w:rsidRPr="00C93A82" w:rsidRDefault="00BA45BF" w:rsidP="00BA45B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2) ASA physical status III or IV</w:t>
            </w:r>
          </w:p>
          <w:p w:rsidR="00BA45BF" w:rsidRPr="00C93A82" w:rsidRDefault="00BA45BF" w:rsidP="00BA45B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3) history of iron drug related side </w:t>
            </w:r>
          </w:p>
          <w:p w:rsidR="00BA45BF" w:rsidRPr="00C93A82" w:rsidRDefault="00E42838" w:rsidP="00BA45B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</w:t>
            </w:r>
            <w:r w:rsidR="00BA45BF"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ffects</w:t>
            </w: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(i.e., allergy)</w:t>
            </w:r>
          </w:p>
          <w:p w:rsidR="00BA45BF" w:rsidRPr="00C93A82" w:rsidRDefault="00BA45BF" w:rsidP="00BA45B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4) medication history of anticoagulants</w:t>
            </w:r>
          </w:p>
          <w:p w:rsidR="001C7D7F" w:rsidRPr="00C93A82" w:rsidRDefault="00BA45BF" w:rsidP="00BA45B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5) anemia </w:t>
            </w:r>
          </w:p>
          <w:p w:rsidR="00BA45BF" w:rsidRPr="00C93A82" w:rsidRDefault="00BA45BF" w:rsidP="00BA45B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(i.e., hemoglobin level &lt; 11 g/dL)</w:t>
            </w:r>
          </w:p>
          <w:p w:rsidR="00BA45BF" w:rsidRPr="00C93A82" w:rsidRDefault="00BA45BF" w:rsidP="00BA45B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6) refusal to participate in the study </w:t>
            </w:r>
          </w:p>
        </w:tc>
      </w:tr>
      <w:tr w:rsidR="00C93A82" w:rsidRPr="00C93A82" w:rsidTr="00BA45BF">
        <w:tc>
          <w:tcPr>
            <w:tcW w:w="935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27793" w:rsidRPr="00C93A82" w:rsidRDefault="00327793" w:rsidP="00FB1A46">
            <w:pPr>
              <w:spacing w:line="360" w:lineRule="auto"/>
              <w:ind w:firstLineChars="200" w:firstLine="36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Randomization using sealed, opaque envelopes</w:t>
            </w:r>
          </w:p>
        </w:tc>
      </w:tr>
      <w:tr w:rsidR="00C93A82" w:rsidRPr="00C93A82" w:rsidTr="00FB1A46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:rsidR="00091B8E" w:rsidRPr="00C93A82" w:rsidRDefault="00091B8E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Group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091B8E" w:rsidRPr="00C93A82" w:rsidRDefault="00091B8E" w:rsidP="00FB1A46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Intravenous iron group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091B8E" w:rsidRPr="00C93A82" w:rsidRDefault="00091B8E" w:rsidP="00FB1A46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Autologous whole blood group</w:t>
            </w:r>
          </w:p>
        </w:tc>
      </w:tr>
      <w:tr w:rsidR="00C93A82" w:rsidRPr="00C93A82" w:rsidTr="00FB1A46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Treatment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1) 4 weeks before surgery</w:t>
            </w:r>
          </w:p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Single IV infusion of </w:t>
            </w:r>
          </w:p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ferric carboxymaltose (500 mg)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1) 4 weeks before surgery</w:t>
            </w:r>
          </w:p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The 1</w:t>
            </w: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st</w:t>
            </w: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collection of autologous whole blood (320 mL)</w:t>
            </w:r>
          </w:p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2) 2 weeks before surgery </w:t>
            </w:r>
          </w:p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The 2</w:t>
            </w: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nd</w:t>
            </w: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collection of autologous whole blood (320 mL)</w:t>
            </w:r>
          </w:p>
        </w:tc>
      </w:tr>
      <w:tr w:rsidR="00C93A82" w:rsidRPr="00C93A82" w:rsidTr="00FB1A46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:rsidR="00327793" w:rsidRPr="00C93A82" w:rsidRDefault="00327793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  <w:t xml:space="preserve">     </w:t>
            </w: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Measurement</w:t>
            </w:r>
          </w:p>
        </w:tc>
        <w:tc>
          <w:tcPr>
            <w:tcW w:w="62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27793" w:rsidRPr="00C93A82" w:rsidRDefault="00327793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1) physical status</w:t>
            </w:r>
          </w:p>
          <w:p w:rsidR="00327793" w:rsidRPr="00C93A82" w:rsidRDefault="00327793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2) laboratory variables </w:t>
            </w:r>
          </w:p>
          <w:p w:rsidR="00327793" w:rsidRPr="00C93A82" w:rsidRDefault="00327793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3) visual analogue scale for discomfort/pain during each treatment</w:t>
            </w:r>
          </w:p>
        </w:tc>
      </w:tr>
      <w:tr w:rsidR="00C93A82" w:rsidRPr="00C93A82" w:rsidTr="00FB1A46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B3190A" w:rsidP="005B221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 w:hint="eastAsia"/>
                <w:b/>
                <w:bCs/>
                <w:i/>
                <w:iCs/>
                <w:color w:val="000000" w:themeColor="text1"/>
                <w:sz w:val="18"/>
                <w:szCs w:val="18"/>
              </w:rPr>
              <w:t>Operation</w:t>
            </w:r>
            <w:r w:rsidR="005B2210" w:rsidRPr="00C93A8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  <w:t xml:space="preserve"> day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93A82" w:rsidRPr="00C93A82" w:rsidTr="00FB1A46">
        <w:tc>
          <w:tcPr>
            <w:tcW w:w="935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B3190A" w:rsidP="005B2210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Immediately before surgery</w:t>
            </w:r>
          </w:p>
        </w:tc>
      </w:tr>
      <w:tr w:rsidR="00C93A82" w:rsidRPr="00C93A82" w:rsidTr="00FB1A46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:rsidR="00CC0E60" w:rsidRPr="00C93A82" w:rsidRDefault="00CC0E6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Measurement</w:t>
            </w:r>
          </w:p>
        </w:tc>
        <w:tc>
          <w:tcPr>
            <w:tcW w:w="62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0E60" w:rsidRPr="00C93A82" w:rsidRDefault="00CC0E60" w:rsidP="00FB1A46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 laboratory variables</w:t>
            </w:r>
          </w:p>
        </w:tc>
      </w:tr>
      <w:tr w:rsidR="00C93A82" w:rsidRPr="00C93A82" w:rsidTr="00FB1A46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:rsidR="00CC0E60" w:rsidRPr="00C93A82" w:rsidRDefault="00CC0E6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="00B3190A"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B3190A" w:rsidRPr="00C93A8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D</w:t>
            </w: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uring surgery</w:t>
            </w:r>
          </w:p>
        </w:tc>
        <w:tc>
          <w:tcPr>
            <w:tcW w:w="62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0E60" w:rsidRPr="00C93A82" w:rsidRDefault="00CC0E60" w:rsidP="00FB1A46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93A82" w:rsidRPr="00C93A82" w:rsidTr="00FB1A46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Balanced anesthesia care</w:t>
            </w:r>
          </w:p>
        </w:tc>
        <w:tc>
          <w:tcPr>
            <w:tcW w:w="62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5B2210" w:rsidP="00FB1A46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Induced hypotensi</w:t>
            </w:r>
            <w:r w:rsidR="00F114E9"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ve</w:t>
            </w: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anesthesia</w:t>
            </w:r>
          </w:p>
          <w:p w:rsidR="005B2210" w:rsidRPr="00C93A82" w:rsidRDefault="005B2210" w:rsidP="00FB1A46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: </w:t>
            </w:r>
            <w:r w:rsidR="00327793"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</w:t>
            </w: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djustment of </w:t>
            </w:r>
            <w:r w:rsidR="00091B8E"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systolic blood pressure</w:t>
            </w: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&lt; 100 mmHg</w:t>
            </w:r>
          </w:p>
        </w:tc>
      </w:tr>
      <w:tr w:rsidR="00C93A82" w:rsidRPr="00C93A82" w:rsidTr="00FB1A46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Replacement of hemorrhage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B3190A" w:rsidP="00B3190A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C</w:t>
            </w:r>
            <w:r w:rsidR="005B2210"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olloid product 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 units of autologous whole blood </w:t>
            </w:r>
          </w:p>
        </w:tc>
      </w:tr>
      <w:tr w:rsidR="00C93A82" w:rsidRPr="00C93A82" w:rsidTr="00FB1A46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:rsidR="00327793" w:rsidRPr="00C93A82" w:rsidRDefault="00327793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  <w:t xml:space="preserve">    </w:t>
            </w: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Measurement</w:t>
            </w:r>
            <w:r w:rsidRPr="00C93A8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62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27793" w:rsidRPr="00C93A82" w:rsidRDefault="00327793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1) hemodynamic variables</w:t>
            </w:r>
          </w:p>
          <w:p w:rsidR="00091B8E" w:rsidRPr="00C93A82" w:rsidRDefault="00CC0E6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091B8E"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 requirement of allogenic blood transfusion</w:t>
            </w:r>
          </w:p>
        </w:tc>
      </w:tr>
      <w:tr w:rsidR="00C93A82" w:rsidRPr="00C93A82" w:rsidTr="00FB1A46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</w:rPr>
              <w:t>Postoperative day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93A82" w:rsidRPr="00C93A82" w:rsidTr="00FB1A46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B3190A" w:rsidP="005B2210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O</w:t>
            </w:r>
            <w:r w:rsidR="005B2210"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 postoperative day 1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:rsidR="005B2210" w:rsidRPr="00C93A82" w:rsidRDefault="005B2210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93A82" w:rsidRPr="00C93A82" w:rsidTr="00FB1A46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:rsidR="00327793" w:rsidRPr="00C93A82" w:rsidRDefault="00327793" w:rsidP="005B2210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Primary outcome</w:t>
            </w:r>
          </w:p>
        </w:tc>
        <w:tc>
          <w:tcPr>
            <w:tcW w:w="62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91B8E" w:rsidRPr="00C93A82" w:rsidRDefault="001B4013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1) hemoglobin level</w:t>
            </w:r>
          </w:p>
        </w:tc>
      </w:tr>
      <w:tr w:rsidR="00C93A82" w:rsidRPr="00C93A82" w:rsidTr="00FB1A46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:rsidR="00091B8E" w:rsidRPr="00C93A82" w:rsidRDefault="00091B8E" w:rsidP="005B2210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Secondary outcome</w:t>
            </w:r>
          </w:p>
        </w:tc>
        <w:tc>
          <w:tcPr>
            <w:tcW w:w="62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91B8E" w:rsidRPr="00C93A82" w:rsidRDefault="00091B8E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1) laboratory variables</w:t>
            </w:r>
            <w:r w:rsidR="00FB1A46"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  <w:p w:rsidR="00091B8E" w:rsidRPr="00C93A82" w:rsidRDefault="00091B8E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2) Clavien-Dindo classification </w:t>
            </w:r>
          </w:p>
          <w:p w:rsidR="00091B8E" w:rsidRPr="00C93A82" w:rsidRDefault="00091B8E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(i.e., requirement of allogenic blood transfusion)</w:t>
            </w:r>
          </w:p>
        </w:tc>
      </w:tr>
      <w:tr w:rsidR="00C93A82" w:rsidRPr="00C93A82" w:rsidTr="003C2268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:rsidR="00091B8E" w:rsidRPr="00C93A82" w:rsidRDefault="00B3190A" w:rsidP="005B2210">
            <w:pPr>
              <w:spacing w:line="360" w:lineRule="auto"/>
              <w:ind w:firstLineChars="100" w:firstLine="18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lastRenderedPageBreak/>
              <w:t>O</w:t>
            </w:r>
            <w:r w:rsidR="00091B8E"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 postoperative day 2</w:t>
            </w:r>
          </w:p>
        </w:tc>
        <w:tc>
          <w:tcPr>
            <w:tcW w:w="62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91B8E" w:rsidRPr="00C93A82" w:rsidRDefault="00175864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="00091B8E"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 laboratory variables</w:t>
            </w:r>
            <w:r w:rsidR="00FB1A46"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  <w:p w:rsidR="00091B8E" w:rsidRPr="00C93A82" w:rsidRDefault="00175864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="00091B8E"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 Clavien-Dindo classification</w:t>
            </w:r>
          </w:p>
          <w:p w:rsidR="00091B8E" w:rsidRPr="00C93A82" w:rsidRDefault="00091B8E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(i.e., requirement of allogenic blood transfusion)</w:t>
            </w:r>
          </w:p>
          <w:p w:rsidR="00175864" w:rsidRPr="00C93A82" w:rsidRDefault="00175864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3) total period of hospital administration</w:t>
            </w:r>
          </w:p>
        </w:tc>
      </w:tr>
      <w:tr w:rsidR="00C93A82" w:rsidRPr="00C93A82" w:rsidTr="003C2268">
        <w:tc>
          <w:tcPr>
            <w:tcW w:w="9350" w:type="dxa"/>
            <w:gridSpan w:val="3"/>
            <w:tcBorders>
              <w:top w:val="single" w:sz="4" w:space="0" w:color="auto"/>
            </w:tcBorders>
          </w:tcPr>
          <w:p w:rsidR="003C2268" w:rsidRPr="00C93A82" w:rsidRDefault="003C2268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93A82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A</w:t>
            </w:r>
            <w:r w:rsidRPr="00C93A82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bbreviation:</w:t>
            </w:r>
            <w:r w:rsidRPr="00C93A8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ASA, American Society of Anesthesiologists</w:t>
            </w:r>
          </w:p>
        </w:tc>
      </w:tr>
      <w:tr w:rsidR="00091B8E" w:rsidRPr="00C93A82" w:rsidTr="003C2268">
        <w:tc>
          <w:tcPr>
            <w:tcW w:w="9350" w:type="dxa"/>
            <w:gridSpan w:val="3"/>
          </w:tcPr>
          <w:p w:rsidR="00091B8E" w:rsidRPr="00C93A82" w:rsidRDefault="00091B8E" w:rsidP="005B221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:rsidR="00BA377A" w:rsidRPr="00C93A82" w:rsidRDefault="00BA377A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sectPr w:rsidR="00BA377A" w:rsidRPr="00C93A82" w:rsidSect="005B2210">
      <w:footerReference w:type="default" r:id="rId7"/>
      <w:pgSz w:w="12240" w:h="15840" w:code="1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5BBF" w:rsidRDefault="00BF5BBF" w:rsidP="00BF5BBF">
      <w:pPr>
        <w:spacing w:after="0" w:line="240" w:lineRule="auto"/>
      </w:pPr>
      <w:r>
        <w:separator/>
      </w:r>
    </w:p>
  </w:endnote>
  <w:endnote w:type="continuationSeparator" w:id="0">
    <w:p w:rsidR="00BF5BBF" w:rsidRDefault="00BF5BBF" w:rsidP="00BF5B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40176047"/>
      <w:docPartObj>
        <w:docPartGallery w:val="Page Numbers (Bottom of Page)"/>
        <w:docPartUnique/>
      </w:docPartObj>
    </w:sdtPr>
    <w:sdtEndPr/>
    <w:sdtContent>
      <w:p w:rsidR="00BF5BBF" w:rsidRDefault="00BF5BB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7714" w:rsidRPr="008E7714">
          <w:rPr>
            <w:noProof/>
            <w:lang w:val="ko-KR"/>
          </w:rPr>
          <w:t>1</w:t>
        </w:r>
        <w:r>
          <w:fldChar w:fldCharType="end"/>
        </w:r>
      </w:p>
    </w:sdtContent>
  </w:sdt>
  <w:p w:rsidR="00BF5BBF" w:rsidRDefault="00BF5BB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5BBF" w:rsidRDefault="00BF5BBF" w:rsidP="00BF5BBF">
      <w:pPr>
        <w:spacing w:after="0" w:line="240" w:lineRule="auto"/>
      </w:pPr>
      <w:r>
        <w:separator/>
      </w:r>
    </w:p>
  </w:footnote>
  <w:footnote w:type="continuationSeparator" w:id="0">
    <w:p w:rsidR="00BF5BBF" w:rsidRDefault="00BF5BBF" w:rsidP="00BF5B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BF6"/>
    <w:rsid w:val="00000044"/>
    <w:rsid w:val="00002813"/>
    <w:rsid w:val="00016E31"/>
    <w:rsid w:val="00034E48"/>
    <w:rsid w:val="00041538"/>
    <w:rsid w:val="00091B8E"/>
    <w:rsid w:val="000A2C97"/>
    <w:rsid w:val="000A7C80"/>
    <w:rsid w:val="000B5599"/>
    <w:rsid w:val="000C3168"/>
    <w:rsid w:val="001068A1"/>
    <w:rsid w:val="0012277D"/>
    <w:rsid w:val="00126403"/>
    <w:rsid w:val="00137DBE"/>
    <w:rsid w:val="00145C67"/>
    <w:rsid w:val="00156323"/>
    <w:rsid w:val="00160ECB"/>
    <w:rsid w:val="00162987"/>
    <w:rsid w:val="00175864"/>
    <w:rsid w:val="00176D0F"/>
    <w:rsid w:val="00182DB3"/>
    <w:rsid w:val="001877C6"/>
    <w:rsid w:val="00191E53"/>
    <w:rsid w:val="00194042"/>
    <w:rsid w:val="001954F1"/>
    <w:rsid w:val="001B4013"/>
    <w:rsid w:val="001C25ED"/>
    <w:rsid w:val="001C7D7F"/>
    <w:rsid w:val="001E7193"/>
    <w:rsid w:val="001E7AA9"/>
    <w:rsid w:val="001F50C7"/>
    <w:rsid w:val="001F71AF"/>
    <w:rsid w:val="00202455"/>
    <w:rsid w:val="0020572E"/>
    <w:rsid w:val="00207F52"/>
    <w:rsid w:val="0021487F"/>
    <w:rsid w:val="0022030A"/>
    <w:rsid w:val="0022376B"/>
    <w:rsid w:val="00260A4D"/>
    <w:rsid w:val="00264602"/>
    <w:rsid w:val="002707E7"/>
    <w:rsid w:val="002A7826"/>
    <w:rsid w:val="002B09F2"/>
    <w:rsid w:val="002C4D47"/>
    <w:rsid w:val="002C6207"/>
    <w:rsid w:val="002D13B7"/>
    <w:rsid w:val="002E09F2"/>
    <w:rsid w:val="002F1124"/>
    <w:rsid w:val="002F6637"/>
    <w:rsid w:val="0030593E"/>
    <w:rsid w:val="003133EF"/>
    <w:rsid w:val="0031482A"/>
    <w:rsid w:val="00327793"/>
    <w:rsid w:val="00357672"/>
    <w:rsid w:val="00383C1B"/>
    <w:rsid w:val="003A1599"/>
    <w:rsid w:val="003A315A"/>
    <w:rsid w:val="003A6084"/>
    <w:rsid w:val="003B0FF7"/>
    <w:rsid w:val="003C2268"/>
    <w:rsid w:val="003E53F1"/>
    <w:rsid w:val="003E6569"/>
    <w:rsid w:val="003F4719"/>
    <w:rsid w:val="004314AD"/>
    <w:rsid w:val="00434165"/>
    <w:rsid w:val="00457983"/>
    <w:rsid w:val="00471A13"/>
    <w:rsid w:val="004A0829"/>
    <w:rsid w:val="004A123E"/>
    <w:rsid w:val="004A299C"/>
    <w:rsid w:val="004D23CE"/>
    <w:rsid w:val="004F43DE"/>
    <w:rsid w:val="004F5FD9"/>
    <w:rsid w:val="00512D2E"/>
    <w:rsid w:val="00534562"/>
    <w:rsid w:val="0054383F"/>
    <w:rsid w:val="005477E6"/>
    <w:rsid w:val="00547B01"/>
    <w:rsid w:val="005831D5"/>
    <w:rsid w:val="005A515D"/>
    <w:rsid w:val="005B2210"/>
    <w:rsid w:val="005F18B6"/>
    <w:rsid w:val="005F4784"/>
    <w:rsid w:val="00605F73"/>
    <w:rsid w:val="00632F91"/>
    <w:rsid w:val="0063595F"/>
    <w:rsid w:val="00636710"/>
    <w:rsid w:val="006646A5"/>
    <w:rsid w:val="00666D75"/>
    <w:rsid w:val="0067162B"/>
    <w:rsid w:val="00673CAF"/>
    <w:rsid w:val="00675BA1"/>
    <w:rsid w:val="006A77B5"/>
    <w:rsid w:val="006C3951"/>
    <w:rsid w:val="006D2980"/>
    <w:rsid w:val="006E3D1E"/>
    <w:rsid w:val="006F406C"/>
    <w:rsid w:val="006F4A29"/>
    <w:rsid w:val="00706A09"/>
    <w:rsid w:val="007739DB"/>
    <w:rsid w:val="00790FE9"/>
    <w:rsid w:val="00794690"/>
    <w:rsid w:val="007D02FD"/>
    <w:rsid w:val="007E4CFF"/>
    <w:rsid w:val="008301CB"/>
    <w:rsid w:val="00830BD8"/>
    <w:rsid w:val="0085261D"/>
    <w:rsid w:val="008673DE"/>
    <w:rsid w:val="00895209"/>
    <w:rsid w:val="008954BE"/>
    <w:rsid w:val="00897F19"/>
    <w:rsid w:val="008A17B8"/>
    <w:rsid w:val="008A35F7"/>
    <w:rsid w:val="008A45F3"/>
    <w:rsid w:val="008C1A92"/>
    <w:rsid w:val="008E7714"/>
    <w:rsid w:val="008F177D"/>
    <w:rsid w:val="00902A43"/>
    <w:rsid w:val="00903F39"/>
    <w:rsid w:val="00922EB4"/>
    <w:rsid w:val="009233BF"/>
    <w:rsid w:val="00933331"/>
    <w:rsid w:val="00935FCA"/>
    <w:rsid w:val="0097198C"/>
    <w:rsid w:val="00974035"/>
    <w:rsid w:val="0098769B"/>
    <w:rsid w:val="00995795"/>
    <w:rsid w:val="009A1D65"/>
    <w:rsid w:val="009C6496"/>
    <w:rsid w:val="009E065D"/>
    <w:rsid w:val="00A069B5"/>
    <w:rsid w:val="00A06ECE"/>
    <w:rsid w:val="00A13AF0"/>
    <w:rsid w:val="00A145F9"/>
    <w:rsid w:val="00A1649E"/>
    <w:rsid w:val="00A2274A"/>
    <w:rsid w:val="00A24FC5"/>
    <w:rsid w:val="00A279F4"/>
    <w:rsid w:val="00A30886"/>
    <w:rsid w:val="00A35D82"/>
    <w:rsid w:val="00A53310"/>
    <w:rsid w:val="00AA57D8"/>
    <w:rsid w:val="00AB48C6"/>
    <w:rsid w:val="00AD1BF6"/>
    <w:rsid w:val="00AE10B9"/>
    <w:rsid w:val="00AE5AEE"/>
    <w:rsid w:val="00AE6070"/>
    <w:rsid w:val="00AF1EEC"/>
    <w:rsid w:val="00AF7F69"/>
    <w:rsid w:val="00B1129C"/>
    <w:rsid w:val="00B2114F"/>
    <w:rsid w:val="00B2282A"/>
    <w:rsid w:val="00B26D18"/>
    <w:rsid w:val="00B3190A"/>
    <w:rsid w:val="00B72473"/>
    <w:rsid w:val="00B73D08"/>
    <w:rsid w:val="00BA377A"/>
    <w:rsid w:val="00BA45BF"/>
    <w:rsid w:val="00BB074A"/>
    <w:rsid w:val="00BC224A"/>
    <w:rsid w:val="00BD09EA"/>
    <w:rsid w:val="00BE015B"/>
    <w:rsid w:val="00BF2DDE"/>
    <w:rsid w:val="00BF5BBF"/>
    <w:rsid w:val="00C2056F"/>
    <w:rsid w:val="00C55D77"/>
    <w:rsid w:val="00C77D34"/>
    <w:rsid w:val="00C92E8B"/>
    <w:rsid w:val="00C93A82"/>
    <w:rsid w:val="00CB512B"/>
    <w:rsid w:val="00CB7E72"/>
    <w:rsid w:val="00CC0E60"/>
    <w:rsid w:val="00CC5A00"/>
    <w:rsid w:val="00CC70EC"/>
    <w:rsid w:val="00CE31F6"/>
    <w:rsid w:val="00D3187D"/>
    <w:rsid w:val="00D3260F"/>
    <w:rsid w:val="00D614EA"/>
    <w:rsid w:val="00D6677F"/>
    <w:rsid w:val="00D77813"/>
    <w:rsid w:val="00D8773E"/>
    <w:rsid w:val="00D96217"/>
    <w:rsid w:val="00DA2A00"/>
    <w:rsid w:val="00DB09EF"/>
    <w:rsid w:val="00DD6FBB"/>
    <w:rsid w:val="00DF03E7"/>
    <w:rsid w:val="00DF5AD2"/>
    <w:rsid w:val="00E005C1"/>
    <w:rsid w:val="00E126DE"/>
    <w:rsid w:val="00E42838"/>
    <w:rsid w:val="00E4664C"/>
    <w:rsid w:val="00E81348"/>
    <w:rsid w:val="00E951CA"/>
    <w:rsid w:val="00EA3FD5"/>
    <w:rsid w:val="00EB1ADB"/>
    <w:rsid w:val="00ED08C2"/>
    <w:rsid w:val="00EE103B"/>
    <w:rsid w:val="00EE1543"/>
    <w:rsid w:val="00EE455C"/>
    <w:rsid w:val="00EF6147"/>
    <w:rsid w:val="00F114E9"/>
    <w:rsid w:val="00F414EA"/>
    <w:rsid w:val="00F525D9"/>
    <w:rsid w:val="00F561A3"/>
    <w:rsid w:val="00F60E25"/>
    <w:rsid w:val="00F7089F"/>
    <w:rsid w:val="00F76F0D"/>
    <w:rsid w:val="00FA608C"/>
    <w:rsid w:val="00FB1A46"/>
    <w:rsid w:val="00FC03F5"/>
    <w:rsid w:val="00FC0822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01CEC8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5BB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F5BBF"/>
  </w:style>
  <w:style w:type="paragraph" w:styleId="a4">
    <w:name w:val="footer"/>
    <w:basedOn w:val="a"/>
    <w:link w:val="Char0"/>
    <w:uiPriority w:val="99"/>
    <w:unhideWhenUsed/>
    <w:rsid w:val="00BF5BB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F5BBF"/>
  </w:style>
  <w:style w:type="table" w:styleId="a5">
    <w:name w:val="Table Grid"/>
    <w:basedOn w:val="a1"/>
    <w:uiPriority w:val="39"/>
    <w:rsid w:val="005B2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5BB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F5BBF"/>
  </w:style>
  <w:style w:type="paragraph" w:styleId="a4">
    <w:name w:val="footer"/>
    <w:basedOn w:val="a"/>
    <w:link w:val="Char0"/>
    <w:uiPriority w:val="99"/>
    <w:unhideWhenUsed/>
    <w:rsid w:val="00BF5BB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F5BBF"/>
  </w:style>
  <w:style w:type="table" w:styleId="a5">
    <w:name w:val="Table Grid"/>
    <w:basedOn w:val="a1"/>
    <w:uiPriority w:val="39"/>
    <w:rsid w:val="005B2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chaeminsuk</dc:creator>
  <cp:keywords/>
  <dc:description/>
  <cp:lastModifiedBy>admin</cp:lastModifiedBy>
  <cp:revision>65</cp:revision>
  <dcterms:created xsi:type="dcterms:W3CDTF">2020-05-21T03:18:00Z</dcterms:created>
  <dcterms:modified xsi:type="dcterms:W3CDTF">2020-06-05T02:52:00Z</dcterms:modified>
</cp:coreProperties>
</file>