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EB19" w14:textId="5117BD10" w:rsidR="004C57F0" w:rsidRPr="004C57F0" w:rsidRDefault="004C57F0" w:rsidP="004C57F0">
      <w:pPr>
        <w:rPr>
          <w:rFonts w:ascii="Arial" w:hAnsi="Arial" w:cs="Arial"/>
          <w:b/>
          <w:bCs/>
        </w:rPr>
      </w:pPr>
      <w:r w:rsidRPr="004C57F0">
        <w:rPr>
          <w:rFonts w:ascii="Arial" w:hAnsi="Arial" w:cs="Arial"/>
          <w:b/>
          <w:bCs/>
        </w:rPr>
        <w:t xml:space="preserve">Additional </w:t>
      </w:r>
      <w:r>
        <w:rPr>
          <w:rFonts w:ascii="Arial" w:hAnsi="Arial" w:cs="Arial"/>
          <w:b/>
          <w:bCs/>
        </w:rPr>
        <w:t>f</w:t>
      </w:r>
      <w:r w:rsidRPr="004C57F0">
        <w:rPr>
          <w:rFonts w:ascii="Arial" w:hAnsi="Arial" w:cs="Arial"/>
          <w:b/>
          <w:bCs/>
        </w:rPr>
        <w:t xml:space="preserve">ile </w:t>
      </w:r>
      <w:r>
        <w:rPr>
          <w:rFonts w:ascii="Arial" w:hAnsi="Arial" w:cs="Arial"/>
          <w:b/>
          <w:bCs/>
        </w:rPr>
        <w:t>1</w:t>
      </w:r>
    </w:p>
    <w:p w14:paraId="3E6FDD79" w14:textId="310A1AB8" w:rsidR="004C57F0" w:rsidRPr="00CB6B64" w:rsidRDefault="004C57F0" w:rsidP="004C57F0">
      <w:pPr>
        <w:pStyle w:val="Caption"/>
        <w:spacing w:after="0"/>
        <w:contextualSpacing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CB6B64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Table</w:t>
      </w: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4</w:t>
      </w:r>
      <w:r w:rsidRPr="00CB6B64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: Adjusted </w:t>
      </w: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analysis for predictors of prolonged DDI </w:t>
      </w:r>
      <w:r w:rsidRPr="00CB6B64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stratified by emergency  </w:t>
      </w: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CS indication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27"/>
        <w:gridCol w:w="2268"/>
        <w:gridCol w:w="1701"/>
        <w:gridCol w:w="1984"/>
        <w:gridCol w:w="1270"/>
      </w:tblGrid>
      <w:tr w:rsidR="004C57F0" w:rsidRPr="003743F3" w14:paraId="5897F136" w14:textId="77777777" w:rsidTr="00944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6490380E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Indications of emergency CS</w:t>
            </w:r>
          </w:p>
        </w:tc>
        <w:tc>
          <w:tcPr>
            <w:tcW w:w="2268" w:type="dxa"/>
            <w:shd w:val="clear" w:color="auto" w:fill="auto"/>
          </w:tcPr>
          <w:p w14:paraId="0BC36DC5" w14:textId="77777777" w:rsidR="004C57F0" w:rsidRPr="003743F3" w:rsidRDefault="004C57F0" w:rsidP="009441A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Exposure variables</w:t>
            </w:r>
          </w:p>
        </w:tc>
        <w:tc>
          <w:tcPr>
            <w:tcW w:w="1701" w:type="dxa"/>
            <w:shd w:val="clear" w:color="auto" w:fill="auto"/>
          </w:tcPr>
          <w:p w14:paraId="6356DBA2" w14:textId="77777777" w:rsidR="004C57F0" w:rsidRPr="003743F3" w:rsidRDefault="004C57F0" w:rsidP="009441A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% Prolonged DDI</w:t>
            </w:r>
          </w:p>
          <w:p w14:paraId="1634B11E" w14:textId="77777777" w:rsidR="004C57F0" w:rsidRPr="003743F3" w:rsidRDefault="004C57F0" w:rsidP="009441A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(cases/n)</w:t>
            </w:r>
          </w:p>
        </w:tc>
        <w:tc>
          <w:tcPr>
            <w:tcW w:w="1984" w:type="dxa"/>
            <w:shd w:val="clear" w:color="auto" w:fill="auto"/>
          </w:tcPr>
          <w:p w14:paraId="7E7B8883" w14:textId="77777777" w:rsidR="004C57F0" w:rsidRPr="003743F3" w:rsidRDefault="004C57F0" w:rsidP="009441A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Strata-specific OR</w:t>
            </w:r>
          </w:p>
          <w:p w14:paraId="643107C4" w14:textId="77777777" w:rsidR="004C57F0" w:rsidRPr="003743F3" w:rsidRDefault="004C57F0" w:rsidP="009441A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(95% CI)</w:t>
            </w:r>
          </w:p>
        </w:tc>
        <w:tc>
          <w:tcPr>
            <w:tcW w:w="1270" w:type="dxa"/>
            <w:shd w:val="clear" w:color="auto" w:fill="auto"/>
          </w:tcPr>
          <w:p w14:paraId="4803E5E9" w14:textId="77777777" w:rsidR="004C57F0" w:rsidRPr="003743F3" w:rsidRDefault="004C57F0" w:rsidP="009441A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p-valueꝉ</w:t>
            </w:r>
          </w:p>
        </w:tc>
      </w:tr>
      <w:tr w:rsidR="004C57F0" w:rsidRPr="003743F3" w14:paraId="3BEBF88D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580D8F17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B374378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43F3">
              <w:rPr>
                <w:rFonts w:ascii="Arial" w:hAnsi="Arial" w:cs="Arial"/>
                <w:b/>
                <w:bCs/>
                <w:sz w:val="18"/>
                <w:szCs w:val="18"/>
              </w:rPr>
              <w:t>Surgeon’s cadre</w:t>
            </w:r>
          </w:p>
        </w:tc>
        <w:tc>
          <w:tcPr>
            <w:tcW w:w="1701" w:type="dxa"/>
            <w:shd w:val="clear" w:color="auto" w:fill="auto"/>
          </w:tcPr>
          <w:p w14:paraId="32240B77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BD8A8E7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31D46323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75677DB1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66AB13F5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Previous CS</w:t>
            </w:r>
          </w:p>
        </w:tc>
        <w:tc>
          <w:tcPr>
            <w:tcW w:w="2268" w:type="dxa"/>
            <w:shd w:val="clear" w:color="auto" w:fill="auto"/>
          </w:tcPr>
          <w:p w14:paraId="4C299CEF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Junior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doctor</w:t>
            </w:r>
          </w:p>
        </w:tc>
        <w:tc>
          <w:tcPr>
            <w:tcW w:w="1701" w:type="dxa"/>
            <w:shd w:val="clear" w:color="auto" w:fill="auto"/>
          </w:tcPr>
          <w:p w14:paraId="73764B1F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49.1 (28/57)</w:t>
            </w:r>
          </w:p>
        </w:tc>
        <w:tc>
          <w:tcPr>
            <w:tcW w:w="1984" w:type="dxa"/>
            <w:shd w:val="clear" w:color="auto" w:fill="auto"/>
          </w:tcPr>
          <w:p w14:paraId="1C2CDD59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00346731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0.83</w:t>
            </w:r>
          </w:p>
        </w:tc>
      </w:tr>
      <w:tr w:rsidR="004C57F0" w:rsidRPr="003743F3" w14:paraId="5232F2B0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1E4DE6AA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D96D742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Senior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doctor</w:t>
            </w:r>
          </w:p>
        </w:tc>
        <w:tc>
          <w:tcPr>
            <w:tcW w:w="1701" w:type="dxa"/>
            <w:shd w:val="clear" w:color="auto" w:fill="auto"/>
          </w:tcPr>
          <w:p w14:paraId="0ECCCE1B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33.3 (72/216)</w:t>
            </w:r>
          </w:p>
        </w:tc>
        <w:tc>
          <w:tcPr>
            <w:tcW w:w="1984" w:type="dxa"/>
            <w:shd w:val="clear" w:color="auto" w:fill="auto"/>
          </w:tcPr>
          <w:p w14:paraId="620B8E17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1.86 (0.99-3.49)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7056EF9B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2E839F69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07951AA4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Foetal distress</w:t>
            </w:r>
          </w:p>
        </w:tc>
        <w:tc>
          <w:tcPr>
            <w:tcW w:w="2268" w:type="dxa"/>
            <w:shd w:val="clear" w:color="auto" w:fill="auto"/>
          </w:tcPr>
          <w:p w14:paraId="7E2BAABD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Junior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doctor</w:t>
            </w:r>
          </w:p>
        </w:tc>
        <w:tc>
          <w:tcPr>
            <w:tcW w:w="1701" w:type="dxa"/>
            <w:shd w:val="clear" w:color="auto" w:fill="auto"/>
          </w:tcPr>
          <w:p w14:paraId="6C421875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55.3 (26/47)</w:t>
            </w:r>
          </w:p>
        </w:tc>
        <w:tc>
          <w:tcPr>
            <w:tcW w:w="1984" w:type="dxa"/>
            <w:shd w:val="clear" w:color="auto" w:fill="auto"/>
          </w:tcPr>
          <w:p w14:paraId="3EB12DD3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2E37D218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23A7A621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0A875DEF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62B44B0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Senior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doctor</w:t>
            </w:r>
          </w:p>
        </w:tc>
        <w:tc>
          <w:tcPr>
            <w:tcW w:w="1701" w:type="dxa"/>
            <w:shd w:val="clear" w:color="auto" w:fill="auto"/>
          </w:tcPr>
          <w:p w14:paraId="44F6C384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26.3 (10/38)</w:t>
            </w:r>
          </w:p>
        </w:tc>
        <w:tc>
          <w:tcPr>
            <w:tcW w:w="1984" w:type="dxa"/>
            <w:shd w:val="clear" w:color="auto" w:fill="auto"/>
          </w:tcPr>
          <w:p w14:paraId="49B785E8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2.59 (1.00-6.70)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2098DECA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5A0B7ADC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719D030C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Obstructed labour</w:t>
            </w:r>
          </w:p>
        </w:tc>
        <w:tc>
          <w:tcPr>
            <w:tcW w:w="2268" w:type="dxa"/>
            <w:shd w:val="clear" w:color="auto" w:fill="auto"/>
          </w:tcPr>
          <w:p w14:paraId="2F8AD301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Junior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doctor</w:t>
            </w:r>
          </w:p>
        </w:tc>
        <w:tc>
          <w:tcPr>
            <w:tcW w:w="1701" w:type="dxa"/>
            <w:shd w:val="clear" w:color="auto" w:fill="auto"/>
          </w:tcPr>
          <w:p w14:paraId="7BCD99B6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55.9 (19/34)</w:t>
            </w:r>
          </w:p>
        </w:tc>
        <w:tc>
          <w:tcPr>
            <w:tcW w:w="1984" w:type="dxa"/>
            <w:shd w:val="clear" w:color="auto" w:fill="auto"/>
          </w:tcPr>
          <w:p w14:paraId="198EDED8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1907C489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34E5D73B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05752184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9938563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Senior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doctor</w:t>
            </w:r>
          </w:p>
        </w:tc>
        <w:tc>
          <w:tcPr>
            <w:tcW w:w="1701" w:type="dxa"/>
            <w:shd w:val="clear" w:color="auto" w:fill="auto"/>
          </w:tcPr>
          <w:p w14:paraId="2B712F43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27.6 (27/98)</w:t>
            </w:r>
          </w:p>
        </w:tc>
        <w:tc>
          <w:tcPr>
            <w:tcW w:w="1984" w:type="dxa"/>
            <w:shd w:val="clear" w:color="auto" w:fill="auto"/>
          </w:tcPr>
          <w:p w14:paraId="302EE067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2.88 (1.24-6.71)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116398B3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721C7617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707EC1DB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Others</w:t>
            </w:r>
          </w:p>
        </w:tc>
        <w:tc>
          <w:tcPr>
            <w:tcW w:w="2268" w:type="dxa"/>
            <w:shd w:val="clear" w:color="auto" w:fill="auto"/>
          </w:tcPr>
          <w:p w14:paraId="49DFDD14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Junior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doctor</w:t>
            </w:r>
          </w:p>
        </w:tc>
        <w:tc>
          <w:tcPr>
            <w:tcW w:w="1701" w:type="dxa"/>
            <w:shd w:val="clear" w:color="auto" w:fill="auto"/>
          </w:tcPr>
          <w:p w14:paraId="2C311F1C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45.2 (14/31)</w:t>
            </w:r>
          </w:p>
        </w:tc>
        <w:tc>
          <w:tcPr>
            <w:tcW w:w="1984" w:type="dxa"/>
            <w:shd w:val="clear" w:color="auto" w:fill="auto"/>
          </w:tcPr>
          <w:p w14:paraId="73833CA7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0CBAB773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5D84B0DE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48EB3CDA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38A51A3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Senior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doctor</w:t>
            </w:r>
          </w:p>
        </w:tc>
        <w:tc>
          <w:tcPr>
            <w:tcW w:w="1701" w:type="dxa"/>
            <w:shd w:val="clear" w:color="auto" w:fill="auto"/>
          </w:tcPr>
          <w:p w14:paraId="6C6A96E8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31.1 (27/151)</w:t>
            </w:r>
          </w:p>
        </w:tc>
        <w:tc>
          <w:tcPr>
            <w:tcW w:w="1984" w:type="dxa"/>
            <w:shd w:val="clear" w:color="auto" w:fill="auto"/>
          </w:tcPr>
          <w:p w14:paraId="502C2111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1.64 (0.71-3.77)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47FD5A79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2C4C8780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4682177B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7CB9391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43F3">
              <w:rPr>
                <w:rFonts w:ascii="Arial" w:hAnsi="Arial" w:cs="Arial"/>
                <w:b/>
                <w:bCs/>
                <w:sz w:val="18"/>
                <w:szCs w:val="18"/>
              </w:rPr>
              <w:t>Theatre</w:t>
            </w:r>
          </w:p>
        </w:tc>
        <w:tc>
          <w:tcPr>
            <w:tcW w:w="1701" w:type="dxa"/>
            <w:shd w:val="clear" w:color="auto" w:fill="auto"/>
          </w:tcPr>
          <w:p w14:paraId="27E8D8E6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AD5C460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14:paraId="65DB6207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1F388091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0EF714FE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Previous CS</w:t>
            </w:r>
          </w:p>
        </w:tc>
        <w:tc>
          <w:tcPr>
            <w:tcW w:w="2268" w:type="dxa"/>
            <w:shd w:val="clear" w:color="auto" w:fill="auto"/>
          </w:tcPr>
          <w:p w14:paraId="37ECFF6F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 xml:space="preserve">Main </w:t>
            </w:r>
          </w:p>
        </w:tc>
        <w:tc>
          <w:tcPr>
            <w:tcW w:w="1701" w:type="dxa"/>
            <w:shd w:val="clear" w:color="auto" w:fill="auto"/>
          </w:tcPr>
          <w:p w14:paraId="1A1010C8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38.2 (87/228)</w:t>
            </w:r>
          </w:p>
        </w:tc>
        <w:tc>
          <w:tcPr>
            <w:tcW w:w="1984" w:type="dxa"/>
            <w:shd w:val="clear" w:color="auto" w:fill="auto"/>
          </w:tcPr>
          <w:p w14:paraId="756078C2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11059BD9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0.47</w:t>
            </w:r>
          </w:p>
        </w:tc>
      </w:tr>
      <w:tr w:rsidR="004C57F0" w:rsidRPr="003743F3" w14:paraId="2107E110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55A8FF02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F4BE2BE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Labour-</w:t>
            </w:r>
            <w:r>
              <w:rPr>
                <w:rFonts w:ascii="Arial" w:hAnsi="Arial" w:cs="Arial"/>
                <w:sz w:val="18"/>
                <w:szCs w:val="18"/>
              </w:rPr>
              <w:t>suite</w:t>
            </w:r>
          </w:p>
        </w:tc>
        <w:tc>
          <w:tcPr>
            <w:tcW w:w="1701" w:type="dxa"/>
            <w:shd w:val="clear" w:color="auto" w:fill="auto"/>
          </w:tcPr>
          <w:p w14:paraId="2D4665E5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30.0 (18/60)</w:t>
            </w:r>
          </w:p>
        </w:tc>
        <w:tc>
          <w:tcPr>
            <w:tcW w:w="1984" w:type="dxa"/>
            <w:shd w:val="clear" w:color="auto" w:fill="auto"/>
          </w:tcPr>
          <w:p w14:paraId="00BFD7FD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0.72 (0.38-1.34)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70" w:type="dxa"/>
            <w:vMerge/>
            <w:shd w:val="clear" w:color="auto" w:fill="auto"/>
          </w:tcPr>
          <w:p w14:paraId="5ACDB78F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60A8690E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4651E845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Foetal distress</w:t>
            </w:r>
          </w:p>
        </w:tc>
        <w:tc>
          <w:tcPr>
            <w:tcW w:w="2268" w:type="dxa"/>
            <w:shd w:val="clear" w:color="auto" w:fill="auto"/>
          </w:tcPr>
          <w:p w14:paraId="4F488784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 xml:space="preserve">Main </w:t>
            </w:r>
          </w:p>
        </w:tc>
        <w:tc>
          <w:tcPr>
            <w:tcW w:w="1701" w:type="dxa"/>
            <w:shd w:val="clear" w:color="auto" w:fill="auto"/>
          </w:tcPr>
          <w:p w14:paraId="2C83B4BC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36.6 (26/71)</w:t>
            </w:r>
          </w:p>
        </w:tc>
        <w:tc>
          <w:tcPr>
            <w:tcW w:w="1984" w:type="dxa"/>
            <w:shd w:val="clear" w:color="auto" w:fill="auto"/>
          </w:tcPr>
          <w:p w14:paraId="53B96BB5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/>
            <w:shd w:val="clear" w:color="auto" w:fill="auto"/>
          </w:tcPr>
          <w:p w14:paraId="0B65EFAD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29FDF1B2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37D33A8B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D79B505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Labour-</w:t>
            </w:r>
            <w:r>
              <w:rPr>
                <w:rFonts w:ascii="Arial" w:hAnsi="Arial" w:cs="Arial"/>
                <w:sz w:val="18"/>
                <w:szCs w:val="18"/>
              </w:rPr>
              <w:t>suite</w:t>
            </w:r>
          </w:p>
        </w:tc>
        <w:tc>
          <w:tcPr>
            <w:tcW w:w="1701" w:type="dxa"/>
            <w:shd w:val="clear" w:color="auto" w:fill="auto"/>
          </w:tcPr>
          <w:p w14:paraId="01226872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48.2 (26/54)</w:t>
            </w:r>
          </w:p>
        </w:tc>
        <w:tc>
          <w:tcPr>
            <w:tcW w:w="1984" w:type="dxa"/>
            <w:shd w:val="clear" w:color="auto" w:fill="auto"/>
          </w:tcPr>
          <w:p w14:paraId="200D98E9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1.41 (0.68-2.94)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70" w:type="dxa"/>
            <w:vMerge/>
            <w:shd w:val="clear" w:color="auto" w:fill="auto"/>
          </w:tcPr>
          <w:p w14:paraId="44AFDEAA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5BA96696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0E2DF1DD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Obstructed labour</w:t>
            </w:r>
          </w:p>
        </w:tc>
        <w:tc>
          <w:tcPr>
            <w:tcW w:w="2268" w:type="dxa"/>
            <w:shd w:val="clear" w:color="auto" w:fill="auto"/>
          </w:tcPr>
          <w:p w14:paraId="13A4679B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 xml:space="preserve">Main </w:t>
            </w:r>
          </w:p>
        </w:tc>
        <w:tc>
          <w:tcPr>
            <w:tcW w:w="1701" w:type="dxa"/>
            <w:shd w:val="clear" w:color="auto" w:fill="auto"/>
          </w:tcPr>
          <w:p w14:paraId="25276141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33.3 (39/117)</w:t>
            </w:r>
          </w:p>
        </w:tc>
        <w:tc>
          <w:tcPr>
            <w:tcW w:w="1984" w:type="dxa"/>
            <w:shd w:val="clear" w:color="auto" w:fill="auto"/>
          </w:tcPr>
          <w:p w14:paraId="72CABA13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/>
            <w:shd w:val="clear" w:color="auto" w:fill="auto"/>
          </w:tcPr>
          <w:p w14:paraId="66516555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21A0A8B9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0CD17A3D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B4B1F4B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Labour-</w:t>
            </w:r>
            <w:r>
              <w:rPr>
                <w:rFonts w:ascii="Arial" w:hAnsi="Arial" w:cs="Arial"/>
                <w:sz w:val="18"/>
                <w:szCs w:val="18"/>
              </w:rPr>
              <w:t>suite</w:t>
            </w:r>
          </w:p>
        </w:tc>
        <w:tc>
          <w:tcPr>
            <w:tcW w:w="1701" w:type="dxa"/>
            <w:shd w:val="clear" w:color="auto" w:fill="auto"/>
          </w:tcPr>
          <w:p w14:paraId="6BFC75BB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25.5 (11/31)</w:t>
            </w:r>
          </w:p>
        </w:tc>
        <w:tc>
          <w:tcPr>
            <w:tcW w:w="1984" w:type="dxa"/>
            <w:shd w:val="clear" w:color="auto" w:fill="auto"/>
          </w:tcPr>
          <w:p w14:paraId="4F3D7FF1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0.97 (0.42-2.25)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70" w:type="dxa"/>
            <w:vMerge/>
            <w:shd w:val="clear" w:color="auto" w:fill="auto"/>
          </w:tcPr>
          <w:p w14:paraId="056227E1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0E26C9C5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2B758DB6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Others</w:t>
            </w:r>
          </w:p>
        </w:tc>
        <w:tc>
          <w:tcPr>
            <w:tcW w:w="2268" w:type="dxa"/>
            <w:shd w:val="clear" w:color="auto" w:fill="auto"/>
          </w:tcPr>
          <w:p w14:paraId="57CA440D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 xml:space="preserve">Main </w:t>
            </w:r>
          </w:p>
        </w:tc>
        <w:tc>
          <w:tcPr>
            <w:tcW w:w="1701" w:type="dxa"/>
            <w:shd w:val="clear" w:color="auto" w:fill="auto"/>
          </w:tcPr>
          <w:p w14:paraId="05A184C3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34.9 (58/166)</w:t>
            </w:r>
          </w:p>
        </w:tc>
        <w:tc>
          <w:tcPr>
            <w:tcW w:w="1984" w:type="dxa"/>
            <w:shd w:val="clear" w:color="auto" w:fill="auto"/>
          </w:tcPr>
          <w:p w14:paraId="206EDEBF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/>
            <w:shd w:val="clear" w:color="auto" w:fill="auto"/>
          </w:tcPr>
          <w:p w14:paraId="5863F7D0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713672A9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011750EE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6885D13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Labour-</w:t>
            </w:r>
            <w:r>
              <w:rPr>
                <w:rFonts w:ascii="Arial" w:hAnsi="Arial" w:cs="Arial"/>
                <w:sz w:val="18"/>
                <w:szCs w:val="18"/>
              </w:rPr>
              <w:t>suite</w:t>
            </w:r>
          </w:p>
        </w:tc>
        <w:tc>
          <w:tcPr>
            <w:tcW w:w="1701" w:type="dxa"/>
            <w:shd w:val="clear" w:color="auto" w:fill="auto"/>
          </w:tcPr>
          <w:p w14:paraId="68679EF5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27.3 (9/33)</w:t>
            </w:r>
          </w:p>
        </w:tc>
        <w:tc>
          <w:tcPr>
            <w:tcW w:w="1984" w:type="dxa"/>
            <w:shd w:val="clear" w:color="auto" w:fill="auto"/>
          </w:tcPr>
          <w:p w14:paraId="6A4A0886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0.65 (0.28-1.53)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270" w:type="dxa"/>
            <w:vMerge/>
            <w:shd w:val="clear" w:color="auto" w:fill="auto"/>
          </w:tcPr>
          <w:p w14:paraId="3535EF9F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1D93FA81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50D9BDAC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C4E4820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Presence of interns</w:t>
            </w:r>
          </w:p>
        </w:tc>
        <w:tc>
          <w:tcPr>
            <w:tcW w:w="1701" w:type="dxa"/>
            <w:shd w:val="clear" w:color="auto" w:fill="auto"/>
          </w:tcPr>
          <w:p w14:paraId="7231C8E4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AF4C7CA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0" w:type="dxa"/>
            <w:shd w:val="clear" w:color="auto" w:fill="auto"/>
          </w:tcPr>
          <w:p w14:paraId="1BA17F0E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299003DC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50FDE61A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Previous CS</w:t>
            </w:r>
          </w:p>
        </w:tc>
        <w:tc>
          <w:tcPr>
            <w:tcW w:w="2268" w:type="dxa"/>
            <w:shd w:val="clear" w:color="auto" w:fill="auto"/>
          </w:tcPr>
          <w:p w14:paraId="377158F9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  <w:tc>
          <w:tcPr>
            <w:tcW w:w="1701" w:type="dxa"/>
            <w:shd w:val="clear" w:color="auto" w:fill="auto"/>
          </w:tcPr>
          <w:p w14:paraId="126F2705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75/192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D38A722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 w:val="restart"/>
            <w:shd w:val="clear" w:color="auto" w:fill="auto"/>
            <w:vAlign w:val="center"/>
          </w:tcPr>
          <w:p w14:paraId="1170A5A9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</w:tr>
      <w:tr w:rsidR="004C57F0" w:rsidRPr="003743F3" w14:paraId="1C1D65AF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14F0E2FF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840FC77" w14:textId="77777777" w:rsidR="004C57F0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Absent</w:t>
            </w:r>
          </w:p>
        </w:tc>
        <w:tc>
          <w:tcPr>
            <w:tcW w:w="1701" w:type="dxa"/>
            <w:shd w:val="clear" w:color="auto" w:fill="auto"/>
          </w:tcPr>
          <w:p w14:paraId="70226B65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31.58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30/95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37EFFCB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0.72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0.43</w:t>
            </w:r>
            <w:r w:rsidRPr="003743F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1.21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6A28038F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3A1C7855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2ED2B128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Foetal distress</w:t>
            </w:r>
          </w:p>
        </w:tc>
        <w:tc>
          <w:tcPr>
            <w:tcW w:w="2268" w:type="dxa"/>
            <w:shd w:val="clear" w:color="auto" w:fill="auto"/>
          </w:tcPr>
          <w:p w14:paraId="63E3296A" w14:textId="77777777" w:rsidR="004C57F0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  <w:tc>
          <w:tcPr>
            <w:tcW w:w="1701" w:type="dxa"/>
            <w:shd w:val="clear" w:color="auto" w:fill="auto"/>
          </w:tcPr>
          <w:p w14:paraId="1CB8B834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41.5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49/118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57F5D8E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32351968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373FCC89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71412EA4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6CA73AA4" w14:textId="77777777" w:rsidR="004C57F0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Absent</w:t>
            </w:r>
          </w:p>
        </w:tc>
        <w:tc>
          <w:tcPr>
            <w:tcW w:w="1701" w:type="dxa"/>
            <w:shd w:val="clear" w:color="auto" w:fill="auto"/>
          </w:tcPr>
          <w:p w14:paraId="6681A986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42.9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3/7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175174F1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1.10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0.24-5.17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2AFFED4F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4CBDDCE6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25967FA2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Obstructed labour</w:t>
            </w:r>
          </w:p>
        </w:tc>
        <w:tc>
          <w:tcPr>
            <w:tcW w:w="2268" w:type="dxa"/>
            <w:shd w:val="clear" w:color="auto" w:fill="auto"/>
          </w:tcPr>
          <w:p w14:paraId="19AB37DB" w14:textId="77777777" w:rsidR="004C57F0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  <w:tc>
          <w:tcPr>
            <w:tcW w:w="1701" w:type="dxa"/>
            <w:shd w:val="clear" w:color="auto" w:fill="auto"/>
          </w:tcPr>
          <w:p w14:paraId="588A8368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42/115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54E0051F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31315605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7B8A2276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2AD050A7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4B2DC21" w14:textId="77777777" w:rsidR="004C57F0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Absent</w:t>
            </w:r>
          </w:p>
        </w:tc>
        <w:tc>
          <w:tcPr>
            <w:tcW w:w="1701" w:type="dxa"/>
            <w:shd w:val="clear" w:color="auto" w:fill="auto"/>
          </w:tcPr>
          <w:p w14:paraId="2CB3A014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24.2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8/33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210DAB0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0.56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0.23-1.37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5BA246FC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25842856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shd w:val="clear" w:color="auto" w:fill="auto"/>
          </w:tcPr>
          <w:p w14:paraId="7D5915CE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Others</w:t>
            </w:r>
          </w:p>
        </w:tc>
        <w:tc>
          <w:tcPr>
            <w:tcW w:w="2268" w:type="dxa"/>
            <w:shd w:val="clear" w:color="auto" w:fill="auto"/>
          </w:tcPr>
          <w:p w14:paraId="5DA6734D" w14:textId="77777777" w:rsidR="004C57F0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</w:t>
            </w:r>
          </w:p>
        </w:tc>
        <w:tc>
          <w:tcPr>
            <w:tcW w:w="1701" w:type="dxa"/>
            <w:shd w:val="clear" w:color="auto" w:fill="auto"/>
          </w:tcPr>
          <w:p w14:paraId="55A2275D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50/144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48CD052F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7C4CB336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29F6842F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shd w:val="clear" w:color="auto" w:fill="auto"/>
          </w:tcPr>
          <w:p w14:paraId="5A0C3FAF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2F4119D" w14:textId="77777777" w:rsidR="004C57F0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Absent</w:t>
            </w:r>
          </w:p>
        </w:tc>
        <w:tc>
          <w:tcPr>
            <w:tcW w:w="1701" w:type="dxa"/>
            <w:shd w:val="clear" w:color="auto" w:fill="auto"/>
          </w:tcPr>
          <w:p w14:paraId="0854833D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16/54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D3B6E6A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0.80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0.41-1.58</w:t>
            </w:r>
            <w:r w:rsidRPr="003743F3">
              <w:rPr>
                <w:rFonts w:ascii="Arial" w:hAnsi="Arial" w:cs="Arial"/>
                <w:sz w:val="18"/>
                <w:szCs w:val="18"/>
              </w:rPr>
              <w:t>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0" w:type="dxa"/>
            <w:vMerge/>
            <w:shd w:val="clear" w:color="auto" w:fill="auto"/>
            <w:vAlign w:val="center"/>
          </w:tcPr>
          <w:p w14:paraId="5C079546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39CC2C" w14:textId="77777777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3743F3">
        <w:rPr>
          <w:rFonts w:ascii="Arial" w:hAnsi="Arial" w:cs="Arial"/>
          <w:b/>
          <w:bCs/>
          <w:sz w:val="18"/>
          <w:szCs w:val="18"/>
        </w:rPr>
        <w:t>Abbreviations:</w:t>
      </w:r>
      <w:r w:rsidRPr="003743F3">
        <w:rPr>
          <w:rFonts w:ascii="Arial" w:hAnsi="Arial" w:cs="Arial"/>
          <w:sz w:val="18"/>
          <w:szCs w:val="18"/>
        </w:rPr>
        <w:t xml:space="preserve"> DDI, decision-to-delivery interval; OR, odds ratio; CI, confidence interval.</w:t>
      </w:r>
    </w:p>
    <w:p w14:paraId="515AB0AA" w14:textId="77777777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3743F3">
        <w:rPr>
          <w:rFonts w:ascii="Arial" w:hAnsi="Arial" w:cs="Arial"/>
          <w:b/>
          <w:bCs/>
          <w:sz w:val="18"/>
          <w:szCs w:val="18"/>
        </w:rPr>
        <w:t>ꝉ</w:t>
      </w:r>
      <w:r w:rsidRPr="003743F3">
        <w:rPr>
          <w:rFonts w:ascii="Arial" w:hAnsi="Arial" w:cs="Arial"/>
          <w:sz w:val="18"/>
          <w:szCs w:val="18"/>
        </w:rPr>
        <w:t>Likelihood ratio p-values</w:t>
      </w:r>
    </w:p>
    <w:p w14:paraId="1F384D31" w14:textId="77777777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proofErr w:type="spellStart"/>
      <w:r w:rsidRPr="003743F3">
        <w:rPr>
          <w:rFonts w:ascii="Arial" w:hAnsi="Arial" w:cs="Arial"/>
          <w:sz w:val="18"/>
          <w:szCs w:val="18"/>
          <w:vertAlign w:val="superscript"/>
        </w:rPr>
        <w:t>a</w:t>
      </w:r>
      <w:r w:rsidRPr="003743F3">
        <w:rPr>
          <w:rFonts w:ascii="Arial" w:hAnsi="Arial" w:cs="Arial"/>
          <w:sz w:val="18"/>
          <w:szCs w:val="18"/>
        </w:rPr>
        <w:t>Women</w:t>
      </w:r>
      <w:proofErr w:type="spellEnd"/>
      <w:r w:rsidRPr="003743F3">
        <w:rPr>
          <w:rFonts w:ascii="Arial" w:hAnsi="Arial" w:cs="Arial"/>
          <w:sz w:val="18"/>
          <w:szCs w:val="18"/>
        </w:rPr>
        <w:t xml:space="preserve"> without any delays documented 138 (18.2%) excluded to overcome zero cells when assessing point of delay-prolonged DDI association</w:t>
      </w:r>
    </w:p>
    <w:p w14:paraId="4DF605B3" w14:textId="3DB0CE1E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proofErr w:type="spellStart"/>
      <w:r w:rsidRPr="003743F3">
        <w:rPr>
          <w:rFonts w:ascii="Arial" w:hAnsi="Arial" w:cs="Arial"/>
          <w:sz w:val="18"/>
          <w:szCs w:val="18"/>
          <w:vertAlign w:val="superscript"/>
        </w:rPr>
        <w:t>b</w:t>
      </w:r>
      <w:r w:rsidRPr="003743F3">
        <w:rPr>
          <w:rFonts w:ascii="Arial" w:hAnsi="Arial" w:cs="Arial"/>
          <w:sz w:val="18"/>
          <w:szCs w:val="18"/>
        </w:rPr>
        <w:t>Odds</w:t>
      </w:r>
      <w:proofErr w:type="spellEnd"/>
      <w:r w:rsidRPr="003743F3">
        <w:rPr>
          <w:rFonts w:ascii="Arial" w:hAnsi="Arial" w:cs="Arial"/>
          <w:sz w:val="18"/>
          <w:szCs w:val="18"/>
        </w:rPr>
        <w:t xml:space="preserve"> ratio adjusted for </w:t>
      </w:r>
      <w:r w:rsidR="00AC118E">
        <w:rPr>
          <w:rFonts w:ascii="Arial" w:hAnsi="Arial" w:cs="Arial"/>
          <w:sz w:val="18"/>
          <w:szCs w:val="18"/>
        </w:rPr>
        <w:t xml:space="preserve">maternal </w:t>
      </w:r>
      <w:r w:rsidRPr="003743F3">
        <w:rPr>
          <w:rFonts w:ascii="Arial" w:hAnsi="Arial" w:cs="Arial"/>
          <w:sz w:val="18"/>
          <w:szCs w:val="18"/>
        </w:rPr>
        <w:t xml:space="preserve">age, presence of </w:t>
      </w:r>
      <w:r>
        <w:rPr>
          <w:rFonts w:ascii="Arial" w:hAnsi="Arial" w:cs="Arial"/>
          <w:sz w:val="18"/>
          <w:szCs w:val="18"/>
        </w:rPr>
        <w:t>junior</w:t>
      </w:r>
      <w:r w:rsidRPr="003743F3">
        <w:rPr>
          <w:rFonts w:ascii="Arial" w:hAnsi="Arial" w:cs="Arial"/>
          <w:sz w:val="18"/>
          <w:szCs w:val="18"/>
        </w:rPr>
        <w:t xml:space="preserve">s, gestational age groups, cadre of the surgeon, parity group, type of anaesthesia, </w:t>
      </w:r>
      <w:r w:rsidR="00AC118E">
        <w:rPr>
          <w:rFonts w:ascii="Arial" w:hAnsi="Arial" w:cs="Arial"/>
          <w:sz w:val="18"/>
          <w:szCs w:val="18"/>
        </w:rPr>
        <w:t>staff</w:t>
      </w:r>
      <w:r w:rsidRPr="003743F3">
        <w:rPr>
          <w:rFonts w:ascii="Arial" w:hAnsi="Arial" w:cs="Arial"/>
          <w:sz w:val="18"/>
          <w:szCs w:val="18"/>
        </w:rPr>
        <w:t xml:space="preserve"> shift, calendar day of the week, and area of residence (N=412).</w:t>
      </w:r>
    </w:p>
    <w:p w14:paraId="72458701" w14:textId="3781D2D1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proofErr w:type="spellStart"/>
      <w:r w:rsidRPr="003743F3">
        <w:rPr>
          <w:rFonts w:ascii="Arial" w:hAnsi="Arial" w:cs="Arial"/>
          <w:sz w:val="18"/>
          <w:szCs w:val="18"/>
          <w:vertAlign w:val="superscript"/>
        </w:rPr>
        <w:t>c</w:t>
      </w:r>
      <w:r w:rsidRPr="003743F3">
        <w:rPr>
          <w:rFonts w:ascii="Arial" w:hAnsi="Arial" w:cs="Arial"/>
          <w:sz w:val="18"/>
          <w:szCs w:val="18"/>
        </w:rPr>
        <w:t>Odds</w:t>
      </w:r>
      <w:proofErr w:type="spellEnd"/>
      <w:r w:rsidRPr="003743F3">
        <w:rPr>
          <w:rFonts w:ascii="Arial" w:hAnsi="Arial" w:cs="Arial"/>
          <w:sz w:val="18"/>
          <w:szCs w:val="18"/>
        </w:rPr>
        <w:t xml:space="preserve"> ratio adjusted for </w:t>
      </w:r>
      <w:r w:rsidR="00AC118E">
        <w:rPr>
          <w:rFonts w:ascii="Arial" w:hAnsi="Arial" w:cs="Arial"/>
          <w:sz w:val="18"/>
          <w:szCs w:val="18"/>
        </w:rPr>
        <w:t xml:space="preserve">maternal </w:t>
      </w:r>
      <w:r w:rsidRPr="003743F3">
        <w:rPr>
          <w:rFonts w:ascii="Arial" w:hAnsi="Arial" w:cs="Arial"/>
          <w:sz w:val="18"/>
          <w:szCs w:val="18"/>
        </w:rPr>
        <w:t xml:space="preserve">age, parity group, presence of </w:t>
      </w:r>
      <w:r w:rsidR="00AC118E">
        <w:rPr>
          <w:rFonts w:ascii="Arial" w:hAnsi="Arial" w:cs="Arial"/>
          <w:sz w:val="18"/>
          <w:szCs w:val="18"/>
        </w:rPr>
        <w:t>interns</w:t>
      </w:r>
      <w:r w:rsidRPr="003743F3">
        <w:rPr>
          <w:rFonts w:ascii="Arial" w:hAnsi="Arial" w:cs="Arial"/>
          <w:sz w:val="18"/>
          <w:szCs w:val="18"/>
        </w:rPr>
        <w:t xml:space="preserve">, </w:t>
      </w:r>
      <w:r w:rsidR="00AC118E">
        <w:rPr>
          <w:rFonts w:ascii="Arial" w:hAnsi="Arial" w:cs="Arial"/>
          <w:sz w:val="18"/>
          <w:szCs w:val="18"/>
        </w:rPr>
        <w:t>operation</w:t>
      </w:r>
      <w:r w:rsidRPr="003743F3">
        <w:rPr>
          <w:rFonts w:ascii="Arial" w:hAnsi="Arial" w:cs="Arial"/>
          <w:sz w:val="18"/>
          <w:szCs w:val="18"/>
        </w:rPr>
        <w:t xml:space="preserve"> day, and </w:t>
      </w:r>
      <w:r w:rsidR="00AC118E">
        <w:rPr>
          <w:rFonts w:ascii="Arial" w:hAnsi="Arial" w:cs="Arial"/>
          <w:sz w:val="18"/>
          <w:szCs w:val="18"/>
        </w:rPr>
        <w:t>staff</w:t>
      </w:r>
      <w:r w:rsidRPr="003743F3">
        <w:rPr>
          <w:rFonts w:ascii="Arial" w:hAnsi="Arial" w:cs="Arial"/>
          <w:sz w:val="18"/>
          <w:szCs w:val="18"/>
        </w:rPr>
        <w:t xml:space="preserve"> shift (N=667).</w:t>
      </w:r>
    </w:p>
    <w:p w14:paraId="70592F8A" w14:textId="73665DFA" w:rsidR="004C57F0" w:rsidRPr="00AC118E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proofErr w:type="spellStart"/>
      <w:r w:rsidRPr="00AC118E">
        <w:rPr>
          <w:rFonts w:ascii="Arial" w:hAnsi="Arial" w:cs="Arial"/>
          <w:sz w:val="18"/>
          <w:szCs w:val="18"/>
          <w:vertAlign w:val="superscript"/>
        </w:rPr>
        <w:t>d</w:t>
      </w:r>
      <w:r w:rsidRPr="00AC118E">
        <w:rPr>
          <w:rFonts w:ascii="Arial" w:hAnsi="Arial" w:cs="Arial"/>
          <w:sz w:val="18"/>
          <w:szCs w:val="18"/>
        </w:rPr>
        <w:t>Odds</w:t>
      </w:r>
      <w:proofErr w:type="spellEnd"/>
      <w:r w:rsidRPr="00AC118E">
        <w:rPr>
          <w:rFonts w:ascii="Arial" w:hAnsi="Arial" w:cs="Arial"/>
          <w:sz w:val="18"/>
          <w:szCs w:val="18"/>
        </w:rPr>
        <w:t xml:space="preserve"> ratio adjusted for</w:t>
      </w:r>
      <w:r w:rsidR="00AC118E" w:rsidRPr="00AC118E">
        <w:rPr>
          <w:rFonts w:ascii="Arial" w:hAnsi="Arial" w:cs="Arial"/>
          <w:sz w:val="18"/>
          <w:szCs w:val="18"/>
        </w:rPr>
        <w:t xml:space="preserve"> maternal</w:t>
      </w:r>
      <w:r w:rsidRPr="00AC118E">
        <w:rPr>
          <w:rFonts w:ascii="Arial" w:hAnsi="Arial" w:cs="Arial"/>
          <w:sz w:val="18"/>
          <w:szCs w:val="18"/>
        </w:rPr>
        <w:t xml:space="preserve"> age, parity group, area of residence, and </w:t>
      </w:r>
      <w:r w:rsidR="00AC118E" w:rsidRPr="00AC118E">
        <w:rPr>
          <w:rFonts w:ascii="Arial" w:hAnsi="Arial" w:cs="Arial"/>
          <w:sz w:val="18"/>
          <w:szCs w:val="18"/>
        </w:rPr>
        <w:t xml:space="preserve">operation </w:t>
      </w:r>
      <w:r w:rsidRPr="00AC118E">
        <w:rPr>
          <w:rFonts w:ascii="Arial" w:hAnsi="Arial" w:cs="Arial"/>
          <w:sz w:val="18"/>
          <w:szCs w:val="18"/>
        </w:rPr>
        <w:t>day (N=755).</w:t>
      </w:r>
    </w:p>
    <w:p w14:paraId="2881BCD7" w14:textId="77777777" w:rsidR="004C57F0" w:rsidRPr="00AC118E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AC118E">
        <w:rPr>
          <w:rFonts w:ascii="Arial" w:hAnsi="Arial" w:cs="Arial"/>
          <w:b/>
          <w:bCs/>
          <w:sz w:val="18"/>
          <w:szCs w:val="18"/>
        </w:rPr>
        <w:t>*</w:t>
      </w:r>
      <w:r w:rsidRPr="00AC118E">
        <w:rPr>
          <w:rFonts w:ascii="Arial" w:hAnsi="Arial" w:cs="Arial"/>
          <w:sz w:val="18"/>
          <w:szCs w:val="18"/>
        </w:rPr>
        <w:t>Percentages may not add up to 100.0% due to rounding and missing data.</w:t>
      </w:r>
    </w:p>
    <w:p w14:paraId="143659C0" w14:textId="77777777" w:rsidR="004C57F0" w:rsidRPr="003743F3" w:rsidRDefault="004C57F0" w:rsidP="004C57F0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41DE5D5" w14:textId="46ED4C32" w:rsidR="004C57F0" w:rsidRPr="00CB6B64" w:rsidRDefault="004C57F0" w:rsidP="004C57F0">
      <w:pPr>
        <w:pStyle w:val="Caption"/>
        <w:spacing w:after="0"/>
        <w:contextualSpacing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r w:rsidRPr="00CB6B64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lastRenderedPageBreak/>
        <w:t>Table</w:t>
      </w: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 5</w:t>
      </w:r>
      <w:r w:rsidRPr="00CB6B64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:</w:t>
      </w:r>
      <w:r w:rsidRPr="00CB6B6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3226E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 xml:space="preserve">Adjusted </w:t>
      </w:r>
      <w:r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associations between surgeons’ cadre, theatre location, and interns’ presence and prolonged DDI.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275"/>
        <w:gridCol w:w="1842"/>
        <w:gridCol w:w="1559"/>
      </w:tblGrid>
      <w:tr w:rsidR="004C57F0" w:rsidRPr="003743F3" w14:paraId="051F0FB3" w14:textId="77777777" w:rsidTr="009441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shd w:val="clear" w:color="auto" w:fill="auto"/>
          </w:tcPr>
          <w:p w14:paraId="0A06D002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558" w:type="dxa"/>
            <w:shd w:val="clear" w:color="auto" w:fill="auto"/>
          </w:tcPr>
          <w:p w14:paraId="426695F9" w14:textId="77777777" w:rsidR="004C57F0" w:rsidRPr="003743F3" w:rsidRDefault="004C57F0" w:rsidP="009441A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7494429A" w14:textId="77777777" w:rsidR="004C57F0" w:rsidRPr="003743F3" w:rsidRDefault="004C57F0" w:rsidP="009441A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76CC0348" w14:textId="77777777" w:rsidR="004C57F0" w:rsidRPr="003743F3" w:rsidRDefault="004C57F0" w:rsidP="009441A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(95% CI)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75" w:type="dxa"/>
            <w:shd w:val="clear" w:color="auto" w:fill="auto"/>
          </w:tcPr>
          <w:p w14:paraId="0BA6CC62" w14:textId="77777777" w:rsidR="004C57F0" w:rsidRPr="003743F3" w:rsidRDefault="004C57F0" w:rsidP="009441A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p-value</w:t>
            </w:r>
          </w:p>
        </w:tc>
        <w:tc>
          <w:tcPr>
            <w:tcW w:w="1842" w:type="dxa"/>
            <w:shd w:val="clear" w:color="auto" w:fill="auto"/>
          </w:tcPr>
          <w:p w14:paraId="18FB7C62" w14:textId="77777777" w:rsidR="004C57F0" w:rsidRPr="003743F3" w:rsidRDefault="004C57F0" w:rsidP="009441A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02DF7899" w14:textId="77777777" w:rsidR="004C57F0" w:rsidRPr="003743F3" w:rsidRDefault="004C57F0" w:rsidP="009441A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(95% CI)</w:t>
            </w:r>
          </w:p>
        </w:tc>
        <w:tc>
          <w:tcPr>
            <w:tcW w:w="1559" w:type="dxa"/>
            <w:shd w:val="clear" w:color="auto" w:fill="auto"/>
          </w:tcPr>
          <w:p w14:paraId="52223383" w14:textId="77777777" w:rsidR="004C57F0" w:rsidRPr="003743F3" w:rsidRDefault="004C57F0" w:rsidP="009441A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p-valueꝉ</w:t>
            </w:r>
          </w:p>
        </w:tc>
      </w:tr>
      <w:tr w:rsidR="004C57F0" w:rsidRPr="003743F3" w14:paraId="2BF45150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 w:val="restart"/>
            <w:shd w:val="clear" w:color="auto" w:fill="auto"/>
          </w:tcPr>
          <w:p w14:paraId="13A9E7C0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Surgeon’s cadreꝉ</w:t>
            </w:r>
          </w:p>
        </w:tc>
        <w:tc>
          <w:tcPr>
            <w:tcW w:w="1558" w:type="dxa"/>
            <w:shd w:val="clear" w:color="auto" w:fill="auto"/>
          </w:tcPr>
          <w:p w14:paraId="782C5A2F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Senior</w:t>
            </w:r>
            <w:r w:rsidRPr="003743F3">
              <w:rPr>
                <w:rFonts w:ascii="Arial" w:hAnsi="Arial" w:cs="Arial"/>
                <w:sz w:val="18"/>
                <w:szCs w:val="18"/>
              </w:rPr>
              <w:t xml:space="preserve"> doctor</w:t>
            </w:r>
          </w:p>
        </w:tc>
        <w:tc>
          <w:tcPr>
            <w:tcW w:w="1558" w:type="dxa"/>
            <w:shd w:val="clear" w:color="auto" w:fill="auto"/>
          </w:tcPr>
          <w:p w14:paraId="588CA812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718A311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842" w:type="dxa"/>
            <w:shd w:val="clear" w:color="auto" w:fill="auto"/>
          </w:tcPr>
          <w:p w14:paraId="7734858F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4F4BC9B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0.002</w:t>
            </w:r>
          </w:p>
        </w:tc>
      </w:tr>
      <w:tr w:rsidR="004C57F0" w:rsidRPr="003743F3" w14:paraId="0020AC29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/>
            <w:shd w:val="clear" w:color="auto" w:fill="auto"/>
          </w:tcPr>
          <w:p w14:paraId="56E03D15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7394325B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Junior</w:t>
            </w:r>
          </w:p>
        </w:tc>
        <w:tc>
          <w:tcPr>
            <w:tcW w:w="1558" w:type="dxa"/>
            <w:shd w:val="clear" w:color="auto" w:fill="auto"/>
          </w:tcPr>
          <w:p w14:paraId="175CC433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2.35 (1.64-3.36)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CDF84CF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5F6E074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2.00 (1.30-3.09)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d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0D8127" w14:textId="77777777" w:rsidR="004C57F0" w:rsidRPr="003743F3" w:rsidRDefault="004C57F0" w:rsidP="009441A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7F0" w:rsidRPr="003743F3" w14:paraId="0402DA1C" w14:textId="77777777" w:rsidTr="00944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 w:val="restart"/>
            <w:shd w:val="clear" w:color="auto" w:fill="auto"/>
          </w:tcPr>
          <w:p w14:paraId="00793F18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743F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Theatre </w:t>
            </w:r>
          </w:p>
        </w:tc>
        <w:tc>
          <w:tcPr>
            <w:tcW w:w="1558" w:type="dxa"/>
            <w:shd w:val="clear" w:color="auto" w:fill="auto"/>
          </w:tcPr>
          <w:p w14:paraId="467636EA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Main</w:t>
            </w:r>
          </w:p>
        </w:tc>
        <w:tc>
          <w:tcPr>
            <w:tcW w:w="1558" w:type="dxa"/>
            <w:shd w:val="clear" w:color="auto" w:fill="auto"/>
          </w:tcPr>
          <w:p w14:paraId="402583E4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A41888F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0.91</w:t>
            </w:r>
          </w:p>
        </w:tc>
        <w:tc>
          <w:tcPr>
            <w:tcW w:w="1842" w:type="dxa"/>
            <w:shd w:val="clear" w:color="auto" w:fill="auto"/>
          </w:tcPr>
          <w:p w14:paraId="3F20C1C5" w14:textId="77777777" w:rsidR="004C57F0" w:rsidRPr="003743F3" w:rsidRDefault="004C57F0" w:rsidP="009441A1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B68B17" w14:textId="77777777" w:rsidR="004C57F0" w:rsidRPr="003743F3" w:rsidRDefault="004C57F0" w:rsidP="009441A1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0.67</w:t>
            </w:r>
          </w:p>
        </w:tc>
      </w:tr>
      <w:tr w:rsidR="004C57F0" w:rsidRPr="003743F3" w14:paraId="5B9B85FC" w14:textId="77777777" w:rsidTr="00944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vMerge/>
            <w:shd w:val="clear" w:color="auto" w:fill="auto"/>
          </w:tcPr>
          <w:p w14:paraId="7C761519" w14:textId="77777777" w:rsidR="004C57F0" w:rsidRPr="003743F3" w:rsidRDefault="004C57F0" w:rsidP="009441A1">
            <w:pPr>
              <w:contextualSpacing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14:paraId="5914515F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Labour-</w:t>
            </w:r>
            <w:r>
              <w:rPr>
                <w:rFonts w:ascii="Arial" w:hAnsi="Arial" w:cs="Arial"/>
                <w:sz w:val="18"/>
                <w:szCs w:val="18"/>
              </w:rPr>
              <w:t>suite</w:t>
            </w:r>
          </w:p>
        </w:tc>
        <w:tc>
          <w:tcPr>
            <w:tcW w:w="1558" w:type="dxa"/>
            <w:shd w:val="clear" w:color="auto" w:fill="auto"/>
          </w:tcPr>
          <w:p w14:paraId="7B829BED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0.98 (0.69-1.39)</w:t>
            </w:r>
          </w:p>
        </w:tc>
        <w:tc>
          <w:tcPr>
            <w:tcW w:w="1275" w:type="dxa"/>
            <w:vMerge/>
            <w:shd w:val="clear" w:color="auto" w:fill="auto"/>
          </w:tcPr>
          <w:p w14:paraId="5CA4BAF2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6A4CCD3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743F3">
              <w:rPr>
                <w:rFonts w:ascii="Arial" w:hAnsi="Arial" w:cs="Arial"/>
                <w:sz w:val="18"/>
                <w:szCs w:val="18"/>
              </w:rPr>
              <w:t>0.91 (0.59-1.41)</w:t>
            </w:r>
            <w:r w:rsidRPr="003743F3">
              <w:rPr>
                <w:rFonts w:ascii="Arial" w:hAnsi="Arial" w:cs="Arial"/>
                <w:sz w:val="18"/>
                <w:szCs w:val="18"/>
                <w:vertAlign w:val="superscript"/>
              </w:rPr>
              <w:t>e</w:t>
            </w:r>
          </w:p>
        </w:tc>
        <w:tc>
          <w:tcPr>
            <w:tcW w:w="1559" w:type="dxa"/>
            <w:vMerge/>
            <w:shd w:val="clear" w:color="auto" w:fill="auto"/>
          </w:tcPr>
          <w:p w14:paraId="6B529E9B" w14:textId="77777777" w:rsidR="004C57F0" w:rsidRPr="003743F3" w:rsidRDefault="004C57F0" w:rsidP="009441A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70011D" w14:textId="77777777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3743F3">
        <w:rPr>
          <w:rFonts w:ascii="Arial" w:hAnsi="Arial" w:cs="Arial"/>
          <w:b/>
          <w:bCs/>
          <w:sz w:val="18"/>
          <w:szCs w:val="18"/>
        </w:rPr>
        <w:t>Abbreviations:</w:t>
      </w:r>
      <w:r w:rsidRPr="003743F3">
        <w:rPr>
          <w:rFonts w:ascii="Arial" w:hAnsi="Arial" w:cs="Arial"/>
          <w:sz w:val="18"/>
          <w:szCs w:val="18"/>
        </w:rPr>
        <w:t xml:space="preserve"> DDI, decision-to-delivery interval; OR, odds ratio; CI, confidence interval.</w:t>
      </w:r>
    </w:p>
    <w:p w14:paraId="7BE7BD4D" w14:textId="77777777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3743F3">
        <w:rPr>
          <w:rFonts w:ascii="Arial" w:hAnsi="Arial" w:cs="Arial"/>
          <w:b/>
          <w:bCs/>
          <w:sz w:val="18"/>
          <w:szCs w:val="18"/>
        </w:rPr>
        <w:t>ꝉ</w:t>
      </w:r>
      <w:r w:rsidRPr="003743F3">
        <w:rPr>
          <w:rFonts w:ascii="Arial" w:hAnsi="Arial" w:cs="Arial"/>
          <w:sz w:val="18"/>
          <w:szCs w:val="18"/>
        </w:rPr>
        <w:t>Likelihood ratio p-values</w:t>
      </w:r>
    </w:p>
    <w:p w14:paraId="04563846" w14:textId="15AEEBC6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proofErr w:type="spellStart"/>
      <w:r w:rsidRPr="003743F3">
        <w:rPr>
          <w:rFonts w:ascii="Arial" w:hAnsi="Arial" w:cs="Arial"/>
          <w:sz w:val="18"/>
          <w:szCs w:val="18"/>
          <w:vertAlign w:val="superscript"/>
        </w:rPr>
        <w:t>b</w:t>
      </w:r>
      <w:r w:rsidRPr="003743F3">
        <w:rPr>
          <w:rFonts w:ascii="Arial" w:hAnsi="Arial" w:cs="Arial"/>
          <w:sz w:val="18"/>
          <w:szCs w:val="18"/>
        </w:rPr>
        <w:t>Odds</w:t>
      </w:r>
      <w:proofErr w:type="spellEnd"/>
      <w:r w:rsidRPr="003743F3">
        <w:rPr>
          <w:rFonts w:ascii="Arial" w:hAnsi="Arial" w:cs="Arial"/>
          <w:sz w:val="18"/>
          <w:szCs w:val="18"/>
        </w:rPr>
        <w:t xml:space="preserve"> ratio adjusted for </w:t>
      </w:r>
      <w:r w:rsidR="00AC118E">
        <w:rPr>
          <w:rFonts w:ascii="Arial" w:hAnsi="Arial" w:cs="Arial"/>
          <w:sz w:val="18"/>
          <w:szCs w:val="18"/>
        </w:rPr>
        <w:t xml:space="preserve">maternal </w:t>
      </w:r>
      <w:r w:rsidRPr="003743F3">
        <w:rPr>
          <w:rFonts w:ascii="Arial" w:hAnsi="Arial" w:cs="Arial"/>
          <w:sz w:val="18"/>
          <w:szCs w:val="18"/>
        </w:rPr>
        <w:t>age</w:t>
      </w:r>
    </w:p>
    <w:p w14:paraId="7AB98E4C" w14:textId="6DBE024D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proofErr w:type="spellStart"/>
      <w:r w:rsidRPr="003743F3">
        <w:rPr>
          <w:rFonts w:ascii="Arial" w:hAnsi="Arial" w:cs="Arial"/>
          <w:sz w:val="18"/>
          <w:szCs w:val="18"/>
          <w:vertAlign w:val="superscript"/>
        </w:rPr>
        <w:t>c</w:t>
      </w:r>
      <w:r w:rsidRPr="003743F3">
        <w:rPr>
          <w:rFonts w:ascii="Arial" w:hAnsi="Arial" w:cs="Arial"/>
          <w:sz w:val="18"/>
          <w:szCs w:val="18"/>
        </w:rPr>
        <w:t>Odds</w:t>
      </w:r>
      <w:proofErr w:type="spellEnd"/>
      <w:r w:rsidRPr="003743F3">
        <w:rPr>
          <w:rFonts w:ascii="Arial" w:hAnsi="Arial" w:cs="Arial"/>
          <w:sz w:val="18"/>
          <w:szCs w:val="18"/>
        </w:rPr>
        <w:t xml:space="preserve"> ratio adjusted for </w:t>
      </w:r>
      <w:r w:rsidR="00AC118E">
        <w:rPr>
          <w:rFonts w:ascii="Arial" w:hAnsi="Arial" w:cs="Arial"/>
          <w:sz w:val="18"/>
          <w:szCs w:val="18"/>
        </w:rPr>
        <w:t xml:space="preserve">maternal </w:t>
      </w:r>
      <w:r w:rsidRPr="003743F3">
        <w:rPr>
          <w:rFonts w:ascii="Arial" w:hAnsi="Arial" w:cs="Arial"/>
          <w:sz w:val="18"/>
          <w:szCs w:val="18"/>
        </w:rPr>
        <w:t xml:space="preserve">age, presence of </w:t>
      </w:r>
      <w:r>
        <w:rPr>
          <w:rFonts w:ascii="Arial" w:hAnsi="Arial" w:cs="Arial"/>
          <w:sz w:val="18"/>
          <w:szCs w:val="18"/>
        </w:rPr>
        <w:t>junior</w:t>
      </w:r>
      <w:r w:rsidRPr="003743F3">
        <w:rPr>
          <w:rFonts w:ascii="Arial" w:hAnsi="Arial" w:cs="Arial"/>
          <w:sz w:val="18"/>
          <w:szCs w:val="18"/>
        </w:rPr>
        <w:t xml:space="preserve">s, indication of emergency caesarean section, cadre of the surgeon, parity group, </w:t>
      </w:r>
      <w:r w:rsidR="00AC118E">
        <w:rPr>
          <w:rFonts w:ascii="Arial" w:hAnsi="Arial" w:cs="Arial"/>
          <w:sz w:val="18"/>
          <w:szCs w:val="18"/>
        </w:rPr>
        <w:t>staff</w:t>
      </w:r>
      <w:r w:rsidRPr="003743F3">
        <w:rPr>
          <w:rFonts w:ascii="Arial" w:hAnsi="Arial" w:cs="Arial"/>
          <w:sz w:val="18"/>
          <w:szCs w:val="18"/>
        </w:rPr>
        <w:t xml:space="preserve"> shift, </w:t>
      </w:r>
      <w:r w:rsidR="00AC118E">
        <w:rPr>
          <w:rFonts w:ascii="Arial" w:hAnsi="Arial" w:cs="Arial"/>
          <w:sz w:val="18"/>
          <w:szCs w:val="18"/>
        </w:rPr>
        <w:t>operation</w:t>
      </w:r>
      <w:r w:rsidRPr="003743F3">
        <w:rPr>
          <w:rFonts w:ascii="Arial" w:hAnsi="Arial" w:cs="Arial"/>
          <w:sz w:val="18"/>
          <w:szCs w:val="18"/>
        </w:rPr>
        <w:t xml:space="preserve"> day, and area of residence (N=555).</w:t>
      </w:r>
    </w:p>
    <w:p w14:paraId="3B94F4A4" w14:textId="4C9EDED6" w:rsidR="004C57F0" w:rsidRPr="003743F3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proofErr w:type="spellStart"/>
      <w:r w:rsidRPr="003743F3">
        <w:rPr>
          <w:rFonts w:ascii="Arial" w:hAnsi="Arial" w:cs="Arial"/>
          <w:sz w:val="18"/>
          <w:szCs w:val="18"/>
          <w:vertAlign w:val="superscript"/>
        </w:rPr>
        <w:t>d</w:t>
      </w:r>
      <w:r w:rsidRPr="003743F3">
        <w:rPr>
          <w:rFonts w:ascii="Arial" w:hAnsi="Arial" w:cs="Arial"/>
          <w:sz w:val="18"/>
          <w:szCs w:val="18"/>
        </w:rPr>
        <w:t>Odds</w:t>
      </w:r>
      <w:proofErr w:type="spellEnd"/>
      <w:r w:rsidRPr="003743F3">
        <w:rPr>
          <w:rFonts w:ascii="Arial" w:hAnsi="Arial" w:cs="Arial"/>
          <w:sz w:val="18"/>
          <w:szCs w:val="18"/>
        </w:rPr>
        <w:t xml:space="preserve"> ratio adjusted for </w:t>
      </w:r>
      <w:r w:rsidR="00AC118E">
        <w:rPr>
          <w:rFonts w:ascii="Arial" w:hAnsi="Arial" w:cs="Arial"/>
          <w:sz w:val="18"/>
          <w:szCs w:val="18"/>
        </w:rPr>
        <w:t xml:space="preserve">maternal </w:t>
      </w:r>
      <w:r w:rsidRPr="003743F3">
        <w:rPr>
          <w:rFonts w:ascii="Arial" w:hAnsi="Arial" w:cs="Arial"/>
          <w:sz w:val="18"/>
          <w:szCs w:val="18"/>
        </w:rPr>
        <w:t xml:space="preserve">age, parity group, presence of </w:t>
      </w:r>
      <w:r w:rsidR="00AC118E">
        <w:rPr>
          <w:rFonts w:ascii="Arial" w:hAnsi="Arial" w:cs="Arial"/>
          <w:sz w:val="18"/>
          <w:szCs w:val="18"/>
        </w:rPr>
        <w:t>interns</w:t>
      </w:r>
      <w:r w:rsidRPr="003743F3">
        <w:rPr>
          <w:rFonts w:ascii="Arial" w:hAnsi="Arial" w:cs="Arial"/>
          <w:sz w:val="18"/>
          <w:szCs w:val="18"/>
        </w:rPr>
        <w:t xml:space="preserve">, gestational age, </w:t>
      </w:r>
      <w:r w:rsidR="00AC118E">
        <w:rPr>
          <w:rFonts w:ascii="Arial" w:hAnsi="Arial" w:cs="Arial"/>
          <w:sz w:val="18"/>
          <w:szCs w:val="18"/>
        </w:rPr>
        <w:t>operation</w:t>
      </w:r>
      <w:r w:rsidRPr="003743F3">
        <w:rPr>
          <w:rFonts w:ascii="Arial" w:hAnsi="Arial" w:cs="Arial"/>
          <w:sz w:val="18"/>
          <w:szCs w:val="18"/>
        </w:rPr>
        <w:t xml:space="preserve"> day, and </w:t>
      </w:r>
      <w:r w:rsidR="00AC118E">
        <w:rPr>
          <w:rFonts w:ascii="Arial" w:hAnsi="Arial" w:cs="Arial"/>
          <w:sz w:val="18"/>
          <w:szCs w:val="18"/>
        </w:rPr>
        <w:t>staff</w:t>
      </w:r>
      <w:r w:rsidRPr="003743F3">
        <w:rPr>
          <w:rFonts w:ascii="Arial" w:hAnsi="Arial" w:cs="Arial"/>
          <w:sz w:val="18"/>
          <w:szCs w:val="18"/>
        </w:rPr>
        <w:t xml:space="preserve"> shift (N=487).</w:t>
      </w:r>
    </w:p>
    <w:p w14:paraId="5C7A1B4E" w14:textId="60E2723B" w:rsidR="004C57F0" w:rsidRPr="00953DF5" w:rsidRDefault="004C57F0" w:rsidP="004C57F0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proofErr w:type="spellStart"/>
      <w:r w:rsidRPr="003743F3">
        <w:rPr>
          <w:rFonts w:ascii="Arial" w:hAnsi="Arial" w:cs="Arial"/>
          <w:sz w:val="18"/>
          <w:szCs w:val="18"/>
          <w:vertAlign w:val="superscript"/>
        </w:rPr>
        <w:t>e</w:t>
      </w:r>
      <w:r w:rsidRPr="003743F3">
        <w:rPr>
          <w:rFonts w:ascii="Arial" w:hAnsi="Arial" w:cs="Arial"/>
          <w:sz w:val="18"/>
          <w:szCs w:val="18"/>
        </w:rPr>
        <w:t>Odds</w:t>
      </w:r>
      <w:proofErr w:type="spellEnd"/>
      <w:r w:rsidRPr="003743F3">
        <w:rPr>
          <w:rFonts w:ascii="Arial" w:hAnsi="Arial" w:cs="Arial"/>
          <w:sz w:val="18"/>
          <w:szCs w:val="18"/>
        </w:rPr>
        <w:t xml:space="preserve"> ratio adjusted for </w:t>
      </w:r>
      <w:r w:rsidR="00AC118E">
        <w:rPr>
          <w:rFonts w:ascii="Arial" w:hAnsi="Arial" w:cs="Arial"/>
          <w:sz w:val="18"/>
          <w:szCs w:val="18"/>
        </w:rPr>
        <w:t xml:space="preserve">maternal </w:t>
      </w:r>
      <w:r w:rsidRPr="003743F3">
        <w:rPr>
          <w:rFonts w:ascii="Arial" w:hAnsi="Arial" w:cs="Arial"/>
          <w:sz w:val="18"/>
          <w:szCs w:val="18"/>
        </w:rPr>
        <w:t xml:space="preserve">age, parity group, gestational age, indication of emergency caesarean section, area of residence, and </w:t>
      </w:r>
      <w:r w:rsidR="00AC118E">
        <w:rPr>
          <w:rFonts w:ascii="Arial" w:hAnsi="Arial" w:cs="Arial"/>
          <w:sz w:val="18"/>
          <w:szCs w:val="18"/>
        </w:rPr>
        <w:t>operation</w:t>
      </w:r>
      <w:r w:rsidRPr="003743F3">
        <w:rPr>
          <w:rFonts w:ascii="Arial" w:hAnsi="Arial" w:cs="Arial"/>
          <w:sz w:val="18"/>
          <w:szCs w:val="18"/>
        </w:rPr>
        <w:t xml:space="preserve"> day (N=559).</w:t>
      </w:r>
    </w:p>
    <w:p w14:paraId="53767679" w14:textId="77777777" w:rsidR="004C41DC" w:rsidRDefault="004C41DC"/>
    <w:sectPr w:rsidR="004C41DC" w:rsidSect="004C57F0">
      <w:footerReference w:type="default" r:id="rId6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E9D80" w14:textId="77777777" w:rsidR="00617D31" w:rsidRDefault="00617D31">
      <w:pPr>
        <w:spacing w:after="0" w:line="240" w:lineRule="auto"/>
      </w:pPr>
      <w:r>
        <w:separator/>
      </w:r>
    </w:p>
  </w:endnote>
  <w:endnote w:type="continuationSeparator" w:id="0">
    <w:p w14:paraId="06944FF8" w14:textId="77777777" w:rsidR="00617D31" w:rsidRDefault="0061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0024963"/>
      <w:docPartObj>
        <w:docPartGallery w:val="Page Numbers (Bottom of Page)"/>
        <w:docPartUnique/>
      </w:docPartObj>
    </w:sdtPr>
    <w:sdtContent>
      <w:p w14:paraId="3A450B46" w14:textId="77777777" w:rsidR="007C5D79" w:rsidRPr="00562CF0" w:rsidRDefault="00000000">
        <w:pPr>
          <w:pStyle w:val="Footer"/>
          <w:jc w:val="right"/>
        </w:pPr>
        <w:r w:rsidRPr="00562CF0">
          <w:fldChar w:fldCharType="begin"/>
        </w:r>
        <w:r w:rsidRPr="00562CF0">
          <w:instrText xml:space="preserve"> PAGE   \* MERGEFORMAT </w:instrText>
        </w:r>
        <w:r w:rsidRPr="00562CF0">
          <w:fldChar w:fldCharType="separate"/>
        </w:r>
        <w:r w:rsidRPr="00562CF0">
          <w:t>2</w:t>
        </w:r>
        <w:r w:rsidRPr="00562CF0">
          <w:fldChar w:fldCharType="end"/>
        </w:r>
      </w:p>
    </w:sdtContent>
  </w:sdt>
  <w:p w14:paraId="05CE567F" w14:textId="77777777" w:rsidR="007C5D79" w:rsidRPr="00562CF0" w:rsidRDefault="007C5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74E6" w14:textId="77777777" w:rsidR="00617D31" w:rsidRDefault="00617D31">
      <w:pPr>
        <w:spacing w:after="0" w:line="240" w:lineRule="auto"/>
      </w:pPr>
      <w:r>
        <w:separator/>
      </w:r>
    </w:p>
  </w:footnote>
  <w:footnote w:type="continuationSeparator" w:id="0">
    <w:p w14:paraId="4E71D4A9" w14:textId="77777777" w:rsidR="00617D31" w:rsidRDefault="00617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F0"/>
    <w:rsid w:val="001750BD"/>
    <w:rsid w:val="00275817"/>
    <w:rsid w:val="004C41DC"/>
    <w:rsid w:val="004C57F0"/>
    <w:rsid w:val="00617D31"/>
    <w:rsid w:val="0063772F"/>
    <w:rsid w:val="006D5B32"/>
    <w:rsid w:val="006D6288"/>
    <w:rsid w:val="007C5D79"/>
    <w:rsid w:val="009E7F82"/>
    <w:rsid w:val="00AC118E"/>
    <w:rsid w:val="00AD7040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8C573"/>
  <w15:chartTrackingRefBased/>
  <w15:docId w15:val="{B3B0CD10-0AF9-419B-85B3-EC940A05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F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7F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7F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7F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7F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7F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7F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7F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7F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7F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C5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7F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7F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C5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7F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C57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7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7F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C57F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C5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7F0"/>
    <w:rPr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4C57F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PlainTable2">
    <w:name w:val="Plain Table 2"/>
    <w:basedOn w:val="TableNormal"/>
    <w:uiPriority w:val="42"/>
    <w:rsid w:val="004C57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C5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2620</Characters>
  <Application>Microsoft Office Word</Application>
  <DocSecurity>0</DocSecurity>
  <Lines>218</Lines>
  <Paragraphs>161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Ochola</dc:creator>
  <cp:keywords/>
  <dc:description/>
  <cp:lastModifiedBy>Henry Ochola</cp:lastModifiedBy>
  <cp:revision>3</cp:revision>
  <dcterms:created xsi:type="dcterms:W3CDTF">2025-04-20T18:41:00Z</dcterms:created>
  <dcterms:modified xsi:type="dcterms:W3CDTF">2025-04-26T19:56:00Z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c20bf5b1-ebcd-476c-9533-d9d5a29a08e9</vt:lpwstr>
  </property>
</Properties>
</file>