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7C1F1F" w14:textId="77777777" w:rsidR="002250F0" w:rsidRPr="00072714" w:rsidRDefault="002250F0" w:rsidP="002250F0">
      <w:pPr>
        <w:spacing w:line="360" w:lineRule="auto"/>
        <w:rPr>
          <w:rFonts w:ascii="Arial" w:hAnsi="Arial" w:cs="Arial"/>
          <w:b/>
        </w:rPr>
      </w:pPr>
      <w:r w:rsidRPr="00072714">
        <w:rPr>
          <w:rFonts w:ascii="Arial" w:hAnsi="Arial" w:cs="Arial"/>
          <w:b/>
        </w:rPr>
        <w:t>Supplementary Figures</w:t>
      </w:r>
    </w:p>
    <w:p w14:paraId="67C2D6EE" w14:textId="77777777" w:rsidR="002250F0" w:rsidRPr="00072714" w:rsidRDefault="002250F0" w:rsidP="002250F0">
      <w:pPr>
        <w:spacing w:line="360" w:lineRule="auto"/>
        <w:rPr>
          <w:rFonts w:ascii="Arial" w:hAnsi="Arial" w:cs="Arial"/>
          <w:b/>
        </w:rPr>
      </w:pPr>
    </w:p>
    <w:p w14:paraId="38BC4D2A" w14:textId="77777777" w:rsidR="002250F0" w:rsidRPr="00072714" w:rsidRDefault="002250F0" w:rsidP="002250F0">
      <w:pPr>
        <w:spacing w:line="360" w:lineRule="auto"/>
        <w:rPr>
          <w:rFonts w:ascii="Arial" w:hAnsi="Arial" w:cs="Arial"/>
          <w:b/>
        </w:rPr>
      </w:pPr>
    </w:p>
    <w:p w14:paraId="2AE922E5" w14:textId="77777777" w:rsidR="002250F0" w:rsidRPr="00A47E33" w:rsidRDefault="002250F0" w:rsidP="002250F0">
      <w:pPr>
        <w:spacing w:line="360" w:lineRule="auto"/>
        <w:rPr>
          <w:rFonts w:ascii="Arial" w:hAnsi="Arial" w:cs="Arial"/>
          <w:b/>
        </w:rPr>
      </w:pPr>
      <w:r w:rsidRPr="00A47E33">
        <w:rPr>
          <w:rFonts w:ascii="Arial" w:hAnsi="Arial" w:cs="Arial"/>
          <w:b/>
          <w:noProof/>
        </w:rPr>
        <w:drawing>
          <wp:inline distT="0" distB="0" distL="0" distR="0" wp14:anchorId="7F9F41F1" wp14:editId="31670AE7">
            <wp:extent cx="5731510" cy="3272790"/>
            <wp:effectExtent l="0" t="0" r="254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lottax_2208.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3272790"/>
                    </a:xfrm>
                    <a:prstGeom prst="rect">
                      <a:avLst/>
                    </a:prstGeom>
                  </pic:spPr>
                </pic:pic>
              </a:graphicData>
            </a:graphic>
          </wp:inline>
        </w:drawing>
      </w:r>
    </w:p>
    <w:p w14:paraId="4CEC6E7A" w14:textId="77777777" w:rsidR="002250F0" w:rsidRDefault="002250F0" w:rsidP="002250F0">
      <w:pPr>
        <w:spacing w:line="360" w:lineRule="auto"/>
        <w:rPr>
          <w:rFonts w:ascii="Arial" w:hAnsi="Arial" w:cs="Arial"/>
        </w:rPr>
      </w:pPr>
      <w:r w:rsidRPr="00001F77">
        <w:rPr>
          <w:rFonts w:ascii="Arial" w:hAnsi="Arial" w:cs="Arial"/>
          <w:b/>
        </w:rPr>
        <w:t xml:space="preserve">Supplementary Figure 1. Taxonomic diversity of the archaeal database. </w:t>
      </w:r>
      <w:r>
        <w:rPr>
          <w:rFonts w:ascii="Arial" w:hAnsi="Arial" w:cs="Arial"/>
          <w:bCs/>
        </w:rPr>
        <w:t xml:space="preserve">The taxonomic classification of genomes follows the phylogeny of the Genome Taxonomy Database (Rinke et al. 2021). </w:t>
      </w:r>
      <w:r w:rsidRPr="00001F77">
        <w:rPr>
          <w:rFonts w:ascii="Arial" w:hAnsi="Arial" w:cs="Arial"/>
        </w:rPr>
        <w:t>Bars are colored according to the phylum or superphylum to which they belong.</w:t>
      </w:r>
    </w:p>
    <w:p w14:paraId="25571C82" w14:textId="77777777" w:rsidR="002250F0" w:rsidRDefault="002250F0" w:rsidP="002250F0">
      <w:pPr>
        <w:spacing w:line="360" w:lineRule="auto"/>
        <w:rPr>
          <w:rFonts w:ascii="Arial" w:hAnsi="Arial" w:cs="Arial"/>
        </w:rPr>
      </w:pPr>
    </w:p>
    <w:p w14:paraId="19ED6711" w14:textId="77777777" w:rsidR="002250F0" w:rsidRDefault="002250F0" w:rsidP="002250F0">
      <w:pPr>
        <w:spacing w:line="360" w:lineRule="auto"/>
        <w:rPr>
          <w:rFonts w:ascii="Arial" w:hAnsi="Arial" w:cs="Arial"/>
        </w:rPr>
      </w:pPr>
    </w:p>
    <w:p w14:paraId="4397C7B9" w14:textId="77777777" w:rsidR="002250F0" w:rsidRDefault="002250F0" w:rsidP="002250F0">
      <w:pPr>
        <w:spacing w:line="360" w:lineRule="auto"/>
        <w:rPr>
          <w:rFonts w:ascii="Arial" w:hAnsi="Arial" w:cs="Arial"/>
        </w:rPr>
      </w:pPr>
    </w:p>
    <w:p w14:paraId="30D5E82A" w14:textId="77777777" w:rsidR="002250F0" w:rsidRDefault="002250F0" w:rsidP="002250F0">
      <w:pPr>
        <w:spacing w:line="360" w:lineRule="auto"/>
        <w:rPr>
          <w:rFonts w:ascii="Arial" w:hAnsi="Arial" w:cs="Arial"/>
        </w:rPr>
      </w:pPr>
    </w:p>
    <w:p w14:paraId="19385293" w14:textId="77777777" w:rsidR="002250F0" w:rsidRPr="00CE2657" w:rsidRDefault="002250F0" w:rsidP="002250F0">
      <w:pPr>
        <w:spacing w:line="360" w:lineRule="auto"/>
        <w:rPr>
          <w:rFonts w:ascii="Arial" w:hAnsi="Arial" w:cs="Arial"/>
        </w:rPr>
      </w:pPr>
    </w:p>
    <w:p w14:paraId="20C4978A" w14:textId="77777777" w:rsidR="002250F0" w:rsidRPr="00A47E33" w:rsidRDefault="002250F0" w:rsidP="002250F0">
      <w:pPr>
        <w:spacing w:line="360" w:lineRule="auto"/>
        <w:rPr>
          <w:rFonts w:ascii="Arial" w:hAnsi="Arial" w:cs="Arial"/>
          <w:b/>
        </w:rPr>
      </w:pPr>
    </w:p>
    <w:p w14:paraId="30F63D36" w14:textId="77777777" w:rsidR="002250F0" w:rsidRDefault="002250F0" w:rsidP="002250F0">
      <w:pPr>
        <w:spacing w:line="360" w:lineRule="auto"/>
        <w:rPr>
          <w:rFonts w:ascii="Arial" w:hAnsi="Arial" w:cs="Arial"/>
          <w:b/>
          <w:noProof/>
        </w:rPr>
      </w:pPr>
    </w:p>
    <w:p w14:paraId="7196FD4E" w14:textId="77777777" w:rsidR="002250F0" w:rsidRDefault="002250F0" w:rsidP="002250F0">
      <w:pPr>
        <w:spacing w:line="360" w:lineRule="auto"/>
        <w:rPr>
          <w:rFonts w:ascii="Arial" w:hAnsi="Arial" w:cs="Arial"/>
          <w:b/>
          <w:noProof/>
        </w:rPr>
      </w:pPr>
    </w:p>
    <w:p w14:paraId="48809E7C" w14:textId="77777777" w:rsidR="002250F0" w:rsidRDefault="002250F0" w:rsidP="002250F0">
      <w:pPr>
        <w:spacing w:line="360" w:lineRule="auto"/>
        <w:rPr>
          <w:rFonts w:ascii="Arial" w:hAnsi="Arial" w:cs="Arial"/>
          <w:b/>
          <w:noProof/>
        </w:rPr>
      </w:pPr>
    </w:p>
    <w:p w14:paraId="094CCC59" w14:textId="77777777" w:rsidR="002250F0" w:rsidRPr="00A47E33" w:rsidRDefault="002250F0" w:rsidP="002250F0">
      <w:pPr>
        <w:spacing w:line="360" w:lineRule="auto"/>
        <w:rPr>
          <w:rFonts w:ascii="Arial" w:hAnsi="Arial" w:cs="Arial"/>
          <w:b/>
        </w:rPr>
      </w:pPr>
    </w:p>
    <w:p w14:paraId="624828E1" w14:textId="77777777" w:rsidR="002250F0" w:rsidRPr="008D3575" w:rsidRDefault="002250F0" w:rsidP="002250F0">
      <w:pPr>
        <w:spacing w:line="360" w:lineRule="auto"/>
        <w:jc w:val="both"/>
        <w:rPr>
          <w:rFonts w:ascii="Arial" w:eastAsiaTheme="minorHAnsi" w:hAnsi="Arial" w:cs="Arial"/>
        </w:rPr>
      </w:pPr>
      <w:r w:rsidRPr="008D3575">
        <w:rPr>
          <w:rFonts w:ascii="Arial" w:eastAsiaTheme="minorHAnsi" w:hAnsi="Arial" w:cs="Arial"/>
          <w:b/>
        </w:rPr>
        <w:t xml:space="preserve">Supplementary Figure 2. Phylogeny of archaeal type-II CRISPR-Cas systems identified by CRISPR-Cas Typer. </w:t>
      </w:r>
      <w:r w:rsidRPr="008D3575">
        <w:rPr>
          <w:rFonts w:ascii="Arial" w:eastAsiaTheme="minorHAnsi" w:hAnsi="Arial" w:cs="Arial"/>
        </w:rPr>
        <w:t xml:space="preserve">Proteins from the archaeal database are indicated in black and representative sequences of the previously characterized Cas9 subtypes (II-A to II-D) or IscB elements are shown in color. Sequences belonging to OMEGA clades (Altae-Tran </w:t>
      </w:r>
      <w:r>
        <w:rPr>
          <w:rFonts w:ascii="Arial" w:eastAsiaTheme="minorHAnsi" w:hAnsi="Arial" w:cs="Arial"/>
        </w:rPr>
        <w:t>et al. 20</w:t>
      </w:r>
      <w:r w:rsidRPr="008D3575">
        <w:rPr>
          <w:rFonts w:ascii="Arial" w:eastAsiaTheme="minorHAnsi" w:hAnsi="Arial" w:cs="Arial"/>
        </w:rPr>
        <w:t>21, Aliaga</w:t>
      </w:r>
      <w:r w:rsidRPr="008D3575">
        <w:rPr>
          <w:rFonts w:ascii="Arial" w:eastAsiaTheme="minorHAnsi" w:hAnsi="Arial" w:cs="Arial"/>
          <w:b/>
          <w:noProof/>
        </w:rPr>
        <w:drawing>
          <wp:anchor distT="0" distB="0" distL="114300" distR="114300" simplePos="0" relativeHeight="251659264" behindDoc="0" locked="0" layoutInCell="1" allowOverlap="1" wp14:anchorId="0DE01E12" wp14:editId="69EE566D">
            <wp:simplePos x="0" y="0"/>
            <wp:positionH relativeFrom="column">
              <wp:posOffset>784860</wp:posOffset>
            </wp:positionH>
            <wp:positionV relativeFrom="paragraph">
              <wp:posOffset>0</wp:posOffset>
            </wp:positionV>
            <wp:extent cx="4107180" cy="3270885"/>
            <wp:effectExtent l="0" t="0" r="7620" b="571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s9TreeNNF3.png"/>
                    <pic:cNvPicPr/>
                  </pic:nvPicPr>
                  <pic:blipFill rotWithShape="1">
                    <a:blip r:embed="rId5" cstate="print">
                      <a:extLst>
                        <a:ext uri="{28A0092B-C50C-407E-A947-70E740481C1C}">
                          <a14:useLocalDpi xmlns:a14="http://schemas.microsoft.com/office/drawing/2010/main" val="0"/>
                        </a:ext>
                      </a:extLst>
                    </a:blip>
                    <a:srcRect l="19093" t="32027" r="17328" b="38349"/>
                    <a:stretch/>
                  </pic:blipFill>
                  <pic:spPr bwMode="auto">
                    <a:xfrm>
                      <a:off x="0" y="0"/>
                      <a:ext cx="4107180" cy="3270885"/>
                    </a:xfrm>
                    <a:prstGeom prst="rect">
                      <a:avLst/>
                    </a:prstGeom>
                    <a:ln>
                      <a:noFill/>
                    </a:ln>
                    <a:extLst>
                      <a:ext uri="{53640926-AAD7-44D8-BBD7-CCE9431645EC}">
                        <a14:shadowObscured xmlns:a14="http://schemas.microsoft.com/office/drawing/2010/main"/>
                      </a:ext>
                    </a:extLst>
                  </pic:spPr>
                </pic:pic>
              </a:graphicData>
            </a:graphic>
          </wp:anchor>
        </w:drawing>
      </w:r>
      <w:r>
        <w:rPr>
          <w:rFonts w:ascii="Arial" w:eastAsiaTheme="minorHAnsi" w:hAnsi="Arial" w:cs="Arial"/>
        </w:rPr>
        <w:t>-</w:t>
      </w:r>
      <w:r w:rsidRPr="008D3575">
        <w:rPr>
          <w:rFonts w:ascii="Arial" w:eastAsiaTheme="minorHAnsi" w:hAnsi="Arial" w:cs="Arial"/>
        </w:rPr>
        <w:t xml:space="preserve">Goltsman </w:t>
      </w:r>
      <w:r>
        <w:rPr>
          <w:rFonts w:ascii="Arial" w:eastAsiaTheme="minorHAnsi" w:hAnsi="Arial" w:cs="Arial"/>
        </w:rPr>
        <w:t>et al. 20</w:t>
      </w:r>
      <w:r w:rsidRPr="008D3575">
        <w:rPr>
          <w:rFonts w:ascii="Arial" w:eastAsiaTheme="minorHAnsi" w:hAnsi="Arial" w:cs="Arial"/>
        </w:rPr>
        <w:t>22) are shaded in yellow.</w:t>
      </w:r>
      <w:r w:rsidRPr="008D3575">
        <w:rPr>
          <w:rFonts w:ascii="Arial" w:eastAsiaTheme="minorHAnsi" w:hAnsi="Arial" w:cs="Arial"/>
          <w:b/>
        </w:rPr>
        <w:t xml:space="preserve"> </w:t>
      </w:r>
      <w:r w:rsidRPr="008D3575">
        <w:rPr>
          <w:rFonts w:ascii="Arial" w:eastAsiaTheme="minorHAnsi" w:hAnsi="Arial" w:cs="Arial"/>
        </w:rPr>
        <w:t>Proteins identified as type II-D CRISPR-Cas effectors do not cluster with the known Cas9 subtypes and are likely OMEGA systems.</w:t>
      </w:r>
    </w:p>
    <w:p w14:paraId="05552293" w14:textId="77777777" w:rsidR="002250F0" w:rsidRPr="00A47E33" w:rsidRDefault="002250F0" w:rsidP="002250F0">
      <w:pPr>
        <w:spacing w:line="360" w:lineRule="auto"/>
        <w:rPr>
          <w:rFonts w:ascii="Arial" w:hAnsi="Arial" w:cs="Arial"/>
          <w:b/>
        </w:rPr>
      </w:pPr>
    </w:p>
    <w:p w14:paraId="2E1C04EB" w14:textId="77777777" w:rsidR="002250F0" w:rsidRDefault="002250F0" w:rsidP="002250F0">
      <w:pPr>
        <w:spacing w:line="360" w:lineRule="auto"/>
        <w:rPr>
          <w:rFonts w:ascii="Arial" w:hAnsi="Arial" w:cs="Arial"/>
          <w:b/>
          <w:noProof/>
        </w:rPr>
      </w:pPr>
    </w:p>
    <w:p w14:paraId="03F588F6" w14:textId="77777777" w:rsidR="002250F0" w:rsidRDefault="002250F0" w:rsidP="002250F0">
      <w:pPr>
        <w:spacing w:line="360" w:lineRule="auto"/>
        <w:rPr>
          <w:rFonts w:ascii="Arial" w:hAnsi="Arial" w:cs="Arial"/>
          <w:b/>
          <w:noProof/>
        </w:rPr>
      </w:pPr>
    </w:p>
    <w:p w14:paraId="7D93F3D2" w14:textId="77777777" w:rsidR="002250F0" w:rsidRDefault="002250F0" w:rsidP="002250F0">
      <w:pPr>
        <w:spacing w:line="360" w:lineRule="auto"/>
        <w:rPr>
          <w:rFonts w:ascii="Arial" w:hAnsi="Arial" w:cs="Arial"/>
          <w:b/>
          <w:noProof/>
        </w:rPr>
      </w:pPr>
    </w:p>
    <w:p w14:paraId="2FFDB0CF" w14:textId="77777777" w:rsidR="002250F0" w:rsidRDefault="002250F0" w:rsidP="002250F0">
      <w:pPr>
        <w:spacing w:line="360" w:lineRule="auto"/>
        <w:rPr>
          <w:rFonts w:ascii="Arial" w:hAnsi="Arial" w:cs="Arial"/>
          <w:b/>
          <w:noProof/>
        </w:rPr>
      </w:pPr>
    </w:p>
    <w:p w14:paraId="3274AFDF" w14:textId="77777777" w:rsidR="002250F0" w:rsidRPr="00A47E33" w:rsidRDefault="002250F0" w:rsidP="002250F0">
      <w:pPr>
        <w:spacing w:line="360" w:lineRule="auto"/>
        <w:rPr>
          <w:rFonts w:ascii="Arial" w:hAnsi="Arial" w:cs="Arial"/>
          <w:b/>
        </w:rPr>
      </w:pPr>
      <w:r>
        <w:rPr>
          <w:rFonts w:ascii="Arial" w:hAnsi="Arial" w:cs="Arial"/>
          <w:b/>
          <w:noProof/>
        </w:rPr>
        <w:lastRenderedPageBreak/>
        <w:drawing>
          <wp:inline distT="0" distB="0" distL="0" distR="0" wp14:anchorId="77769525" wp14:editId="04865B3E">
            <wp:extent cx="5107305" cy="886333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0425-SuppFig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107305" cy="8863330"/>
                    </a:xfrm>
                    <a:prstGeom prst="rect">
                      <a:avLst/>
                    </a:prstGeom>
                  </pic:spPr>
                </pic:pic>
              </a:graphicData>
            </a:graphic>
          </wp:inline>
        </w:drawing>
      </w:r>
    </w:p>
    <w:p w14:paraId="418BBA1B" w14:textId="77777777" w:rsidR="002250F0" w:rsidRPr="008D3575" w:rsidRDefault="002250F0" w:rsidP="002250F0">
      <w:pPr>
        <w:spacing w:line="360" w:lineRule="auto"/>
        <w:jc w:val="both"/>
        <w:rPr>
          <w:rFonts w:ascii="Arial" w:eastAsiaTheme="minorHAnsi" w:hAnsi="Arial" w:cs="Arial"/>
        </w:rPr>
      </w:pPr>
      <w:r w:rsidRPr="008D3575">
        <w:rPr>
          <w:rFonts w:ascii="Arial" w:eastAsiaTheme="minorHAnsi" w:hAnsi="Arial" w:cs="Arial"/>
          <w:b/>
        </w:rPr>
        <w:lastRenderedPageBreak/>
        <w:t xml:space="preserve">Supplementary Figure 3. Statistical analysis of bacterial defense systems. A) </w:t>
      </w:r>
      <w:r w:rsidRPr="008D3575">
        <w:rPr>
          <w:rFonts w:ascii="Arial" w:eastAsiaTheme="minorHAnsi" w:hAnsi="Arial" w:cs="Arial"/>
        </w:rPr>
        <w:t>Taxonomic distribution of bacterial genomes lac</w:t>
      </w:r>
      <w:r>
        <w:rPr>
          <w:rFonts w:ascii="Arial" w:eastAsiaTheme="minorHAnsi" w:hAnsi="Arial" w:cs="Arial"/>
        </w:rPr>
        <w:t>king defense systems. The dashed</w:t>
      </w:r>
      <w:r w:rsidRPr="008D3575">
        <w:rPr>
          <w:rFonts w:ascii="Arial" w:eastAsiaTheme="minorHAnsi" w:hAnsi="Arial" w:cs="Arial"/>
        </w:rPr>
        <w:t xml:space="preserve"> red line indicates the average </w:t>
      </w:r>
      <w:r>
        <w:rPr>
          <w:rFonts w:ascii="Arial" w:eastAsiaTheme="minorHAnsi" w:hAnsi="Arial" w:cs="Arial"/>
        </w:rPr>
        <w:t xml:space="preserve">percentage across </w:t>
      </w:r>
      <w:r w:rsidRPr="008D3575">
        <w:rPr>
          <w:rFonts w:ascii="Arial" w:eastAsiaTheme="minorHAnsi" w:hAnsi="Arial" w:cs="Arial"/>
        </w:rPr>
        <w:t xml:space="preserve">all bacterial genomes analyzed. </w:t>
      </w:r>
      <w:r>
        <w:rPr>
          <w:rFonts w:ascii="Arial" w:eastAsiaTheme="minorHAnsi" w:hAnsi="Arial" w:cs="Arial"/>
        </w:rPr>
        <w:t>Orange b</w:t>
      </w:r>
      <w:r w:rsidRPr="008D3575">
        <w:rPr>
          <w:rFonts w:ascii="Arial" w:eastAsiaTheme="minorHAnsi" w:hAnsi="Arial" w:cs="Arial"/>
        </w:rPr>
        <w:t xml:space="preserve">ars indicate above-average values. All genomes belonging to the phyla shaded in blue encode one or more defense system. </w:t>
      </w:r>
      <w:r>
        <w:rPr>
          <w:rFonts w:ascii="Arial" w:eastAsiaTheme="minorHAnsi" w:hAnsi="Arial" w:cs="Arial"/>
          <w:b/>
        </w:rPr>
        <w:t>B</w:t>
      </w:r>
      <w:r w:rsidRPr="008D3575">
        <w:rPr>
          <w:rFonts w:ascii="Arial" w:eastAsiaTheme="minorHAnsi" w:hAnsi="Arial" w:cs="Arial"/>
          <w:b/>
        </w:rPr>
        <w:t>)</w:t>
      </w:r>
      <w:r w:rsidRPr="008D3575">
        <w:rPr>
          <w:rFonts w:ascii="Arial" w:eastAsiaTheme="minorHAnsi" w:hAnsi="Arial" w:cs="Arial"/>
        </w:rPr>
        <w:t xml:space="preserve"> </w:t>
      </w:r>
      <w:r>
        <w:rPr>
          <w:rFonts w:ascii="Arial" w:eastAsiaTheme="minorHAnsi" w:hAnsi="Arial" w:cs="Arial"/>
        </w:rPr>
        <w:t>Comparison of defense system abundance and diversity across bacterial phyla. The top panel shows the a</w:t>
      </w:r>
      <w:r w:rsidRPr="008D3575">
        <w:rPr>
          <w:rFonts w:ascii="Arial" w:eastAsiaTheme="minorHAnsi" w:hAnsi="Arial" w:cs="Arial"/>
        </w:rPr>
        <w:t>verage number of defense systems</w:t>
      </w:r>
      <w:r>
        <w:rPr>
          <w:rFonts w:ascii="Arial" w:eastAsiaTheme="minorHAnsi" w:hAnsi="Arial" w:cs="Arial"/>
        </w:rPr>
        <w:t xml:space="preserve"> per genome. The bottom panel presents the average number of defense system families per genome. The dashed red line indicated the average value of all bacterial genomes analyzed. Error bars indicate standard deviation. </w:t>
      </w:r>
      <w:r>
        <w:rPr>
          <w:rFonts w:ascii="Arial" w:eastAsiaTheme="minorHAnsi" w:hAnsi="Arial" w:cs="Arial"/>
          <w:b/>
        </w:rPr>
        <w:t>C</w:t>
      </w:r>
      <w:r w:rsidRPr="008D3575">
        <w:rPr>
          <w:rFonts w:ascii="Arial" w:eastAsiaTheme="minorHAnsi" w:hAnsi="Arial" w:cs="Arial"/>
          <w:b/>
        </w:rPr>
        <w:t>)</w:t>
      </w:r>
      <w:r w:rsidRPr="008D3575">
        <w:rPr>
          <w:rFonts w:ascii="Arial" w:eastAsiaTheme="minorHAnsi" w:hAnsi="Arial" w:cs="Arial"/>
        </w:rPr>
        <w:t xml:space="preserve"> </w:t>
      </w:r>
      <w:r w:rsidRPr="008D41D7">
        <w:rPr>
          <w:rFonts w:ascii="Arial" w:eastAsiaTheme="minorHAnsi" w:hAnsi="Arial" w:cs="Arial"/>
        </w:rPr>
        <w:t xml:space="preserve">Relationship between genome size and defense system abundance in Bacteria (Left) and Archaea (Right). Each dot represents a genome, with the number of defense systems plotted against genome size. The </w:t>
      </w:r>
      <w:r>
        <w:rPr>
          <w:rFonts w:ascii="Arial" w:eastAsiaTheme="minorHAnsi" w:hAnsi="Arial" w:cs="Arial"/>
        </w:rPr>
        <w:t xml:space="preserve">dotted </w:t>
      </w:r>
      <w:r w:rsidRPr="008D41D7">
        <w:rPr>
          <w:rFonts w:ascii="Arial" w:eastAsiaTheme="minorHAnsi" w:hAnsi="Arial" w:cs="Arial"/>
        </w:rPr>
        <w:t>red line represents the linear regression trendline, while the shaded area indicates the standard error of the regression fit.</w:t>
      </w:r>
    </w:p>
    <w:p w14:paraId="286F6B36" w14:textId="77777777" w:rsidR="002250F0" w:rsidRDefault="002250F0" w:rsidP="002250F0">
      <w:pPr>
        <w:spacing w:line="360" w:lineRule="auto"/>
        <w:rPr>
          <w:rFonts w:ascii="Arial" w:hAnsi="Arial" w:cs="Arial"/>
          <w:b/>
        </w:rPr>
      </w:pPr>
    </w:p>
    <w:p w14:paraId="5570C272" w14:textId="77777777" w:rsidR="002250F0" w:rsidRPr="00A47E33" w:rsidRDefault="002250F0" w:rsidP="002250F0">
      <w:pPr>
        <w:spacing w:line="360" w:lineRule="auto"/>
        <w:rPr>
          <w:rFonts w:ascii="Arial" w:hAnsi="Arial" w:cs="Arial"/>
          <w:b/>
        </w:rPr>
      </w:pPr>
    </w:p>
    <w:p w14:paraId="61E0625C" w14:textId="77777777" w:rsidR="002250F0" w:rsidRPr="00A47E33" w:rsidRDefault="002250F0" w:rsidP="002250F0">
      <w:pPr>
        <w:spacing w:line="360" w:lineRule="auto"/>
        <w:rPr>
          <w:rFonts w:ascii="Arial" w:hAnsi="Arial" w:cs="Arial"/>
          <w:b/>
        </w:rPr>
      </w:pPr>
    </w:p>
    <w:p w14:paraId="782A402E" w14:textId="77777777" w:rsidR="002250F0" w:rsidRPr="00A47E33" w:rsidRDefault="002250F0" w:rsidP="002250F0">
      <w:pPr>
        <w:spacing w:line="360" w:lineRule="auto"/>
        <w:rPr>
          <w:rFonts w:ascii="Arial" w:hAnsi="Arial" w:cs="Arial"/>
          <w:b/>
        </w:rPr>
      </w:pPr>
      <w:r>
        <w:rPr>
          <w:rFonts w:ascii="Arial" w:hAnsi="Arial" w:cs="Arial"/>
          <w:b/>
          <w:noProof/>
        </w:rPr>
        <w:lastRenderedPageBreak/>
        <w:drawing>
          <wp:inline distT="0" distB="0" distL="0" distR="0" wp14:anchorId="34F363DD" wp14:editId="7C953E5C">
            <wp:extent cx="5731510" cy="664845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plot_RMTypeBvsA.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6648450"/>
                    </a:xfrm>
                    <a:prstGeom prst="rect">
                      <a:avLst/>
                    </a:prstGeom>
                  </pic:spPr>
                </pic:pic>
              </a:graphicData>
            </a:graphic>
          </wp:inline>
        </w:drawing>
      </w:r>
    </w:p>
    <w:p w14:paraId="07ED1FF9" w14:textId="77777777" w:rsidR="002250F0" w:rsidRPr="00A47E33" w:rsidRDefault="002250F0" w:rsidP="002250F0">
      <w:pPr>
        <w:spacing w:line="360" w:lineRule="auto"/>
        <w:jc w:val="both"/>
        <w:rPr>
          <w:rFonts w:ascii="Arial" w:hAnsi="Arial" w:cs="Arial"/>
          <w:noProof/>
          <w:color w:val="FF0000"/>
        </w:rPr>
      </w:pPr>
      <w:r w:rsidRPr="00A47E33">
        <w:rPr>
          <w:rFonts w:ascii="Arial" w:hAnsi="Arial" w:cs="Arial"/>
          <w:b/>
        </w:rPr>
        <w:t xml:space="preserve">Supplementary Figure 4. Output of the restriction-modification identification approaches. </w:t>
      </w:r>
      <w:r w:rsidRPr="00A47E33">
        <w:rPr>
          <w:rFonts w:ascii="Arial" w:hAnsi="Arial" w:cs="Arial"/>
        </w:rPr>
        <w:t xml:space="preserve">Prevalence of the four types of restriction-modification systems in the genomes deposited in REBASE </w:t>
      </w:r>
      <w:r>
        <w:rPr>
          <w:rFonts w:ascii="Arial" w:hAnsi="Arial" w:cs="Arial"/>
        </w:rPr>
        <w:t>(Roberts et al. 2023)</w:t>
      </w:r>
      <w:r w:rsidRPr="00A47E33">
        <w:rPr>
          <w:rFonts w:ascii="Arial" w:hAnsi="Arial" w:cs="Arial"/>
        </w:rPr>
        <w:t xml:space="preserve"> </w:t>
      </w:r>
      <w:r w:rsidRPr="00A47E33">
        <w:rPr>
          <w:rFonts w:ascii="Arial" w:hAnsi="Arial" w:cs="Arial"/>
          <w:b/>
        </w:rPr>
        <w:t>(A),</w:t>
      </w:r>
      <w:r w:rsidRPr="00A47E33">
        <w:rPr>
          <w:rFonts w:ascii="Arial" w:hAnsi="Arial" w:cs="Arial"/>
        </w:rPr>
        <w:t xml:space="preserve"> or in the bacterial and archaeal datasets used in this work as predicted by PADLOC </w:t>
      </w:r>
      <w:r w:rsidRPr="00A47E33">
        <w:rPr>
          <w:rFonts w:ascii="Arial" w:hAnsi="Arial" w:cs="Arial"/>
          <w:b/>
        </w:rPr>
        <w:t>(B)</w:t>
      </w:r>
      <w:r w:rsidRPr="00A47E33">
        <w:rPr>
          <w:rFonts w:ascii="Arial" w:hAnsi="Arial" w:cs="Arial"/>
        </w:rPr>
        <w:t xml:space="preserve"> or our homology REBASE-based approach (REBASE-7747) </w:t>
      </w:r>
      <w:r w:rsidRPr="00A47E33">
        <w:rPr>
          <w:rFonts w:ascii="Arial" w:hAnsi="Arial" w:cs="Arial"/>
          <w:b/>
        </w:rPr>
        <w:t>(C)</w:t>
      </w:r>
      <w:r w:rsidRPr="00A47E33">
        <w:rPr>
          <w:rFonts w:ascii="Arial" w:hAnsi="Arial" w:cs="Arial"/>
        </w:rPr>
        <w:t>.</w:t>
      </w:r>
      <w:r w:rsidRPr="00A47E33">
        <w:rPr>
          <w:rFonts w:ascii="Arial" w:hAnsi="Arial" w:cs="Arial"/>
          <w:noProof/>
        </w:rPr>
        <w:t xml:space="preserve"> </w:t>
      </w:r>
    </w:p>
    <w:p w14:paraId="2EF03F4B" w14:textId="77777777" w:rsidR="002250F0" w:rsidRPr="00A47E33" w:rsidRDefault="002250F0" w:rsidP="002250F0">
      <w:pPr>
        <w:spacing w:line="360" w:lineRule="auto"/>
        <w:jc w:val="both"/>
        <w:rPr>
          <w:rFonts w:ascii="Arial" w:hAnsi="Arial" w:cs="Arial"/>
          <w:b/>
        </w:rPr>
      </w:pPr>
      <w:r w:rsidRPr="00A47E33">
        <w:rPr>
          <w:rFonts w:ascii="Arial" w:hAnsi="Arial" w:cs="Arial"/>
          <w:noProof/>
        </w:rPr>
        <w:lastRenderedPageBreak/>
        <w:drawing>
          <wp:inline distT="0" distB="0" distL="0" distR="0" wp14:anchorId="6D0998B3" wp14:editId="24340A2F">
            <wp:extent cx="5705856" cy="381696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om5_1109ed.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73163" cy="3861993"/>
                    </a:xfrm>
                    <a:prstGeom prst="rect">
                      <a:avLst/>
                    </a:prstGeom>
                  </pic:spPr>
                </pic:pic>
              </a:graphicData>
            </a:graphic>
          </wp:inline>
        </w:drawing>
      </w:r>
    </w:p>
    <w:p w14:paraId="51B8DDB0" w14:textId="77777777" w:rsidR="002250F0" w:rsidRDefault="002250F0" w:rsidP="002250F0">
      <w:pPr>
        <w:spacing w:line="360" w:lineRule="auto"/>
        <w:jc w:val="both"/>
        <w:rPr>
          <w:rFonts w:ascii="Arial" w:hAnsi="Arial" w:cs="Arial"/>
        </w:rPr>
      </w:pPr>
      <w:r w:rsidRPr="00A47E33">
        <w:rPr>
          <w:rFonts w:ascii="Arial" w:hAnsi="Arial" w:cs="Arial"/>
          <w:b/>
        </w:rPr>
        <w:t xml:space="preserve">Supplementary Figure 5. Taxonomic distribution of the archaeal PDC-core defensome. </w:t>
      </w:r>
      <w:r w:rsidRPr="00A47E33">
        <w:rPr>
          <w:rFonts w:ascii="Arial" w:hAnsi="Arial" w:cs="Arial"/>
        </w:rPr>
        <w:t>PDC systems in the top 20 most prevalent archaeal antiviral systems. The bar charts represent the percentage of genomes in each phylum containing the defense system. The red line indicates the average prevalence of each defense system across all archaeal genomes. Dark blue bars indicate overrepresentation of the defense system in a given lineage, while light blue bars reflect underrepresentation relative to the average.</w:t>
      </w:r>
    </w:p>
    <w:p w14:paraId="3C1D80AE" w14:textId="77777777" w:rsidR="002250F0" w:rsidRDefault="002250F0" w:rsidP="002250F0">
      <w:pPr>
        <w:spacing w:line="360" w:lineRule="auto"/>
        <w:jc w:val="both"/>
        <w:rPr>
          <w:rFonts w:ascii="Arial" w:hAnsi="Arial" w:cs="Arial"/>
        </w:rPr>
      </w:pPr>
    </w:p>
    <w:p w14:paraId="52DE6196" w14:textId="77777777" w:rsidR="002250F0" w:rsidRDefault="002250F0" w:rsidP="002250F0">
      <w:pPr>
        <w:spacing w:line="360" w:lineRule="auto"/>
        <w:jc w:val="both"/>
        <w:rPr>
          <w:rFonts w:ascii="Arial" w:hAnsi="Arial" w:cs="Arial"/>
        </w:rPr>
      </w:pPr>
    </w:p>
    <w:p w14:paraId="3852912F" w14:textId="77777777" w:rsidR="002250F0" w:rsidRDefault="002250F0" w:rsidP="002250F0">
      <w:pPr>
        <w:spacing w:line="360" w:lineRule="auto"/>
        <w:jc w:val="both"/>
        <w:rPr>
          <w:rFonts w:ascii="Arial" w:hAnsi="Arial" w:cs="Arial"/>
        </w:rPr>
      </w:pPr>
    </w:p>
    <w:p w14:paraId="52987BCF" w14:textId="77777777" w:rsidR="002250F0" w:rsidRDefault="002250F0" w:rsidP="002250F0">
      <w:pPr>
        <w:spacing w:line="360" w:lineRule="auto"/>
        <w:jc w:val="both"/>
        <w:rPr>
          <w:rFonts w:ascii="Arial" w:hAnsi="Arial" w:cs="Arial"/>
        </w:rPr>
      </w:pPr>
    </w:p>
    <w:p w14:paraId="3ED295D5" w14:textId="77777777" w:rsidR="002250F0" w:rsidRDefault="002250F0" w:rsidP="002250F0">
      <w:pPr>
        <w:spacing w:line="360" w:lineRule="auto"/>
        <w:jc w:val="both"/>
        <w:rPr>
          <w:rFonts w:ascii="Arial" w:hAnsi="Arial" w:cs="Arial"/>
        </w:rPr>
      </w:pPr>
    </w:p>
    <w:p w14:paraId="2FCAD9DB" w14:textId="77777777" w:rsidR="002250F0" w:rsidRDefault="002250F0" w:rsidP="002250F0">
      <w:pPr>
        <w:spacing w:line="360" w:lineRule="auto"/>
        <w:jc w:val="both"/>
        <w:rPr>
          <w:rFonts w:ascii="Arial" w:hAnsi="Arial" w:cs="Arial"/>
        </w:rPr>
      </w:pPr>
    </w:p>
    <w:p w14:paraId="1414795B" w14:textId="77777777" w:rsidR="002250F0" w:rsidRDefault="002250F0" w:rsidP="002250F0">
      <w:pPr>
        <w:spacing w:line="360" w:lineRule="auto"/>
        <w:jc w:val="both"/>
        <w:rPr>
          <w:rFonts w:ascii="Arial" w:hAnsi="Arial" w:cs="Arial"/>
        </w:rPr>
      </w:pPr>
    </w:p>
    <w:p w14:paraId="708066E1" w14:textId="77777777" w:rsidR="002250F0" w:rsidRDefault="002250F0" w:rsidP="002250F0">
      <w:pPr>
        <w:spacing w:line="360" w:lineRule="auto"/>
        <w:jc w:val="both"/>
        <w:rPr>
          <w:rFonts w:ascii="Arial" w:hAnsi="Arial" w:cs="Arial"/>
        </w:rPr>
      </w:pPr>
    </w:p>
    <w:p w14:paraId="08F7C93E" w14:textId="77777777" w:rsidR="002250F0" w:rsidRDefault="002250F0" w:rsidP="002250F0">
      <w:pPr>
        <w:spacing w:line="360" w:lineRule="auto"/>
        <w:jc w:val="both"/>
        <w:rPr>
          <w:rFonts w:ascii="Arial" w:hAnsi="Arial" w:cs="Arial"/>
        </w:rPr>
      </w:pPr>
    </w:p>
    <w:p w14:paraId="24EFFA9C" w14:textId="77777777" w:rsidR="002250F0" w:rsidRDefault="002250F0" w:rsidP="002250F0">
      <w:pPr>
        <w:spacing w:line="360" w:lineRule="auto"/>
        <w:jc w:val="both"/>
        <w:rPr>
          <w:rFonts w:ascii="Arial" w:hAnsi="Arial" w:cs="Arial"/>
          <w:noProof/>
        </w:rPr>
      </w:pPr>
    </w:p>
    <w:p w14:paraId="256DF729" w14:textId="77777777" w:rsidR="002250F0" w:rsidRDefault="002250F0" w:rsidP="002250F0">
      <w:pPr>
        <w:spacing w:line="360" w:lineRule="auto"/>
        <w:jc w:val="both"/>
        <w:rPr>
          <w:rFonts w:ascii="Arial" w:hAnsi="Arial" w:cs="Arial"/>
          <w:noProof/>
        </w:rPr>
      </w:pPr>
    </w:p>
    <w:p w14:paraId="06AF9420" w14:textId="77777777" w:rsidR="002250F0" w:rsidRPr="00A47E33" w:rsidRDefault="002250F0" w:rsidP="002250F0">
      <w:pPr>
        <w:spacing w:line="360" w:lineRule="auto"/>
        <w:jc w:val="both"/>
        <w:rPr>
          <w:rFonts w:ascii="Arial" w:hAnsi="Arial" w:cs="Arial"/>
        </w:rPr>
      </w:pPr>
      <w:r w:rsidRPr="00676F68">
        <w:rPr>
          <w:rFonts w:ascii="Arial" w:hAnsi="Arial" w:cs="Arial"/>
          <w:noProof/>
        </w:rPr>
        <w:lastRenderedPageBreak/>
        <mc:AlternateContent>
          <mc:Choice Requires="wps">
            <w:drawing>
              <wp:anchor distT="45720" distB="45720" distL="114300" distR="114300" simplePos="0" relativeHeight="251660288" behindDoc="0" locked="0" layoutInCell="1" allowOverlap="1" wp14:anchorId="7B7769FD" wp14:editId="2F2A029A">
                <wp:simplePos x="0" y="0"/>
                <wp:positionH relativeFrom="column">
                  <wp:posOffset>-1527175</wp:posOffset>
                </wp:positionH>
                <wp:positionV relativeFrom="paragraph">
                  <wp:posOffset>3244850</wp:posOffset>
                </wp:positionV>
                <wp:extent cx="7851140" cy="1404620"/>
                <wp:effectExtent l="0" t="3175" r="0" b="0"/>
                <wp:wrapNone/>
                <wp:docPr id="10550432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851140" cy="1404620"/>
                        </a:xfrm>
                        <a:prstGeom prst="rect">
                          <a:avLst/>
                        </a:prstGeom>
                        <a:solidFill>
                          <a:srgbClr val="FFFFFF"/>
                        </a:solidFill>
                        <a:ln w="9525">
                          <a:noFill/>
                          <a:miter lim="800000"/>
                          <a:headEnd/>
                          <a:tailEnd/>
                        </a:ln>
                      </wps:spPr>
                      <wps:txbx>
                        <w:txbxContent>
                          <w:p w14:paraId="569AE19F" w14:textId="77777777" w:rsidR="002250F0" w:rsidRDefault="002250F0" w:rsidP="002250F0">
                            <w:pPr>
                              <w:spacing w:line="360" w:lineRule="auto"/>
                              <w:jc w:val="both"/>
                              <w:rPr>
                                <w:rFonts w:ascii="Arial" w:hAnsi="Arial" w:cs="Arial"/>
                              </w:rPr>
                            </w:pPr>
                            <w:r w:rsidRPr="00676F68">
                              <w:rPr>
                                <w:rFonts w:ascii="Arial" w:hAnsi="Arial" w:cs="Arial"/>
                                <w:b/>
                                <w:bCs/>
                              </w:rPr>
                              <w:t>Supplementary Figure 6.</w:t>
                            </w:r>
                            <w:r w:rsidRPr="009048E0">
                              <w:rPr>
                                <w:rFonts w:ascii="Arial" w:hAnsi="Arial" w:cs="Arial"/>
                              </w:rPr>
                              <w:t xml:space="preserve"> </w:t>
                            </w:r>
                            <w:r w:rsidRPr="00676F68">
                              <w:rPr>
                                <w:rFonts w:ascii="Arial" w:hAnsi="Arial" w:cs="Arial"/>
                                <w:b/>
                                <w:bCs/>
                              </w:rPr>
                              <w:t>Phylogenetic analysis of viperins closely related to eukaryotic viperins</w:t>
                            </w:r>
                            <w:r>
                              <w:rPr>
                                <w:rFonts w:ascii="Arial" w:hAnsi="Arial" w:cs="Arial"/>
                              </w:rPr>
                              <w:t>. Prokaryotic viperins that clustered near eukaryotic viperins in a preliminary, broad phylogenetic tree (see Methods) were extracted and re-analyzed to investigate the evolutionary origins of eukaryotic viperins</w:t>
                            </w:r>
                            <w:r w:rsidRPr="009048E0">
                              <w:rPr>
                                <w:rFonts w:ascii="Arial" w:hAnsi="Arial" w:cs="Arial"/>
                              </w:rPr>
                              <w:t xml:space="preserve">. </w:t>
                            </w:r>
                            <w:r>
                              <w:rPr>
                                <w:rFonts w:ascii="Arial" w:hAnsi="Arial" w:cs="Arial"/>
                              </w:rPr>
                              <w:t>The c</w:t>
                            </w:r>
                            <w:r w:rsidRPr="009048E0">
                              <w:rPr>
                                <w:rFonts w:ascii="Arial" w:hAnsi="Arial" w:cs="Arial"/>
                              </w:rPr>
                              <w:t>olor</w:t>
                            </w:r>
                            <w:r>
                              <w:rPr>
                                <w:rFonts w:ascii="Arial" w:hAnsi="Arial" w:cs="Arial"/>
                              </w:rPr>
                              <w:t xml:space="preserve"> strip</w:t>
                            </w:r>
                            <w:r w:rsidRPr="009048E0">
                              <w:rPr>
                                <w:rFonts w:ascii="Arial" w:hAnsi="Arial" w:cs="Arial"/>
                              </w:rPr>
                              <w:t xml:space="preserve"> indicate</w:t>
                            </w:r>
                            <w:r>
                              <w:rPr>
                                <w:rFonts w:ascii="Arial" w:hAnsi="Arial" w:cs="Arial"/>
                              </w:rPr>
                              <w:t>s</w:t>
                            </w:r>
                            <w:r w:rsidRPr="009048E0">
                              <w:rPr>
                                <w:rFonts w:ascii="Arial" w:hAnsi="Arial" w:cs="Arial"/>
                              </w:rPr>
                              <w:t xml:space="preserve"> taxonomic classification: blue for bacteria, red for eukaryotes, green for archaea, and pink for a</w:t>
                            </w:r>
                            <w:r w:rsidRPr="009048E0">
                              <w:rPr>
                                <w:rFonts w:ascii="Arial" w:hAnsi="Arial" w:cs="Arial" w:hint="eastAsia"/>
                              </w:rPr>
                              <w:t>sgard archaea. Bootstrap support values (</w:t>
                            </w:r>
                            <w:r w:rsidRPr="009048E0">
                              <w:rPr>
                                <w:rFonts w:ascii="Arial" w:hAnsi="Arial" w:cs="Arial" w:hint="eastAsia"/>
                              </w:rPr>
                              <w:t>≥</w:t>
                            </w:r>
                            <w:r w:rsidRPr="009048E0">
                              <w:rPr>
                                <w:rFonts w:ascii="Arial" w:hAnsi="Arial" w:cs="Arial" w:hint="eastAsia"/>
                              </w:rPr>
                              <w:t>70%) are marked as dots at the corresponding nodes. Tree</w:t>
                            </w:r>
                            <w:r>
                              <w:rPr>
                                <w:rFonts w:ascii="Arial" w:hAnsi="Arial" w:cs="Arial"/>
                              </w:rPr>
                              <w:t xml:space="preserve"> was</w:t>
                            </w:r>
                            <w:r w:rsidRPr="009048E0">
                              <w:rPr>
                                <w:rFonts w:ascii="Arial" w:hAnsi="Arial" w:cs="Arial" w:hint="eastAsia"/>
                              </w:rPr>
                              <w:t xml:space="preserve"> rooted using MoaA</w:t>
                            </w:r>
                            <w:r>
                              <w:rPr>
                                <w:rFonts w:ascii="Arial" w:hAnsi="Arial" w:cs="Arial"/>
                              </w:rPr>
                              <w:t xml:space="preserve"> sequences (yellow)</w:t>
                            </w:r>
                            <w:r w:rsidRPr="009048E0">
                              <w:rPr>
                                <w:rFonts w:ascii="Arial" w:hAnsi="Arial" w:cs="Arial"/>
                              </w:rPr>
                              <w:t>.</w:t>
                            </w:r>
                          </w:p>
                          <w:p w14:paraId="0ECE78C4" w14:textId="77777777" w:rsidR="002250F0" w:rsidRDefault="002250F0" w:rsidP="002250F0"/>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7B7769FD" id="_x0000_t202" coordsize="21600,21600" o:spt="202" path="m,l,21600r21600,l21600,xe">
                <v:stroke joinstyle="miter"/>
                <v:path gradientshapeok="t" o:connecttype="rect"/>
              </v:shapetype>
              <v:shape id="Text Box 2" o:spid="_x0000_s1026" type="#_x0000_t202" style="position:absolute;left:0;text-align:left;margin-left:-120.25pt;margin-top:255.5pt;width:618.2pt;height:110.6pt;rotation:-90;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" stroked="f">
                <v:textbox style="mso-fit-shape-to-text:t">
                  <w:txbxContent>
                    <w:p w14:paraId="569AE19F" w14:textId="77777777" w:rsidR="002250F0" w:rsidRDefault="002250F0" w:rsidP="002250F0">
                      <w:pPr>
                        <w:spacing w:line="360" w:lineRule="auto"/>
                        <w:jc w:val="both"/>
                        <w:rPr>
                          <w:rFonts w:ascii="Arial" w:hAnsi="Arial" w:cs="Arial"/>
                        </w:rPr>
                      </w:pPr>
                      <w:r w:rsidRPr="00676F68">
                        <w:rPr>
                          <w:rFonts w:ascii="Arial" w:hAnsi="Arial" w:cs="Arial"/>
                          <w:b/>
                          <w:bCs/>
                        </w:rPr>
                        <w:t>Supplementary Figure 6.</w:t>
                      </w:r>
                      <w:r w:rsidRPr="009048E0">
                        <w:rPr>
                          <w:rFonts w:ascii="Arial" w:hAnsi="Arial" w:cs="Arial"/>
                        </w:rPr>
                        <w:t xml:space="preserve"> </w:t>
                      </w:r>
                      <w:r w:rsidRPr="00676F68">
                        <w:rPr>
                          <w:rFonts w:ascii="Arial" w:hAnsi="Arial" w:cs="Arial"/>
                          <w:b/>
                          <w:bCs/>
                        </w:rPr>
                        <w:t>Phylogenetic analysis of viperins closely related to eukaryotic viperins</w:t>
                      </w:r>
                      <w:r>
                        <w:rPr>
                          <w:rFonts w:ascii="Arial" w:hAnsi="Arial" w:cs="Arial"/>
                        </w:rPr>
                        <w:t>. Prokaryotic viperins that clustered near eukaryotic viperins in a preliminary, broad phylogenetic tree (see Methods) were extracted and re-analyzed to investigate the evolutionary origins of eukaryotic viperins</w:t>
                      </w:r>
                      <w:r w:rsidRPr="009048E0">
                        <w:rPr>
                          <w:rFonts w:ascii="Arial" w:hAnsi="Arial" w:cs="Arial"/>
                        </w:rPr>
                        <w:t xml:space="preserve">. </w:t>
                      </w:r>
                      <w:r>
                        <w:rPr>
                          <w:rFonts w:ascii="Arial" w:hAnsi="Arial" w:cs="Arial"/>
                        </w:rPr>
                        <w:t>The c</w:t>
                      </w:r>
                      <w:r w:rsidRPr="009048E0">
                        <w:rPr>
                          <w:rFonts w:ascii="Arial" w:hAnsi="Arial" w:cs="Arial"/>
                        </w:rPr>
                        <w:t>olor</w:t>
                      </w:r>
                      <w:r>
                        <w:rPr>
                          <w:rFonts w:ascii="Arial" w:hAnsi="Arial" w:cs="Arial"/>
                        </w:rPr>
                        <w:t xml:space="preserve"> strip</w:t>
                      </w:r>
                      <w:r w:rsidRPr="009048E0">
                        <w:rPr>
                          <w:rFonts w:ascii="Arial" w:hAnsi="Arial" w:cs="Arial"/>
                        </w:rPr>
                        <w:t xml:space="preserve"> indicate</w:t>
                      </w:r>
                      <w:r>
                        <w:rPr>
                          <w:rFonts w:ascii="Arial" w:hAnsi="Arial" w:cs="Arial"/>
                        </w:rPr>
                        <w:t>s</w:t>
                      </w:r>
                      <w:r w:rsidRPr="009048E0">
                        <w:rPr>
                          <w:rFonts w:ascii="Arial" w:hAnsi="Arial" w:cs="Arial"/>
                        </w:rPr>
                        <w:t xml:space="preserve"> taxonomic classification: blue for bacteria, red for eukaryotes, green for archaea, and pink for a</w:t>
                      </w:r>
                      <w:r w:rsidRPr="009048E0">
                        <w:rPr>
                          <w:rFonts w:ascii="Arial" w:hAnsi="Arial" w:cs="Arial" w:hint="eastAsia"/>
                        </w:rPr>
                        <w:t>sgard archaea. Bootstrap support values (</w:t>
                      </w:r>
                      <w:r w:rsidRPr="009048E0">
                        <w:rPr>
                          <w:rFonts w:ascii="Arial" w:hAnsi="Arial" w:cs="Arial" w:hint="eastAsia"/>
                        </w:rPr>
                        <w:t>≥</w:t>
                      </w:r>
                      <w:r w:rsidRPr="009048E0">
                        <w:rPr>
                          <w:rFonts w:ascii="Arial" w:hAnsi="Arial" w:cs="Arial" w:hint="eastAsia"/>
                        </w:rPr>
                        <w:t>70%) are marked as dots at the corresponding nodes. Tree</w:t>
                      </w:r>
                      <w:r>
                        <w:rPr>
                          <w:rFonts w:ascii="Arial" w:hAnsi="Arial" w:cs="Arial"/>
                        </w:rPr>
                        <w:t xml:space="preserve"> was</w:t>
                      </w:r>
                      <w:r w:rsidRPr="009048E0">
                        <w:rPr>
                          <w:rFonts w:ascii="Arial" w:hAnsi="Arial" w:cs="Arial" w:hint="eastAsia"/>
                        </w:rPr>
                        <w:t xml:space="preserve"> rooted using MoaA</w:t>
                      </w:r>
                      <w:r>
                        <w:rPr>
                          <w:rFonts w:ascii="Arial" w:hAnsi="Arial" w:cs="Arial"/>
                        </w:rPr>
                        <w:t xml:space="preserve"> sequences (yellow)</w:t>
                      </w:r>
                      <w:r w:rsidRPr="009048E0">
                        <w:rPr>
                          <w:rFonts w:ascii="Arial" w:hAnsi="Arial" w:cs="Arial"/>
                        </w:rPr>
                        <w:t>.</w:t>
                      </w:r>
                    </w:p>
                    <w:p w14:paraId="0ECE78C4" w14:textId="77777777" w:rsidR="002250F0" w:rsidRDefault="002250F0" w:rsidP="002250F0"/>
                  </w:txbxContent>
                </v:textbox>
              </v:shape>
            </w:pict>
          </mc:Fallback>
        </mc:AlternateContent>
      </w:r>
      <w:r>
        <w:rPr>
          <w:rFonts w:ascii="Arial" w:hAnsi="Arial" w:cs="Arial"/>
          <w:noProof/>
        </w:rPr>
        <w:drawing>
          <wp:inline distT="0" distB="0" distL="0" distR="0" wp14:anchorId="79B292CD" wp14:editId="52B6BFE7">
            <wp:extent cx="7963782" cy="1173480"/>
            <wp:effectExtent l="4128" t="0" r="3492" b="3493"/>
            <wp:docPr id="1866851852" name="Picture 7" descr="A close-up of a rul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851852" name="Picture 7" descr="A close-up of a ruler&#10;&#10;AI-generated content may be incorrect."/>
                    <pic:cNvPicPr/>
                  </pic:nvPicPr>
                  <pic:blipFill>
                    <a:blip r:embed="rId9"/>
                    <a:stretch>
                      <a:fillRect/>
                    </a:stretch>
                  </pic:blipFill>
                  <pic:spPr>
                    <a:xfrm rot="16200000">
                      <a:off x="0" y="0"/>
                      <a:ext cx="7963782" cy="1173480"/>
                    </a:xfrm>
                    <a:prstGeom prst="rect">
                      <a:avLst/>
                    </a:prstGeom>
                  </pic:spPr>
                </pic:pic>
              </a:graphicData>
            </a:graphic>
          </wp:inline>
        </w:drawing>
      </w:r>
    </w:p>
    <w:p w14:paraId="18D233E5" w14:textId="77777777" w:rsidR="002250F0" w:rsidRPr="00A47E33" w:rsidRDefault="002250F0" w:rsidP="002250F0">
      <w:pPr>
        <w:spacing w:line="360" w:lineRule="auto"/>
        <w:rPr>
          <w:rFonts w:ascii="Arial" w:hAnsi="Arial" w:cs="Arial"/>
          <w:b/>
        </w:rPr>
      </w:pPr>
      <w:r>
        <w:rPr>
          <w:rFonts w:ascii="Arial" w:hAnsi="Arial" w:cs="Arial"/>
          <w:b/>
          <w:noProof/>
        </w:rPr>
        <w:lastRenderedPageBreak/>
        <w:drawing>
          <wp:inline distT="0" distB="0" distL="0" distR="0" wp14:anchorId="47ECDD74" wp14:editId="255658B1">
            <wp:extent cx="5731510" cy="870966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r53_PDC_defensome.v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8709660"/>
                    </a:xfrm>
                    <a:prstGeom prst="rect">
                      <a:avLst/>
                    </a:prstGeom>
                  </pic:spPr>
                </pic:pic>
              </a:graphicData>
            </a:graphic>
          </wp:inline>
        </w:drawing>
      </w:r>
    </w:p>
    <w:p w14:paraId="531D885F" w14:textId="77777777" w:rsidR="002250F0" w:rsidRPr="00A47E33" w:rsidRDefault="002250F0" w:rsidP="002250F0">
      <w:pPr>
        <w:spacing w:line="360" w:lineRule="auto"/>
        <w:rPr>
          <w:rFonts w:ascii="Arial" w:hAnsi="Arial" w:cs="Arial"/>
        </w:rPr>
      </w:pPr>
    </w:p>
    <w:p w14:paraId="2F05767C" w14:textId="77777777" w:rsidR="002250F0" w:rsidRPr="008D3575" w:rsidRDefault="002250F0" w:rsidP="002250F0">
      <w:pPr>
        <w:spacing w:line="360" w:lineRule="auto"/>
        <w:jc w:val="both"/>
        <w:rPr>
          <w:rFonts w:ascii="Arial" w:eastAsiaTheme="minorHAnsi" w:hAnsi="Arial" w:cs="Arial"/>
          <w:b/>
        </w:rPr>
      </w:pPr>
      <w:r w:rsidRPr="008D3575">
        <w:rPr>
          <w:rFonts w:ascii="Arial" w:eastAsiaTheme="minorHAnsi" w:hAnsi="Arial" w:cs="Arial"/>
          <w:b/>
        </w:rPr>
        <w:t>Supplementary Figure 7. Evolutionary origins of the PDC-core defensome</w:t>
      </w:r>
      <w:r w:rsidRPr="008D3575">
        <w:rPr>
          <w:rFonts w:ascii="Arial" w:eastAsiaTheme="minorHAnsi" w:hAnsi="Arial" w:cs="Arial"/>
        </w:rPr>
        <w:t xml:space="preserve">. Phylogenetic trees of the most prevalent PDC systems in the prokaryotic core-defensome. Branch and innermost ring colors indicate taxonomic classification: blue for bacteria, red for eukaryotes, green for archaea, and pink for Asgard archaea. Bootstrap support values (≥70%) are marked as dots at the corresponding nodes. Trees were rooted at midpoint, except PDC-S27 and PDC-S09, which were rooted using AAA ATPases (PF00004), and DNA polymerase beta PALM domain (PF14792) sequences, respectively (yellow). </w:t>
      </w:r>
    </w:p>
    <w:p w14:paraId="4BDE50FC"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0F0"/>
    <w:rsid w:val="002250F0"/>
    <w:rsid w:val="002978F5"/>
    <w:rsid w:val="003852CF"/>
    <w:rsid w:val="004E780C"/>
    <w:rsid w:val="00935DF5"/>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6CC76"/>
  <w15:chartTrackingRefBased/>
  <w15:docId w15:val="{17CF8CC4-E5F1-49AA-B640-48C92D7C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0F0"/>
    <w:pPr>
      <w:spacing w:line="259" w:lineRule="auto"/>
    </w:pPr>
    <w:rPr>
      <w:rFonts w:eastAsia="SimSun"/>
      <w:kern w:val="0"/>
      <w:sz w:val="22"/>
      <w:szCs w:val="22"/>
      <w14:ligatures w14:val="none"/>
    </w:rPr>
  </w:style>
  <w:style w:type="paragraph" w:styleId="Heading1">
    <w:name w:val="heading 1"/>
    <w:basedOn w:val="Normal"/>
    <w:next w:val="Normal"/>
    <w:link w:val="Heading1Char"/>
    <w:uiPriority w:val="9"/>
    <w:qFormat/>
    <w:rsid w:val="002250F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250F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250F0"/>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250F0"/>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2250F0"/>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2250F0"/>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2250F0"/>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2250F0"/>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2250F0"/>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50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50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50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50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50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50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50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50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50F0"/>
    <w:rPr>
      <w:rFonts w:eastAsiaTheme="majorEastAsia" w:cstheme="majorBidi"/>
      <w:color w:val="272727" w:themeColor="text1" w:themeTint="D8"/>
    </w:rPr>
  </w:style>
  <w:style w:type="paragraph" w:styleId="Title">
    <w:name w:val="Title"/>
    <w:basedOn w:val="Normal"/>
    <w:next w:val="Normal"/>
    <w:link w:val="TitleChar"/>
    <w:uiPriority w:val="10"/>
    <w:qFormat/>
    <w:rsid w:val="002250F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250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50F0"/>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250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50F0"/>
    <w:pPr>
      <w:spacing w:before="160" w:line="278" w:lineRule="auto"/>
      <w:jc w:val="center"/>
    </w:pPr>
    <w:rPr>
      <w:rFonts w:eastAsia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2250F0"/>
    <w:rPr>
      <w:i/>
      <w:iCs/>
      <w:color w:val="404040" w:themeColor="text1" w:themeTint="BF"/>
    </w:rPr>
  </w:style>
  <w:style w:type="paragraph" w:styleId="ListParagraph">
    <w:name w:val="List Paragraph"/>
    <w:basedOn w:val="Normal"/>
    <w:uiPriority w:val="34"/>
    <w:qFormat/>
    <w:rsid w:val="002250F0"/>
    <w:pPr>
      <w:spacing w:line="278" w:lineRule="auto"/>
      <w:ind w:left="720"/>
      <w:contextualSpacing/>
    </w:pPr>
    <w:rPr>
      <w:rFonts w:eastAsiaTheme="minorHAnsi"/>
      <w:kern w:val="2"/>
      <w:sz w:val="24"/>
      <w:szCs w:val="24"/>
      <w14:ligatures w14:val="standardContextual"/>
    </w:rPr>
  </w:style>
  <w:style w:type="character" w:styleId="IntenseEmphasis">
    <w:name w:val="Intense Emphasis"/>
    <w:basedOn w:val="DefaultParagraphFont"/>
    <w:uiPriority w:val="21"/>
    <w:qFormat/>
    <w:rsid w:val="002250F0"/>
    <w:rPr>
      <w:i/>
      <w:iCs/>
      <w:color w:val="0F4761" w:themeColor="accent1" w:themeShade="BF"/>
    </w:rPr>
  </w:style>
  <w:style w:type="paragraph" w:styleId="IntenseQuote">
    <w:name w:val="Intense Quote"/>
    <w:basedOn w:val="Normal"/>
    <w:next w:val="Normal"/>
    <w:link w:val="IntenseQuoteChar"/>
    <w:uiPriority w:val="30"/>
    <w:qFormat/>
    <w:rsid w:val="002250F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2250F0"/>
    <w:rPr>
      <w:i/>
      <w:iCs/>
      <w:color w:val="0F4761" w:themeColor="accent1" w:themeShade="BF"/>
    </w:rPr>
  </w:style>
  <w:style w:type="character" w:styleId="IntenseReference">
    <w:name w:val="Intense Reference"/>
    <w:basedOn w:val="DefaultParagraphFont"/>
    <w:uiPriority w:val="32"/>
    <w:qFormat/>
    <w:rsid w:val="002250F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503</Words>
  <Characters>2871</Characters>
  <Application>Microsoft Office Word</Application>
  <DocSecurity>0</DocSecurity>
  <Lines>23</Lines>
  <Paragraphs>6</Paragraphs>
  <ScaleCrop>false</ScaleCrop>
  <Company/>
  <LinksUpToDate>false</LinksUpToDate>
  <CharactersWithSpaces>3368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2025-05-02T11:49:00Z</dcterms:created>
  <dcterms:modified xsi:type="dcterms:W3CDTF">2025-05-02T11:49:00Z</dcterms:modified>
</cp:coreProperties>
</file>