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856FCB">
      <w:pPr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T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>rajectory of thirst level in critically ill oncology patients based on group-based trajectory model</w:t>
      </w:r>
    </w:p>
    <w:p w14:paraId="6E2D8F38">
      <w:pPr>
        <w:rPr>
          <w:rFonts w:hint="eastAsia"/>
          <w:lang w:val="en-US" w:eastAsia="zh-CN"/>
        </w:rPr>
      </w:pPr>
    </w:p>
    <w:p w14:paraId="3CF760BF">
      <w:pPr>
        <w:rPr>
          <w:rFonts w:hint="eastAsia"/>
          <w:lang w:val="en-US" w:eastAsia="zh-CN"/>
        </w:rPr>
      </w:pPr>
    </w:p>
    <w:p w14:paraId="2FD6B017">
      <w:pPr>
        <w:rPr>
          <w:rFonts w:hint="eastAsia"/>
          <w:lang w:val="en-US" w:eastAsia="zh-CN"/>
        </w:rPr>
      </w:pPr>
    </w:p>
    <w:p w14:paraId="41B062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rPr>
          <w:rFonts w:hint="default" w:ascii="Times New Roman" w:hAnsi="Times New Roman" w:eastAsia="微软雅黑" w:cs="Times New Roman"/>
          <w:b/>
          <w:bCs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b/>
          <w:bCs/>
          <w:color w:val="333333"/>
          <w:kern w:val="0"/>
          <w:sz w:val="24"/>
          <w:szCs w:val="24"/>
          <w:lang w:val="en-US" w:eastAsia="zh-CN" w:bidi="ar"/>
        </w:rPr>
        <w:t>Supplementary Appendix</w:t>
      </w:r>
    </w:p>
    <w:p w14:paraId="18F2CDA4">
      <w:pPr>
        <w:rPr>
          <w:rFonts w:hint="eastAsia"/>
          <w:lang w:val="en-US" w:eastAsia="zh-CN"/>
        </w:rPr>
      </w:pPr>
    </w:p>
    <w:p w14:paraId="3205DB0B">
      <w:pPr>
        <w:rPr>
          <w:rFonts w:hint="eastAsia"/>
          <w:lang w:val="en-US" w:eastAsia="zh-CN"/>
        </w:rPr>
      </w:pPr>
    </w:p>
    <w:p w14:paraId="6D33641E">
      <w:pPr>
        <w:ind w:left="1050" w:hanging="1201" w:hangingChars="500"/>
        <w:rPr>
          <w:sz w:val="15"/>
          <w:szCs w:val="15"/>
        </w:rPr>
      </w:pPr>
      <w:r>
        <w:rPr>
          <w:rFonts w:hint="default" w:ascii="Times New Roman" w:hAnsi="Times New Roman" w:eastAsia="微软雅黑" w:cs="Times New Roman"/>
          <w:b/>
          <w:bCs/>
          <w:color w:val="333333"/>
          <w:kern w:val="0"/>
          <w:sz w:val="24"/>
          <w:szCs w:val="24"/>
          <w:lang w:val="en-US" w:eastAsia="zh-CN" w:bidi="ar"/>
        </w:rPr>
        <w:t>Appendix</w:t>
      </w:r>
      <w:r>
        <w:rPr>
          <w:rFonts w:hint="eastAsia" w:ascii="Times New Roman" w:hAnsi="Times New Roman" w:eastAsia="微软雅黑" w:cs="Times New Roman"/>
          <w:b/>
          <w:bCs/>
          <w:color w:val="333333"/>
          <w:kern w:val="0"/>
          <w:sz w:val="24"/>
          <w:szCs w:val="24"/>
          <w:lang w:val="en-US" w:eastAsia="zh-CN" w:bidi="ar"/>
        </w:rPr>
        <w:t>1.</w:t>
      </w:r>
      <w:r>
        <w:rPr>
          <w:rFonts w:hint="eastAsia" w:ascii="微软雅黑" w:hAnsi="微软雅黑" w:eastAsia="微软雅黑" w:cs="微软雅黑"/>
          <w:b/>
          <w:bCs w:val="0"/>
          <w:color w:val="auto"/>
          <w:sz w:val="18"/>
          <w:szCs w:val="18"/>
          <w:lang w:val="en-US" w:eastAsia="zh-CN"/>
        </w:rPr>
        <w:t xml:space="preserve">Thirst assessment tool: </w:t>
      </w:r>
      <w:r>
        <w:rPr>
          <w:rFonts w:hint="default" w:ascii="微软雅黑" w:hAnsi="微软雅黑" w:eastAsia="微软雅黑" w:cs="微软雅黑"/>
          <w:b/>
          <w:bCs w:val="0"/>
          <w:color w:val="auto"/>
          <w:sz w:val="18"/>
          <w:szCs w:val="18"/>
          <w:lang w:val="en-US" w:eastAsia="zh-CN"/>
        </w:rPr>
        <w:t>Critically Ill Patients’ Thirst Assessment Scale(CIP-TAS)</w:t>
      </w:r>
    </w:p>
    <w:p w14:paraId="4ED7F238">
      <w:pPr>
        <w:bidi w:val="0"/>
        <w:jc w:val="left"/>
        <w:rPr>
          <w:rFonts w:hint="default" w:ascii="微软雅黑" w:hAnsi="微软雅黑" w:eastAsia="微软雅黑" w:cs="微软雅黑"/>
          <w:b/>
          <w:bCs w:val="0"/>
          <w:color w:val="auto"/>
          <w:sz w:val="18"/>
          <w:szCs w:val="18"/>
          <w:lang w:val="en-US" w:eastAsia="zh-CN"/>
        </w:rPr>
      </w:pPr>
    </w:p>
    <w:p w14:paraId="34C6CAA8">
      <w:pPr>
        <w:ind w:left="1050" w:hanging="1050" w:hangingChars="500"/>
      </w:pPr>
      <w:r>
        <w:drawing>
          <wp:inline distT="0" distB="0" distL="114300" distR="114300">
            <wp:extent cx="5470525" cy="386524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t="9122"/>
                    <a:stretch>
                      <a:fillRect/>
                    </a:stretch>
                  </pic:blipFill>
                  <pic:spPr>
                    <a:xfrm>
                      <a:off x="0" y="0"/>
                      <a:ext cx="5470525" cy="386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ED0E0">
      <w:pPr>
        <w:spacing w:beforeLines="0" w:afterLines="0"/>
        <w:rPr>
          <w:rFonts w:hint="default"/>
          <w:sz w:val="24"/>
          <w:szCs w:val="24"/>
        </w:rPr>
      </w:pPr>
    </w:p>
    <w:p w14:paraId="65E5520F">
      <w:pPr>
        <w:spacing w:beforeLines="0" w:afterLines="0"/>
        <w:rPr>
          <w:rFonts w:hint="default"/>
          <w:sz w:val="24"/>
          <w:szCs w:val="24"/>
        </w:rPr>
      </w:pPr>
    </w:p>
    <w:p w14:paraId="61999EDE">
      <w:pPr>
        <w:spacing w:beforeLines="0" w:afterLines="0"/>
        <w:rPr>
          <w:rFonts w:hint="default"/>
          <w:sz w:val="24"/>
          <w:szCs w:val="24"/>
        </w:rPr>
      </w:pPr>
    </w:p>
    <w:p w14:paraId="766FF8E9">
      <w:pPr>
        <w:spacing w:beforeLines="0" w:afterLines="0"/>
        <w:rPr>
          <w:rFonts w:hint="default"/>
          <w:sz w:val="24"/>
          <w:szCs w:val="24"/>
        </w:rPr>
      </w:pPr>
    </w:p>
    <w:p w14:paraId="5217BB1C">
      <w:pPr>
        <w:spacing w:beforeLines="0" w:afterLines="0"/>
        <w:rPr>
          <w:rFonts w:hint="default"/>
          <w:sz w:val="24"/>
          <w:szCs w:val="24"/>
        </w:rPr>
      </w:pPr>
    </w:p>
    <w:p w14:paraId="5CE7B37C">
      <w:pPr>
        <w:spacing w:beforeLines="0" w:afterLines="0"/>
        <w:rPr>
          <w:rFonts w:hint="default"/>
          <w:sz w:val="24"/>
          <w:szCs w:val="24"/>
        </w:rPr>
      </w:pPr>
    </w:p>
    <w:p w14:paraId="1E1BCCFE">
      <w:pPr>
        <w:spacing w:beforeLines="0" w:afterLines="0"/>
        <w:rPr>
          <w:rFonts w:hint="default"/>
          <w:sz w:val="24"/>
          <w:szCs w:val="24"/>
        </w:rPr>
      </w:pPr>
    </w:p>
    <w:p w14:paraId="6769BD1E">
      <w:pPr>
        <w:spacing w:beforeLines="0" w:afterLines="0"/>
        <w:rPr>
          <w:rFonts w:hint="default"/>
          <w:sz w:val="24"/>
          <w:szCs w:val="24"/>
        </w:rPr>
      </w:pPr>
    </w:p>
    <w:p w14:paraId="79B8B68A">
      <w:pPr>
        <w:spacing w:beforeLines="0" w:afterLines="0"/>
        <w:rPr>
          <w:rFonts w:hint="default"/>
          <w:sz w:val="24"/>
          <w:szCs w:val="24"/>
        </w:rPr>
      </w:pPr>
    </w:p>
    <w:p w14:paraId="570ABC0C">
      <w:pPr>
        <w:spacing w:beforeLines="0" w:afterLines="0"/>
        <w:rPr>
          <w:rFonts w:hint="default"/>
          <w:sz w:val="24"/>
          <w:szCs w:val="24"/>
        </w:rPr>
      </w:pPr>
    </w:p>
    <w:p w14:paraId="53C8FEB1">
      <w:pPr>
        <w:spacing w:beforeLines="0" w:afterLines="0"/>
        <w:rPr>
          <w:rFonts w:hint="default"/>
          <w:sz w:val="24"/>
          <w:szCs w:val="24"/>
        </w:rPr>
      </w:pPr>
    </w:p>
    <w:p w14:paraId="49EFAFA0">
      <w:pPr>
        <w:spacing w:beforeLines="0" w:afterLines="0"/>
        <w:rPr>
          <w:rFonts w:hint="default"/>
          <w:sz w:val="24"/>
          <w:szCs w:val="24"/>
        </w:rPr>
      </w:pPr>
    </w:p>
    <w:p w14:paraId="549F8996">
      <w:pPr>
        <w:spacing w:beforeLines="0" w:afterLines="0"/>
        <w:rPr>
          <w:rFonts w:hint="default" w:ascii="Times New Roman" w:hAnsi="Times New Roman" w:eastAsia="微软雅黑" w:cs="Times New Roman"/>
          <w:b/>
          <w:bCs/>
          <w:color w:val="333333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b/>
          <w:bCs/>
          <w:color w:val="333333"/>
          <w:kern w:val="0"/>
          <w:sz w:val="24"/>
          <w:szCs w:val="24"/>
          <w:lang w:val="en-US" w:eastAsia="zh-CN" w:bidi="ar"/>
        </w:rPr>
        <w:t>Appendix</w:t>
      </w:r>
      <w:r>
        <w:rPr>
          <w:rFonts w:hint="eastAsia" w:ascii="Times New Roman" w:hAnsi="Times New Roman" w:eastAsia="微软雅黑" w:cs="Times New Roman"/>
          <w:b/>
          <w:bCs/>
          <w:color w:val="333333"/>
          <w:kern w:val="0"/>
          <w:sz w:val="24"/>
          <w:szCs w:val="24"/>
          <w:lang w:val="en-US" w:eastAsia="zh-CN" w:bidi="ar"/>
        </w:rPr>
        <w:t xml:space="preserve"> 2. Multivariate logistic regression model</w:t>
      </w:r>
    </w:p>
    <w:p w14:paraId="75E40722">
      <w:pPr>
        <w:spacing w:beforeLines="0" w:afterLines="0"/>
        <w:rPr>
          <w:rFonts w:hint="default" w:ascii="Times New Roman" w:hAnsi="Times New Roman" w:eastAsia="微软雅黑" w:cs="Times New Roman"/>
          <w:b/>
          <w:bCs/>
          <w:color w:val="333333"/>
          <w:kern w:val="0"/>
          <w:sz w:val="24"/>
          <w:szCs w:val="24"/>
          <w:lang w:val="en-US" w:eastAsia="zh-CN" w:bidi="ar"/>
        </w:rPr>
      </w:pPr>
    </w:p>
    <w:tbl>
      <w:tblPr>
        <w:tblStyle w:val="7"/>
        <w:tblW w:w="5535" w:type="dxa"/>
        <w:tblInd w:w="-456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1"/>
        <w:gridCol w:w="1398"/>
        <w:gridCol w:w="1044"/>
        <w:gridCol w:w="742"/>
        <w:gridCol w:w="1050"/>
      </w:tblGrid>
      <w:tr w14:paraId="23A60F7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35" w:type="dxa"/>
            <w:gridSpan w:val="5"/>
            <w:tcBorders>
              <w:top w:val="nil"/>
              <w:left w:val="nil"/>
              <w:bottom w:val="single" w:color="auto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C92F6EF">
            <w:pPr>
              <w:spacing w:beforeLines="0" w:afterLines="0" w:line="320" w:lineRule="atLeast"/>
              <w:ind w:left="60" w:right="60"/>
              <w:jc w:val="center"/>
              <w:rPr>
                <w:rFonts w:hint="default"/>
                <w:color w:val="010205"/>
                <w:sz w:val="22"/>
                <w:szCs w:val="24"/>
              </w:rPr>
            </w:pPr>
            <w:r>
              <w:rPr>
                <w:rFonts w:hint="eastAsia"/>
                <w:b/>
                <w:color w:val="010205"/>
                <w:sz w:val="22"/>
                <w:szCs w:val="24"/>
                <w:lang w:val="en-US" w:eastAsia="zh-CN"/>
              </w:rPr>
              <w:t xml:space="preserve">Table 1  </w:t>
            </w:r>
            <w:r>
              <w:rPr>
                <w:rFonts w:hint="default"/>
                <w:b/>
                <w:color w:val="010205"/>
                <w:sz w:val="22"/>
                <w:szCs w:val="24"/>
              </w:rPr>
              <w:t>Model fit information</w:t>
            </w:r>
          </w:p>
        </w:tc>
      </w:tr>
      <w:tr w14:paraId="3762577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301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bottom"/>
          </w:tcPr>
          <w:p w14:paraId="6FFAA7B2">
            <w:pPr>
              <w:spacing w:beforeLines="0" w:afterLines="0" w:line="320" w:lineRule="atLeast"/>
              <w:ind w:left="60" w:right="60"/>
              <w:rPr>
                <w:rFonts w:hint="default" w:eastAsiaTheme="minorEastAsia"/>
                <w:color w:val="264A60"/>
                <w:sz w:val="18"/>
                <w:szCs w:val="24"/>
                <w:lang w:val="en-US" w:eastAsia="zh-CN"/>
              </w:rPr>
            </w:pPr>
            <w:r>
              <w:rPr>
                <w:rFonts w:hint="eastAsia"/>
                <w:color w:val="264A60"/>
                <w:sz w:val="18"/>
                <w:szCs w:val="24"/>
                <w:lang w:val="en-US" w:eastAsia="zh-CN"/>
              </w:rPr>
              <w:t>model</w:t>
            </w:r>
          </w:p>
        </w:tc>
        <w:tc>
          <w:tcPr>
            <w:tcW w:w="139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bottom"/>
          </w:tcPr>
          <w:p w14:paraId="09D49D92">
            <w:pPr>
              <w:spacing w:beforeLines="0" w:afterLines="0" w:line="320" w:lineRule="atLeast"/>
              <w:ind w:left="60" w:right="60"/>
              <w:jc w:val="center"/>
              <w:rPr>
                <w:rFonts w:hint="default"/>
                <w:color w:val="264A60"/>
                <w:sz w:val="18"/>
                <w:szCs w:val="24"/>
              </w:rPr>
            </w:pPr>
            <w:r>
              <w:rPr>
                <w:rFonts w:hint="default"/>
                <w:color w:val="264A60"/>
                <w:sz w:val="18"/>
                <w:szCs w:val="24"/>
              </w:rPr>
              <w:t>model fit condition</w:t>
            </w:r>
          </w:p>
        </w:tc>
        <w:tc>
          <w:tcPr>
            <w:tcW w:w="2836" w:type="dxa"/>
            <w:gridSpan w:val="3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bottom"/>
          </w:tcPr>
          <w:p w14:paraId="74175F77">
            <w:pPr>
              <w:spacing w:beforeLines="0" w:afterLines="0" w:line="320" w:lineRule="atLeast"/>
              <w:ind w:left="60" w:right="60"/>
              <w:jc w:val="center"/>
              <w:rPr>
                <w:rFonts w:hint="default"/>
                <w:color w:val="264A60"/>
                <w:sz w:val="18"/>
                <w:szCs w:val="24"/>
              </w:rPr>
            </w:pPr>
            <w:r>
              <w:rPr>
                <w:rFonts w:hint="default"/>
                <w:color w:val="264A60"/>
                <w:sz w:val="18"/>
                <w:szCs w:val="24"/>
              </w:rPr>
              <w:t>likelihood ratio test</w:t>
            </w:r>
          </w:p>
        </w:tc>
      </w:tr>
      <w:tr w14:paraId="2DC2124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301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vAlign w:val="bottom"/>
          </w:tcPr>
          <w:p w14:paraId="0F7433D2">
            <w:pPr>
              <w:spacing w:beforeLines="0" w:afterLines="0"/>
              <w:rPr>
                <w:rFonts w:hint="default"/>
                <w:color w:val="264A60"/>
                <w:sz w:val="18"/>
                <w:szCs w:val="24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vAlign w:val="bottom"/>
          </w:tcPr>
          <w:p w14:paraId="71D91A10">
            <w:pPr>
              <w:spacing w:beforeLines="0" w:afterLines="0" w:line="320" w:lineRule="atLeast"/>
              <w:ind w:left="60" w:right="60"/>
              <w:jc w:val="center"/>
              <w:rPr>
                <w:rFonts w:hint="default"/>
                <w:color w:val="264A60"/>
                <w:sz w:val="18"/>
                <w:szCs w:val="24"/>
              </w:rPr>
            </w:pPr>
            <w:r>
              <w:rPr>
                <w:rFonts w:hint="default"/>
                <w:color w:val="264A60"/>
                <w:sz w:val="18"/>
                <w:szCs w:val="24"/>
              </w:rPr>
              <w:t>-2 log-likelihood</w:t>
            </w:r>
          </w:p>
        </w:tc>
        <w:tc>
          <w:tcPr>
            <w:tcW w:w="104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vAlign w:val="bottom"/>
          </w:tcPr>
          <w:p w14:paraId="56B2BB0A">
            <w:pPr>
              <w:spacing w:beforeLines="0" w:afterLines="0" w:line="320" w:lineRule="atLeast"/>
              <w:ind w:left="60" w:right="60"/>
              <w:jc w:val="center"/>
              <w:rPr>
                <w:rFonts w:hint="default"/>
                <w:color w:val="264A60"/>
                <w:sz w:val="18"/>
                <w:szCs w:val="24"/>
              </w:rPr>
            </w:pPr>
            <w:r>
              <w:rPr>
                <w:rFonts w:hint="default"/>
                <w:color w:val="264A60"/>
                <w:sz w:val="18"/>
                <w:szCs w:val="24"/>
              </w:rPr>
              <w:t>chi-square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vAlign w:val="bottom"/>
          </w:tcPr>
          <w:p w14:paraId="3B78531C">
            <w:pPr>
              <w:spacing w:beforeLines="0" w:afterLines="0" w:line="320" w:lineRule="atLeast"/>
              <w:ind w:left="60" w:right="60"/>
              <w:jc w:val="center"/>
              <w:rPr>
                <w:rFonts w:hint="default" w:eastAsiaTheme="minorEastAsia"/>
                <w:color w:val="264A60"/>
                <w:sz w:val="18"/>
                <w:szCs w:val="24"/>
                <w:lang w:val="en-US" w:eastAsia="zh-CN"/>
              </w:rPr>
            </w:pPr>
            <w:r>
              <w:rPr>
                <w:rFonts w:hint="eastAsia"/>
                <w:color w:val="264A60"/>
                <w:sz w:val="18"/>
                <w:szCs w:val="24"/>
                <w:lang w:val="en-US" w:eastAsia="zh-CN"/>
              </w:rPr>
              <w:t>df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vAlign w:val="bottom"/>
          </w:tcPr>
          <w:p w14:paraId="7A724D25">
            <w:pPr>
              <w:spacing w:beforeLines="0" w:afterLines="0" w:line="320" w:lineRule="atLeast"/>
              <w:ind w:left="60" w:right="60"/>
              <w:jc w:val="center"/>
              <w:rPr>
                <w:rFonts w:hint="default"/>
                <w:color w:val="264A60"/>
                <w:sz w:val="18"/>
                <w:szCs w:val="24"/>
              </w:rPr>
            </w:pPr>
            <w:r>
              <w:rPr>
                <w:rFonts w:hint="default"/>
                <w:color w:val="264A60"/>
                <w:sz w:val="18"/>
                <w:szCs w:val="24"/>
              </w:rPr>
              <w:t>significance</w:t>
            </w:r>
          </w:p>
        </w:tc>
      </w:tr>
      <w:tr w14:paraId="6B3E4DE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301" w:type="dxa"/>
            <w:tcBorders>
              <w:top w:val="single" w:color="auto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E0E0E0"/>
            <w:noWrap w:val="0"/>
            <w:vAlign w:val="top"/>
          </w:tcPr>
          <w:p w14:paraId="3835B09A">
            <w:pPr>
              <w:spacing w:beforeLines="0" w:afterLines="0" w:line="320" w:lineRule="atLeast"/>
              <w:ind w:left="60" w:right="60"/>
              <w:rPr>
                <w:rFonts w:hint="default"/>
                <w:color w:val="264A60"/>
                <w:sz w:val="18"/>
                <w:szCs w:val="24"/>
              </w:rPr>
            </w:pPr>
            <w:r>
              <w:rPr>
                <w:rFonts w:hint="default"/>
                <w:color w:val="264A60"/>
                <w:sz w:val="18"/>
                <w:szCs w:val="24"/>
              </w:rPr>
              <w:t>intercept only</w:t>
            </w:r>
          </w:p>
        </w:tc>
        <w:tc>
          <w:tcPr>
            <w:tcW w:w="1398" w:type="dxa"/>
            <w:tcBorders>
              <w:top w:val="single" w:color="auto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EDAD2C3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479.877</w:t>
            </w:r>
          </w:p>
        </w:tc>
        <w:tc>
          <w:tcPr>
            <w:tcW w:w="1044" w:type="dxa"/>
            <w:tcBorders>
              <w:top w:val="single" w:color="auto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53DE8C4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color="auto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266762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5FC7351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 w14:paraId="7A58431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301" w:type="dxa"/>
            <w:tcBorders>
              <w:top w:val="single" w:color="AEAEAE" w:sz="8" w:space="0"/>
              <w:left w:val="nil"/>
              <w:bottom w:val="single" w:color="152935" w:sz="8" w:space="0"/>
              <w:right w:val="nil"/>
              <w:tl2br w:val="nil"/>
              <w:tr2bl w:val="nil"/>
            </w:tcBorders>
            <w:shd w:val="clear" w:color="auto" w:fill="E0E0E0"/>
            <w:noWrap w:val="0"/>
            <w:vAlign w:val="top"/>
          </w:tcPr>
          <w:p w14:paraId="55808948">
            <w:pPr>
              <w:spacing w:beforeLines="0" w:afterLines="0" w:line="320" w:lineRule="atLeast"/>
              <w:ind w:left="60" w:right="60"/>
              <w:rPr>
                <w:rFonts w:hint="default" w:eastAsiaTheme="minorEastAsia"/>
                <w:color w:val="264A60"/>
                <w:sz w:val="18"/>
                <w:szCs w:val="24"/>
                <w:lang w:val="en-US" w:eastAsia="zh-CN"/>
              </w:rPr>
            </w:pPr>
            <w:r>
              <w:rPr>
                <w:rFonts w:hint="eastAsia"/>
                <w:color w:val="264A60"/>
                <w:sz w:val="18"/>
                <w:szCs w:val="24"/>
                <w:lang w:val="en-US" w:eastAsia="zh-CN"/>
              </w:rPr>
              <w:t>outcome</w:t>
            </w:r>
          </w:p>
        </w:tc>
        <w:tc>
          <w:tcPr>
            <w:tcW w:w="1398" w:type="dxa"/>
            <w:tcBorders>
              <w:top w:val="single" w:color="AEAEAE" w:sz="8" w:space="0"/>
              <w:left w:val="nil"/>
              <w:bottom w:val="single" w:color="152935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D37227B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442.884</w:t>
            </w:r>
          </w:p>
        </w:tc>
        <w:tc>
          <w:tcPr>
            <w:tcW w:w="1044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04C73C7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36.994</w:t>
            </w:r>
          </w:p>
        </w:tc>
        <w:tc>
          <w:tcPr>
            <w:tcW w:w="742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AB09BAE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21</w:t>
            </w:r>
          </w:p>
        </w:tc>
        <w:tc>
          <w:tcPr>
            <w:tcW w:w="1050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D71DCA3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.017</w:t>
            </w:r>
          </w:p>
        </w:tc>
      </w:tr>
    </w:tbl>
    <w:p w14:paraId="3F56229C">
      <w:pPr>
        <w:bidi w:val="0"/>
        <w:ind w:firstLine="429" w:firstLineChars="0"/>
        <w:jc w:val="left"/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Times New Roman" w:hAnsi="Times New Roman" w:eastAsia="CharisSIL" w:cs="Times New Roman"/>
          <w:color w:val="000000"/>
          <w:kern w:val="0"/>
          <w:sz w:val="20"/>
          <w:szCs w:val="20"/>
          <w:lang w:val="en-US" w:eastAsia="zh-CN" w:bidi="ar"/>
        </w:rPr>
        <w:t xml:space="preserve">Note: </w:t>
      </w:r>
      <w:r>
        <w:rPr>
          <w:rFonts w:hint="eastAsia" w:ascii="Times New Roman" w:hAnsi="Times New Roman" w:eastAsia="CharisSIL" w:cs="Times New Roman"/>
          <w:i/>
          <w:iCs/>
          <w:color w:val="000000"/>
          <w:kern w:val="0"/>
          <w:sz w:val="20"/>
          <w:szCs w:val="20"/>
          <w:lang w:val="en-US" w:eastAsia="zh-CN" w:bidi="ar"/>
        </w:rPr>
        <w:t>p</w:t>
      </w:r>
      <w:r>
        <w:rPr>
          <w:rFonts w:hint="eastAsia" w:ascii="Times New Roman" w:hAnsi="Times New Roman" w:eastAsia="CharisSIL" w:cs="Times New Roman"/>
          <w:color w:val="000000"/>
          <w:kern w:val="0"/>
          <w:sz w:val="20"/>
          <w:szCs w:val="20"/>
          <w:lang w:val="en-US" w:eastAsia="zh-CN" w:bidi="ar"/>
        </w:rPr>
        <w:t>=0.17&lt;0.05 indicated that the model has applicability.</w:t>
      </w:r>
    </w:p>
    <w:p w14:paraId="3C993E6F"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 w14:paraId="457AD325">
      <w:pPr>
        <w:spacing w:beforeLines="0" w:afterLines="0"/>
        <w:rPr>
          <w:rFonts w:hint="default"/>
          <w:sz w:val="24"/>
          <w:szCs w:val="24"/>
        </w:rPr>
      </w:pPr>
    </w:p>
    <w:tbl>
      <w:tblPr>
        <w:tblStyle w:val="7"/>
        <w:tblW w:w="393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5"/>
        <w:gridCol w:w="1029"/>
        <w:gridCol w:w="1029"/>
        <w:gridCol w:w="1029"/>
      </w:tblGrid>
      <w:tr w14:paraId="02A5CD3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32" w:type="dxa"/>
            <w:gridSpan w:val="4"/>
            <w:tcBorders>
              <w:top w:val="nil"/>
              <w:left w:val="nil"/>
              <w:bottom w:val="single" w:color="152935" w:sz="8" w:space="0"/>
              <w:right w:val="nil"/>
            </w:tcBorders>
            <w:shd w:val="clear" w:color="auto" w:fill="FFFFFF"/>
            <w:noWrap w:val="0"/>
            <w:vAlign w:val="center"/>
          </w:tcPr>
          <w:p w14:paraId="4AB0441D">
            <w:pPr>
              <w:spacing w:beforeLines="0" w:afterLines="0" w:line="320" w:lineRule="atLeast"/>
              <w:ind w:left="60" w:right="60"/>
              <w:jc w:val="center"/>
              <w:rPr>
                <w:rFonts w:hint="default"/>
                <w:color w:val="010205"/>
                <w:sz w:val="22"/>
                <w:szCs w:val="24"/>
              </w:rPr>
            </w:pPr>
            <w:r>
              <w:rPr>
                <w:rFonts w:hint="eastAsia"/>
                <w:b/>
                <w:color w:val="010205"/>
                <w:sz w:val="22"/>
                <w:szCs w:val="24"/>
                <w:lang w:val="en-US" w:eastAsia="zh-CN"/>
              </w:rPr>
              <w:t xml:space="preserve">Table 2  </w:t>
            </w:r>
            <w:r>
              <w:rPr>
                <w:rFonts w:hint="eastAsia"/>
                <w:b/>
                <w:color w:val="010205"/>
                <w:sz w:val="22"/>
                <w:szCs w:val="24"/>
                <w:lang w:val="en-US" w:eastAsia="zh-CN"/>
              </w:rPr>
              <w:t>G</w:t>
            </w:r>
            <w:r>
              <w:rPr>
                <w:rFonts w:hint="default"/>
                <w:b/>
                <w:color w:val="010205"/>
                <w:sz w:val="22"/>
                <w:szCs w:val="24"/>
              </w:rPr>
              <w:t>oodness of fit</w:t>
            </w:r>
          </w:p>
        </w:tc>
      </w:tr>
      <w:tr w14:paraId="41B34A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45" w:type="dxa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FFFFFF"/>
            <w:noWrap w:val="0"/>
            <w:vAlign w:val="bottom"/>
          </w:tcPr>
          <w:p w14:paraId="51BEFC49"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FFFFFF"/>
            <w:noWrap w:val="0"/>
            <w:vAlign w:val="bottom"/>
          </w:tcPr>
          <w:p w14:paraId="264BD48D">
            <w:pPr>
              <w:spacing w:beforeLines="0" w:afterLines="0" w:line="320" w:lineRule="atLeast"/>
              <w:ind w:left="60" w:right="60"/>
              <w:jc w:val="center"/>
              <w:rPr>
                <w:rFonts w:hint="default"/>
                <w:color w:val="264A60"/>
                <w:sz w:val="18"/>
                <w:szCs w:val="24"/>
              </w:rPr>
            </w:pPr>
            <w:r>
              <w:rPr>
                <w:rFonts w:hint="default"/>
                <w:color w:val="264A60"/>
                <w:sz w:val="18"/>
                <w:szCs w:val="24"/>
              </w:rPr>
              <w:t>chi-square</w:t>
            </w:r>
          </w:p>
        </w:tc>
        <w:tc>
          <w:tcPr>
            <w:tcW w:w="1029" w:type="dxa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FFFFFF"/>
            <w:noWrap w:val="0"/>
            <w:vAlign w:val="bottom"/>
          </w:tcPr>
          <w:p w14:paraId="7306DC61">
            <w:pPr>
              <w:spacing w:beforeLines="0" w:afterLines="0" w:line="320" w:lineRule="atLeast"/>
              <w:ind w:left="60" w:right="60"/>
              <w:jc w:val="center"/>
              <w:rPr>
                <w:rFonts w:hint="default" w:eastAsiaTheme="minorEastAsia"/>
                <w:color w:val="264A60"/>
                <w:sz w:val="18"/>
                <w:szCs w:val="24"/>
                <w:lang w:val="en-US" w:eastAsia="zh-CN"/>
              </w:rPr>
            </w:pPr>
            <w:r>
              <w:rPr>
                <w:rFonts w:hint="eastAsia"/>
                <w:color w:val="264A60"/>
                <w:sz w:val="18"/>
                <w:szCs w:val="24"/>
                <w:lang w:val="en-US" w:eastAsia="zh-CN"/>
              </w:rPr>
              <w:t>df</w:t>
            </w:r>
          </w:p>
        </w:tc>
        <w:tc>
          <w:tcPr>
            <w:tcW w:w="1029" w:type="dxa"/>
            <w:tcBorders>
              <w:top w:val="single" w:color="152935" w:sz="8" w:space="0"/>
              <w:left w:val="nil"/>
              <w:bottom w:val="single" w:color="152935" w:sz="8" w:space="0"/>
              <w:right w:val="nil"/>
            </w:tcBorders>
            <w:shd w:val="clear" w:color="auto" w:fill="FFFFFF"/>
            <w:noWrap w:val="0"/>
            <w:vAlign w:val="bottom"/>
          </w:tcPr>
          <w:p w14:paraId="7CEC48FF">
            <w:pPr>
              <w:spacing w:beforeLines="0" w:afterLines="0" w:line="320" w:lineRule="atLeast"/>
              <w:ind w:left="60" w:right="60"/>
              <w:jc w:val="center"/>
              <w:rPr>
                <w:rFonts w:hint="default"/>
                <w:color w:val="264A60"/>
                <w:sz w:val="18"/>
                <w:szCs w:val="24"/>
              </w:rPr>
            </w:pPr>
            <w:r>
              <w:rPr>
                <w:rFonts w:hint="default"/>
                <w:color w:val="264A60"/>
                <w:sz w:val="18"/>
                <w:szCs w:val="24"/>
              </w:rPr>
              <w:t>significance</w:t>
            </w:r>
          </w:p>
        </w:tc>
      </w:tr>
      <w:tr w14:paraId="1D44F32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45" w:type="dxa"/>
            <w:tcBorders>
              <w:top w:val="single" w:color="152935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E0E0E0"/>
            <w:noWrap w:val="0"/>
            <w:vAlign w:val="top"/>
          </w:tcPr>
          <w:p w14:paraId="699DAE8A">
            <w:pPr>
              <w:spacing w:beforeLines="0" w:afterLines="0" w:line="320" w:lineRule="atLeast"/>
              <w:ind w:left="60" w:right="60"/>
              <w:rPr>
                <w:rFonts w:hint="default"/>
                <w:color w:val="264A60"/>
                <w:sz w:val="18"/>
                <w:szCs w:val="24"/>
              </w:rPr>
            </w:pPr>
            <w:r>
              <w:rPr>
                <w:rFonts w:hint="default"/>
                <w:color w:val="264A60"/>
                <w:sz w:val="18"/>
                <w:szCs w:val="24"/>
              </w:rPr>
              <w:t>Pearson</w:t>
            </w:r>
          </w:p>
        </w:tc>
        <w:tc>
          <w:tcPr>
            <w:tcW w:w="1029" w:type="dxa"/>
            <w:tcBorders>
              <w:top w:val="single" w:color="152935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092D4C0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527.203</w:t>
            </w:r>
          </w:p>
        </w:tc>
        <w:tc>
          <w:tcPr>
            <w:tcW w:w="1029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FED4F2F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534</w:t>
            </w:r>
          </w:p>
        </w:tc>
        <w:tc>
          <w:tcPr>
            <w:tcW w:w="1029" w:type="dxa"/>
            <w:tcBorders>
              <w:top w:val="single" w:color="152935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59DDF99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.575</w:t>
            </w:r>
          </w:p>
        </w:tc>
      </w:tr>
      <w:tr w14:paraId="23C0F8C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845" w:type="dxa"/>
            <w:tcBorders>
              <w:top w:val="single" w:color="AEAEAE" w:sz="8" w:space="0"/>
              <w:left w:val="nil"/>
              <w:bottom w:val="single" w:color="152935" w:sz="8" w:space="0"/>
              <w:right w:val="nil"/>
              <w:tl2br w:val="nil"/>
              <w:tr2bl w:val="nil"/>
            </w:tcBorders>
            <w:shd w:val="clear" w:color="auto" w:fill="E0E0E0"/>
            <w:noWrap w:val="0"/>
            <w:vAlign w:val="top"/>
          </w:tcPr>
          <w:p w14:paraId="564C22B4">
            <w:pPr>
              <w:spacing w:beforeLines="0" w:afterLines="0" w:line="320" w:lineRule="atLeast"/>
              <w:ind w:left="60" w:right="60"/>
              <w:rPr>
                <w:rFonts w:hint="default"/>
                <w:color w:val="264A60"/>
                <w:sz w:val="18"/>
                <w:szCs w:val="24"/>
              </w:rPr>
            </w:pPr>
            <w:r>
              <w:rPr>
                <w:rFonts w:hint="default"/>
                <w:color w:val="264A60"/>
                <w:sz w:val="18"/>
                <w:szCs w:val="24"/>
              </w:rPr>
              <w:t>Deviance</w:t>
            </w:r>
          </w:p>
        </w:tc>
        <w:tc>
          <w:tcPr>
            <w:tcW w:w="1029" w:type="dxa"/>
            <w:tcBorders>
              <w:top w:val="single" w:color="AEAEAE" w:sz="8" w:space="0"/>
              <w:left w:val="nil"/>
              <w:bottom w:val="single" w:color="152935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A69048A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442.884</w:t>
            </w:r>
          </w:p>
        </w:tc>
        <w:tc>
          <w:tcPr>
            <w:tcW w:w="1029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45F5A94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534</w:t>
            </w:r>
          </w:p>
        </w:tc>
        <w:tc>
          <w:tcPr>
            <w:tcW w:w="1029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743EF4B9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.998</w:t>
            </w:r>
          </w:p>
        </w:tc>
      </w:tr>
    </w:tbl>
    <w:p w14:paraId="1552EC34">
      <w:pPr>
        <w:bidi w:val="0"/>
        <w:ind w:firstLine="429" w:firstLineChars="0"/>
        <w:jc w:val="left"/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lang w:val="en-US" w:eastAsia="zh-CN" w:bidi="ar"/>
        </w:rPr>
      </w:pPr>
      <w:r>
        <w:rPr>
          <w:rFonts w:hint="eastAsia" w:ascii="Times New Roman" w:hAnsi="Times New Roman" w:eastAsia="CharisSIL" w:cs="Times New Roman"/>
          <w:color w:val="000000"/>
          <w:kern w:val="0"/>
          <w:sz w:val="20"/>
          <w:szCs w:val="20"/>
          <w:lang w:val="en-US" w:eastAsia="zh-CN" w:bidi="ar"/>
        </w:rPr>
        <w:t>Note:</w:t>
      </w:r>
      <w:r>
        <w:rPr>
          <w:rFonts w:hint="eastAsia" w:ascii="Times New Roman" w:hAnsi="Times New Roman" w:eastAsia="CharisSIL" w:cs="Times New Roman"/>
          <w:i/>
          <w:iCs/>
          <w:color w:val="000000"/>
          <w:kern w:val="0"/>
          <w:sz w:val="20"/>
          <w:szCs w:val="20"/>
          <w:lang w:val="en-US" w:eastAsia="zh-CN" w:bidi="ar"/>
        </w:rPr>
        <w:t xml:space="preserve"> p</w:t>
      </w:r>
      <w:r>
        <w:rPr>
          <w:rFonts w:hint="eastAsia" w:ascii="Times New Roman" w:hAnsi="Times New Roman" w:eastAsia="CharisSIL" w:cs="Times New Roman"/>
          <w:color w:val="000000"/>
          <w:kern w:val="0"/>
          <w:sz w:val="20"/>
          <w:szCs w:val="20"/>
          <w:lang w:val="en-US" w:eastAsia="zh-CN" w:bidi="ar"/>
        </w:rPr>
        <w:t>=0.575&gt;0.05 indicated that the regression has a good fit.</w:t>
      </w:r>
    </w:p>
    <w:p w14:paraId="334DC701">
      <w:pPr>
        <w:bidi w:val="0"/>
        <w:ind w:firstLine="429" w:firstLineChars="0"/>
        <w:jc w:val="left"/>
        <w:rPr>
          <w:rFonts w:hint="default" w:ascii="Times New Roman" w:hAnsi="Times New Roman" w:eastAsia="CharisSIL" w:cs="Times New Roman"/>
          <w:color w:val="000000"/>
          <w:kern w:val="0"/>
          <w:sz w:val="20"/>
          <w:szCs w:val="20"/>
          <w:lang w:val="en-US" w:eastAsia="zh-CN" w:bidi="ar"/>
        </w:rPr>
      </w:pPr>
    </w:p>
    <w:tbl>
      <w:tblPr>
        <w:tblStyle w:val="7"/>
        <w:tblpPr w:leftFromText="180" w:rightFromText="180" w:vertAnchor="text" w:horzAnchor="page" w:tblpX="1458" w:tblpY="172"/>
        <w:tblOverlap w:val="never"/>
        <w:tblW w:w="5527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2"/>
        <w:gridCol w:w="1475"/>
        <w:gridCol w:w="876"/>
        <w:gridCol w:w="845"/>
        <w:gridCol w:w="1009"/>
      </w:tblGrid>
      <w:tr w14:paraId="09A7831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527" w:type="dxa"/>
            <w:gridSpan w:val="5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vAlign w:val="center"/>
          </w:tcPr>
          <w:p w14:paraId="554D1265">
            <w:pPr>
              <w:spacing w:beforeLines="0" w:afterLines="0" w:line="320" w:lineRule="atLeast"/>
              <w:ind w:left="60" w:right="60"/>
              <w:jc w:val="center"/>
              <w:rPr>
                <w:rFonts w:hint="default"/>
                <w:color w:val="010205"/>
                <w:sz w:val="22"/>
                <w:szCs w:val="24"/>
              </w:rPr>
            </w:pPr>
            <w:r>
              <w:rPr>
                <w:rFonts w:hint="eastAsia"/>
                <w:b/>
                <w:color w:val="010205"/>
                <w:sz w:val="22"/>
                <w:szCs w:val="24"/>
                <w:lang w:val="en-US" w:eastAsia="zh-CN"/>
              </w:rPr>
              <w:t xml:space="preserve">Table 3 </w:t>
            </w:r>
            <w:r>
              <w:rPr>
                <w:rFonts w:hint="default"/>
                <w:b/>
                <w:color w:val="010205"/>
                <w:sz w:val="22"/>
                <w:szCs w:val="24"/>
                <w:lang w:val="en-US" w:eastAsia="zh-CN"/>
              </w:rPr>
              <w:t>likelihood ratio test</w:t>
            </w:r>
          </w:p>
        </w:tc>
      </w:tr>
      <w:tr w14:paraId="1606BD9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322" w:type="dxa"/>
            <w:vMerge w:val="restar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bottom"/>
          </w:tcPr>
          <w:p w14:paraId="29E507DC">
            <w:pPr>
              <w:spacing w:beforeLines="0" w:afterLines="0" w:line="320" w:lineRule="atLeast"/>
              <w:ind w:left="60" w:right="60"/>
              <w:rPr>
                <w:rFonts w:hint="default"/>
                <w:color w:val="264A60"/>
                <w:sz w:val="18"/>
                <w:szCs w:val="24"/>
              </w:rPr>
            </w:pPr>
            <w:r>
              <w:rPr>
                <w:rFonts w:hint="default"/>
                <w:color w:val="264A60"/>
                <w:sz w:val="18"/>
                <w:szCs w:val="24"/>
              </w:rPr>
              <w:t>effect</w:t>
            </w:r>
          </w:p>
        </w:tc>
        <w:tc>
          <w:tcPr>
            <w:tcW w:w="147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bottom"/>
          </w:tcPr>
          <w:p w14:paraId="62EB9BAB">
            <w:pPr>
              <w:spacing w:beforeLines="0" w:afterLines="0" w:line="320" w:lineRule="atLeast"/>
              <w:ind w:left="60" w:right="60"/>
              <w:jc w:val="center"/>
              <w:rPr>
                <w:rFonts w:hint="default"/>
                <w:color w:val="264A60"/>
                <w:sz w:val="18"/>
                <w:szCs w:val="24"/>
              </w:rPr>
            </w:pPr>
            <w:r>
              <w:rPr>
                <w:rFonts w:hint="default"/>
                <w:color w:val="264A60"/>
                <w:sz w:val="18"/>
                <w:szCs w:val="24"/>
              </w:rPr>
              <w:t>model fit condition</w:t>
            </w:r>
          </w:p>
        </w:tc>
        <w:tc>
          <w:tcPr>
            <w:tcW w:w="2730" w:type="dxa"/>
            <w:gridSpan w:val="3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bottom"/>
          </w:tcPr>
          <w:p w14:paraId="619EF3F3">
            <w:pPr>
              <w:spacing w:beforeLines="0" w:afterLines="0" w:line="320" w:lineRule="atLeast"/>
              <w:ind w:left="60" w:right="60"/>
              <w:jc w:val="center"/>
              <w:rPr>
                <w:rFonts w:hint="default"/>
                <w:color w:val="264A60"/>
                <w:sz w:val="18"/>
                <w:szCs w:val="24"/>
              </w:rPr>
            </w:pPr>
            <w:r>
              <w:rPr>
                <w:rFonts w:hint="default"/>
                <w:color w:val="264A60"/>
                <w:sz w:val="18"/>
                <w:szCs w:val="24"/>
              </w:rPr>
              <w:t>likelihood ratio test</w:t>
            </w:r>
          </w:p>
        </w:tc>
      </w:tr>
      <w:tr w14:paraId="63E6EB4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322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vAlign w:val="bottom"/>
          </w:tcPr>
          <w:p w14:paraId="67652BE1">
            <w:pPr>
              <w:spacing w:beforeLines="0" w:afterLines="0"/>
              <w:rPr>
                <w:rFonts w:hint="default"/>
                <w:color w:val="264A60"/>
                <w:sz w:val="18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vAlign w:val="bottom"/>
          </w:tcPr>
          <w:p w14:paraId="1A27469A">
            <w:pPr>
              <w:spacing w:beforeLines="0" w:afterLines="0" w:line="320" w:lineRule="atLeast"/>
              <w:ind w:left="60" w:right="60"/>
              <w:jc w:val="center"/>
              <w:rPr>
                <w:rFonts w:hint="default"/>
                <w:color w:val="264A60"/>
                <w:sz w:val="18"/>
                <w:szCs w:val="24"/>
              </w:rPr>
            </w:pPr>
            <w:r>
              <w:rPr>
                <w:rFonts w:hint="default"/>
                <w:color w:val="264A60"/>
                <w:sz w:val="18"/>
                <w:szCs w:val="24"/>
              </w:rPr>
              <w:t>The -2 log-likelihood of the simplified model</w:t>
            </w:r>
          </w:p>
        </w:tc>
        <w:tc>
          <w:tcPr>
            <w:tcW w:w="876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vAlign w:val="bottom"/>
          </w:tcPr>
          <w:p w14:paraId="4EEE8518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/>
                <w:color w:val="264A60"/>
                <w:sz w:val="18"/>
                <w:szCs w:val="24"/>
              </w:rPr>
            </w:pPr>
            <w:r>
              <w:rPr>
                <w:rFonts w:hint="default"/>
                <w:color w:val="264A60"/>
                <w:sz w:val="18"/>
                <w:szCs w:val="24"/>
              </w:rPr>
              <w:t>chi-square</w:t>
            </w:r>
          </w:p>
        </w:tc>
        <w:tc>
          <w:tcPr>
            <w:tcW w:w="845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vAlign w:val="bottom"/>
          </w:tcPr>
          <w:p w14:paraId="4BE153A4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/>
                <w:color w:val="264A60"/>
                <w:sz w:val="18"/>
                <w:szCs w:val="24"/>
              </w:rPr>
            </w:pPr>
            <w:r>
              <w:rPr>
                <w:rFonts w:hint="eastAsia"/>
                <w:color w:val="264A60"/>
                <w:sz w:val="18"/>
                <w:szCs w:val="24"/>
                <w:lang w:val="en-US" w:eastAsia="zh-CN"/>
              </w:rPr>
              <w:t>df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noWrap w:val="0"/>
            <w:vAlign w:val="bottom"/>
          </w:tcPr>
          <w:p w14:paraId="215A7BFF"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/>
                <w:color w:val="264A60"/>
                <w:sz w:val="18"/>
                <w:szCs w:val="24"/>
              </w:rPr>
            </w:pPr>
            <w:r>
              <w:rPr>
                <w:rFonts w:hint="default"/>
                <w:color w:val="264A60"/>
                <w:sz w:val="18"/>
                <w:szCs w:val="24"/>
              </w:rPr>
              <w:t>significance</w:t>
            </w:r>
          </w:p>
        </w:tc>
      </w:tr>
      <w:tr w14:paraId="10AE738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322" w:type="dxa"/>
            <w:tcBorders>
              <w:top w:val="single" w:color="auto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E0E0E0"/>
            <w:noWrap w:val="0"/>
            <w:vAlign w:val="top"/>
          </w:tcPr>
          <w:p w14:paraId="55C37472">
            <w:pPr>
              <w:spacing w:beforeLines="0" w:afterLines="0" w:line="320" w:lineRule="atLeast"/>
              <w:ind w:left="60" w:right="60"/>
              <w:rPr>
                <w:rFonts w:hint="default"/>
                <w:color w:val="264A60"/>
                <w:sz w:val="18"/>
                <w:szCs w:val="24"/>
              </w:rPr>
            </w:pPr>
            <w:r>
              <w:rPr>
                <w:rFonts w:hint="default"/>
                <w:color w:val="264A60"/>
                <w:sz w:val="18"/>
                <w:szCs w:val="24"/>
              </w:rPr>
              <w:t>intercept</w:t>
            </w:r>
          </w:p>
        </w:tc>
        <w:tc>
          <w:tcPr>
            <w:tcW w:w="1475" w:type="dxa"/>
            <w:tcBorders>
              <w:top w:val="single" w:color="auto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727E7A4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442.884</w:t>
            </w:r>
            <w:r>
              <w:rPr>
                <w:rFonts w:hint="default"/>
                <w:color w:val="010205"/>
                <w:sz w:val="18"/>
                <w:szCs w:val="24"/>
                <w:vertAlign w:val="superscript"/>
              </w:rPr>
              <w:t>a</w:t>
            </w:r>
          </w:p>
        </w:tc>
        <w:tc>
          <w:tcPr>
            <w:tcW w:w="876" w:type="dxa"/>
            <w:tcBorders>
              <w:top w:val="single" w:color="auto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2466513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.000</w:t>
            </w:r>
          </w:p>
        </w:tc>
        <w:tc>
          <w:tcPr>
            <w:tcW w:w="845" w:type="dxa"/>
            <w:tcBorders>
              <w:top w:val="single" w:color="auto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406B532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0</w:t>
            </w:r>
          </w:p>
        </w:tc>
        <w:tc>
          <w:tcPr>
            <w:tcW w:w="1009" w:type="dxa"/>
            <w:tcBorders>
              <w:top w:val="single" w:color="auto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27E8329C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.</w:t>
            </w:r>
          </w:p>
        </w:tc>
      </w:tr>
      <w:tr w14:paraId="7DFEE3F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322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E0E0E0"/>
            <w:noWrap w:val="0"/>
            <w:vAlign w:val="top"/>
          </w:tcPr>
          <w:p w14:paraId="4775CC7C">
            <w:pPr>
              <w:spacing w:beforeLines="0" w:afterLines="0" w:line="320" w:lineRule="atLeast"/>
              <w:ind w:left="60" w:right="60"/>
              <w:rPr>
                <w:rFonts w:hint="default"/>
                <w:color w:val="264A60"/>
                <w:sz w:val="18"/>
                <w:szCs w:val="24"/>
              </w:rPr>
            </w:pPr>
            <w:r>
              <w:rPr>
                <w:rFonts w:hint="default"/>
                <w:color w:val="264A60"/>
                <w:sz w:val="18"/>
                <w:szCs w:val="24"/>
              </w:rPr>
              <w:t>CRP</w:t>
            </w:r>
          </w:p>
        </w:tc>
        <w:tc>
          <w:tcPr>
            <w:tcW w:w="1475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3CAF4C2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448.744</w:t>
            </w:r>
          </w:p>
        </w:tc>
        <w:tc>
          <w:tcPr>
            <w:tcW w:w="876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CC17951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5.860</w:t>
            </w:r>
          </w:p>
        </w:tc>
        <w:tc>
          <w:tcPr>
            <w:tcW w:w="845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00E48F4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3</w:t>
            </w:r>
          </w:p>
        </w:tc>
        <w:tc>
          <w:tcPr>
            <w:tcW w:w="1009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10572156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.119</w:t>
            </w:r>
          </w:p>
        </w:tc>
      </w:tr>
      <w:tr w14:paraId="6CB5BA1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322" w:type="dxa"/>
            <w:tcBorders>
              <w:top w:val="single" w:color="AEAEAE" w:sz="8" w:space="0"/>
              <w:left w:val="nil"/>
              <w:bottom w:val="single" w:color="AEAEAE" w:sz="8" w:space="0"/>
              <w:right w:val="nil"/>
              <w:tl2br w:val="nil"/>
              <w:tr2bl w:val="nil"/>
            </w:tcBorders>
            <w:shd w:val="clear" w:color="auto" w:fill="E0E0E0"/>
            <w:noWrap w:val="0"/>
            <w:vAlign w:val="top"/>
          </w:tcPr>
          <w:p w14:paraId="020B03CB">
            <w:pPr>
              <w:spacing w:beforeLines="0" w:afterLines="0" w:line="320" w:lineRule="atLeast"/>
              <w:ind w:left="60" w:right="60"/>
              <w:rPr>
                <w:rFonts w:hint="default"/>
                <w:color w:val="264A60"/>
                <w:sz w:val="18"/>
                <w:szCs w:val="24"/>
              </w:rPr>
            </w:pPr>
            <w:r>
              <w:rPr>
                <w:rFonts w:hint="default"/>
                <w:color w:val="264A60"/>
                <w:sz w:val="18"/>
                <w:szCs w:val="24"/>
              </w:rPr>
              <w:t>temperature</w:t>
            </w:r>
          </w:p>
        </w:tc>
        <w:tc>
          <w:tcPr>
            <w:tcW w:w="1475" w:type="dxa"/>
            <w:tcBorders>
              <w:top w:val="single" w:color="AEAEAE" w:sz="8" w:space="0"/>
              <w:left w:val="nil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9D90845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451.786</w:t>
            </w:r>
          </w:p>
        </w:tc>
        <w:tc>
          <w:tcPr>
            <w:tcW w:w="876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AB38C61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8.903</w:t>
            </w:r>
          </w:p>
        </w:tc>
        <w:tc>
          <w:tcPr>
            <w:tcW w:w="845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0C0FF779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3</w:t>
            </w:r>
          </w:p>
        </w:tc>
        <w:tc>
          <w:tcPr>
            <w:tcW w:w="1009" w:type="dxa"/>
            <w:tcBorders>
              <w:top w:val="single" w:color="AEAEAE" w:sz="8" w:space="0"/>
              <w:left w:val="single" w:color="E0E0E0" w:sz="8" w:space="0"/>
              <w:bottom w:val="single" w:color="AEAEAE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3978BFCC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.031</w:t>
            </w:r>
          </w:p>
        </w:tc>
      </w:tr>
      <w:tr w14:paraId="31349AF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322" w:type="dxa"/>
            <w:tcBorders>
              <w:top w:val="single" w:color="AEAEAE" w:sz="8" w:space="0"/>
              <w:left w:val="nil"/>
              <w:bottom w:val="single" w:color="152935" w:sz="8" w:space="0"/>
              <w:right w:val="nil"/>
              <w:tl2br w:val="nil"/>
              <w:tr2bl w:val="nil"/>
            </w:tcBorders>
            <w:shd w:val="clear" w:color="auto" w:fill="E0E0E0"/>
            <w:noWrap w:val="0"/>
            <w:vAlign w:val="top"/>
          </w:tcPr>
          <w:p w14:paraId="66ACDCA9">
            <w:pPr>
              <w:spacing w:beforeLines="0" w:afterLines="0" w:line="320" w:lineRule="atLeast"/>
              <w:ind w:left="60" w:right="60"/>
              <w:rPr>
                <w:rFonts w:hint="default"/>
                <w:color w:val="264A60"/>
                <w:sz w:val="18"/>
                <w:szCs w:val="24"/>
              </w:rPr>
            </w:pPr>
            <w:r>
              <w:rPr>
                <w:rFonts w:hint="default"/>
                <w:color w:val="264A60"/>
                <w:sz w:val="18"/>
                <w:szCs w:val="24"/>
              </w:rPr>
              <w:t>dignosis</w:t>
            </w:r>
          </w:p>
        </w:tc>
        <w:tc>
          <w:tcPr>
            <w:tcW w:w="1475" w:type="dxa"/>
            <w:tcBorders>
              <w:top w:val="single" w:color="AEAEAE" w:sz="8" w:space="0"/>
              <w:left w:val="nil"/>
              <w:bottom w:val="single" w:color="152935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E3612AD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468.239</w:t>
            </w:r>
          </w:p>
        </w:tc>
        <w:tc>
          <w:tcPr>
            <w:tcW w:w="876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6573BCBC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25.356</w:t>
            </w:r>
          </w:p>
        </w:tc>
        <w:tc>
          <w:tcPr>
            <w:tcW w:w="845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single" w:color="E0E0E0" w:sz="8" w:space="0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02708CE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15</w:t>
            </w:r>
          </w:p>
        </w:tc>
        <w:tc>
          <w:tcPr>
            <w:tcW w:w="1009" w:type="dxa"/>
            <w:tcBorders>
              <w:top w:val="single" w:color="AEAEAE" w:sz="8" w:space="0"/>
              <w:left w:val="single" w:color="E0E0E0" w:sz="8" w:space="0"/>
              <w:bottom w:val="single" w:color="152935" w:sz="8" w:space="0"/>
              <w:right w:val="nil"/>
              <w:tl2br w:val="nil"/>
              <w:tr2bl w:val="nil"/>
            </w:tcBorders>
            <w:shd w:val="clear" w:color="auto" w:fill="FFFFFF"/>
            <w:noWrap w:val="0"/>
            <w:vAlign w:val="top"/>
          </w:tcPr>
          <w:p w14:paraId="518049F8">
            <w:pPr>
              <w:spacing w:beforeLines="0" w:afterLines="0" w:line="320" w:lineRule="atLeast"/>
              <w:ind w:left="60" w:right="60"/>
              <w:jc w:val="right"/>
              <w:rPr>
                <w:rFonts w:hint="default"/>
                <w:color w:val="010205"/>
                <w:sz w:val="18"/>
                <w:szCs w:val="24"/>
              </w:rPr>
            </w:pPr>
            <w:r>
              <w:rPr>
                <w:rFonts w:hint="default"/>
                <w:color w:val="010205"/>
                <w:sz w:val="18"/>
                <w:szCs w:val="24"/>
              </w:rPr>
              <w:t>.045</w:t>
            </w:r>
          </w:p>
        </w:tc>
      </w:tr>
    </w:tbl>
    <w:p w14:paraId="2950A229">
      <w:pPr>
        <w:spacing w:beforeLines="0" w:afterLines="0"/>
        <w:rPr>
          <w:rFonts w:hint="default"/>
          <w:sz w:val="24"/>
          <w:szCs w:val="24"/>
        </w:rPr>
      </w:pPr>
    </w:p>
    <w:p w14:paraId="48BD0B61">
      <w:pPr>
        <w:spacing w:beforeLines="0" w:afterLines="0" w:line="400" w:lineRule="atLeast"/>
        <w:rPr>
          <w:rFonts w:hint="default" w:ascii="Times New Roman" w:hAnsi="Times New Roman" w:eastAsia="Times New Roman"/>
          <w:sz w:val="24"/>
          <w:szCs w:val="24"/>
        </w:rPr>
      </w:pPr>
    </w:p>
    <w:p w14:paraId="4B8D9A2F">
      <w:pPr>
        <w:ind w:left="1050" w:hanging="1050" w:hangingChars="500"/>
      </w:pPr>
    </w:p>
    <w:p w14:paraId="10308C4F">
      <w:pPr>
        <w:rPr>
          <w:rFonts w:hint="eastAsia"/>
          <w:lang w:val="en-US" w:eastAsia="zh-CN"/>
        </w:rPr>
      </w:pPr>
      <w:bookmarkStart w:id="0" w:name="_GoBack"/>
      <w:bookmarkEnd w:id="0"/>
    </w:p>
    <w:p w14:paraId="28D21FF3"/>
    <w:p w14:paraId="12AC183A">
      <w:pPr>
        <w:rPr>
          <w:rFonts w:hint="default" w:ascii="Times New Roman" w:hAnsi="Times New Roman" w:eastAsia="CharisSIL" w:cs="Times New Roman"/>
          <w:color w:val="000000"/>
          <w:kern w:val="0"/>
          <w:sz w:val="15"/>
          <w:szCs w:val="15"/>
          <w:lang w:val="en-US" w:eastAsia="zh-CN" w:bidi="ar"/>
        </w:rPr>
      </w:pPr>
    </w:p>
    <w:p w14:paraId="252C354E">
      <w:pPr>
        <w:ind w:firstLine="1470" w:firstLineChars="700"/>
        <w:jc w:val="left"/>
      </w:pPr>
    </w:p>
    <w:p w14:paraId="1F03030B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128CD091">
      <w:pPr>
        <w:ind w:firstLine="1470" w:firstLineChars="700"/>
        <w:rPr>
          <w:rFonts w:hint="default" w:ascii="Times New Roman" w:hAnsi="Times New Roman" w:eastAsia="CharisSIL" w:cs="Times New Roman"/>
          <w:color w:val="000000"/>
          <w:kern w:val="0"/>
          <w:sz w:val="15"/>
          <w:szCs w:val="15"/>
          <w:lang w:val="en-US" w:eastAsia="zh-CN" w:bidi="ar"/>
        </w:rPr>
      </w:pPr>
      <w:r>
        <w:rPr>
          <w:rFonts w:hint="eastAsia"/>
          <w:highlight w:val="none"/>
          <w:lang w:val="en-US" w:eastAsia="zh-CN"/>
        </w:rPr>
        <w:tab/>
      </w:r>
      <w:r>
        <w:rPr>
          <w:rFonts w:hint="eastAsia"/>
          <w:highlight w:val="none"/>
          <w:lang w:val="en-US" w:eastAsia="zh-CN"/>
        </w:rPr>
        <w:t xml:space="preserve">        </w:t>
      </w:r>
    </w:p>
    <w:p w14:paraId="039514B1">
      <w:pPr>
        <w:tabs>
          <w:tab w:val="left" w:pos="2469"/>
        </w:tabs>
        <w:bidi w:val="0"/>
        <w:jc w:val="left"/>
        <w:rPr>
          <w:rFonts w:hint="default"/>
          <w:lang w:val="en-US" w:eastAsia="zh-CN"/>
        </w:rPr>
      </w:pPr>
    </w:p>
    <w:p w14:paraId="6963AFB1"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3B2AB4AE">
      <w:pPr>
        <w:bidi w:val="0"/>
        <w:rPr>
          <w:rFonts w:hint="default"/>
          <w:lang w:val="en-US" w:eastAsia="zh-CN"/>
        </w:rPr>
      </w:pPr>
    </w:p>
    <w:p w14:paraId="6D86403A">
      <w:pPr>
        <w:bidi w:val="0"/>
        <w:ind w:firstLine="429" w:firstLineChars="0"/>
        <w:jc w:val="left"/>
        <w:rPr>
          <w:rFonts w:hint="default"/>
          <w:sz w:val="20"/>
          <w:szCs w:val="20"/>
          <w:lang w:val="en-US" w:eastAsia="zh-CN"/>
        </w:rPr>
      </w:pPr>
      <w:r>
        <w:rPr>
          <w:rFonts w:hint="eastAsia" w:ascii="Times New Roman" w:hAnsi="Times New Roman" w:eastAsia="CharisSIL" w:cs="Times New Roman"/>
          <w:color w:val="000000"/>
          <w:kern w:val="0"/>
          <w:sz w:val="20"/>
          <w:szCs w:val="20"/>
          <w:lang w:val="en-US" w:eastAsia="zh-CN" w:bidi="ar"/>
        </w:rPr>
        <w:t>Note: The regression model indicated that temperature (p = 0.031) and diagnosis (</w:t>
      </w:r>
      <w:r>
        <w:rPr>
          <w:rFonts w:hint="eastAsia" w:ascii="Times New Roman" w:hAnsi="Times New Roman" w:eastAsia="CharisSIL" w:cs="Times New Roman"/>
          <w:i/>
          <w:iCs/>
          <w:color w:val="000000"/>
          <w:kern w:val="0"/>
          <w:sz w:val="20"/>
          <w:szCs w:val="20"/>
          <w:lang w:val="en-US" w:eastAsia="zh-CN" w:bidi="ar"/>
        </w:rPr>
        <w:t xml:space="preserve">p </w:t>
      </w:r>
      <w:r>
        <w:rPr>
          <w:rFonts w:hint="eastAsia" w:ascii="Times New Roman" w:hAnsi="Times New Roman" w:eastAsia="CharisSIL" w:cs="Times New Roman"/>
          <w:color w:val="000000"/>
          <w:kern w:val="0"/>
          <w:sz w:val="20"/>
          <w:szCs w:val="20"/>
          <w:lang w:val="en-US" w:eastAsia="zh-CN" w:bidi="ar"/>
        </w:rPr>
        <w:t>= 0.045) had a statistically significant influence.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ngLiU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728EE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174E87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174E87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51E2A1A"/>
    <w:rsid w:val="07123C91"/>
    <w:rsid w:val="11D36F1C"/>
    <w:rsid w:val="36C621B0"/>
    <w:rsid w:val="395F2BBE"/>
    <w:rsid w:val="405F6195"/>
    <w:rsid w:val="4FDF6B62"/>
    <w:rsid w:val="666A419C"/>
    <w:rsid w:val="6D327425"/>
    <w:rsid w:val="72060ED1"/>
    <w:rsid w:val="739D3A1B"/>
    <w:rsid w:val="7BF20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semiHidden="0" w:name="heading 1"/>
    <w:lsdException w:uiPriority="99" w:semiHidden="0" w:name="heading 2"/>
    <w:lsdException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/>
      <w:b/>
      <w:color w:val="000000"/>
      <w:sz w:val="32"/>
      <w:szCs w:val="24"/>
    </w:rPr>
  </w:style>
  <w:style w:type="paragraph" w:styleId="3">
    <w:name w:val="heading 2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/>
      <w:b/>
      <w:i/>
      <w:color w:val="000000"/>
      <w:sz w:val="28"/>
      <w:szCs w:val="24"/>
    </w:rPr>
  </w:style>
  <w:style w:type="paragraph" w:styleId="4">
    <w:name w:val="heading 3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/>
      <w:b/>
      <w:color w:val="000000"/>
      <w:sz w:val="26"/>
      <w:szCs w:val="2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</Words>
  <Characters>185</Characters>
  <Lines>0</Lines>
  <Paragraphs>0</Paragraphs>
  <TotalTime>8</TotalTime>
  <ScaleCrop>false</ScaleCrop>
  <LinksUpToDate>false</LinksUpToDate>
  <CharactersWithSpaces>218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2025-03-25T14:08:00Z</dcterms:created>
  <dc:creator>lenovo</dc:creator>
  <cp:lastModifiedBy>舒星</cp:lastModifiedBy>
  <dcterms:modified xsi:type="dcterms:W3CDTF">2025-04-20T07:12:07Z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eyJoZGlkIjoiMGQxY2ZhMmY4ODc0MzkxYWYxZTkxYzEyYjRmZGU4OWYiLCJ1c2VySWQiOiI0MzM2Nzg4MDYifQ==</vt:lpwstr>
  </property>
  <property fmtid="{D5CDD505-2E9C-101B-9397-08002B2CF9AE}" pid="4" name="ICV">
    <vt:lpwstr>077D9F5EE24B449AAFA5E3AD0A3ECA1E_12</vt:lpwstr>
  </property>
</Properties>
</file>