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54C" w:rsidRPr="006B3F39" w:rsidRDefault="009A154C" w:rsidP="009A154C">
      <w:pPr>
        <w:spacing w:line="259" w:lineRule="auto"/>
        <w:jc w:val="left"/>
        <w:rPr>
          <w:rFonts w:ascii="Times New Roman" w:hAnsi="Times New Roman" w:cs="Times New Roman"/>
          <w:sz w:val="24"/>
          <w:szCs w:val="24"/>
        </w:rPr>
      </w:pPr>
      <w:bookmarkStart w:id="0" w:name="_GoBack"/>
      <w:bookmarkEnd w:id="0"/>
      <w:r w:rsidRPr="006B3F39">
        <w:rPr>
          <w:rFonts w:ascii="Times New Roman" w:hAnsi="Times New Roman" w:cs="Times New Roman"/>
          <w:sz w:val="24"/>
          <w:szCs w:val="24"/>
        </w:rPr>
        <w:t xml:space="preserve">STROBE Statement—checklist of items that should be included in reports of observational studies </w:t>
      </w:r>
    </w:p>
    <w:p w:rsidR="009A154C" w:rsidRPr="006B3F39" w:rsidRDefault="009A154C" w:rsidP="009A154C">
      <w:pPr>
        <w:spacing w:line="259" w:lineRule="auto"/>
        <w:jc w:val="left"/>
        <w:rPr>
          <w:rFonts w:ascii="Times New Roman" w:hAnsi="Times New Roman" w:cs="Times New Roman"/>
          <w:sz w:val="24"/>
          <w:szCs w:val="24"/>
        </w:rPr>
      </w:pPr>
      <w:r w:rsidRPr="006B3F39">
        <w:rPr>
          <w:rFonts w:ascii="Times New Roman" w:hAnsi="Times New Roman" w:cs="Times New Roman"/>
          <w:sz w:val="24"/>
          <w:szCs w:val="24"/>
        </w:rPr>
        <w:t xml:space="preserve"> </w:t>
      </w:r>
    </w:p>
    <w:tbl>
      <w:tblPr>
        <w:tblW w:w="14742" w:type="dxa"/>
        <w:tblCellMar>
          <w:top w:w="40" w:type="dxa"/>
          <w:right w:w="115" w:type="dxa"/>
        </w:tblCellMar>
        <w:tblLook w:val="04A0" w:firstRow="1" w:lastRow="0" w:firstColumn="1" w:lastColumn="0" w:noHBand="0" w:noVBand="1"/>
      </w:tblPr>
      <w:tblGrid>
        <w:gridCol w:w="2303"/>
        <w:gridCol w:w="703"/>
        <w:gridCol w:w="8227"/>
        <w:gridCol w:w="958"/>
        <w:gridCol w:w="2551"/>
      </w:tblGrid>
      <w:tr w:rsidR="009A154C" w:rsidRPr="003E2A63" w:rsidTr="007C6C1A">
        <w:trPr>
          <w:trHeight w:val="59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703"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Item No. </w:t>
            </w:r>
          </w:p>
        </w:tc>
        <w:tc>
          <w:tcPr>
            <w:tcW w:w="8227"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Recommendation </w:t>
            </w:r>
          </w:p>
        </w:tc>
        <w:tc>
          <w:tcPr>
            <w:tcW w:w="958"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Page  No. </w:t>
            </w:r>
          </w:p>
        </w:tc>
        <w:tc>
          <w:tcPr>
            <w:tcW w:w="2551"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Relevant text from manuscript </w:t>
            </w:r>
          </w:p>
        </w:tc>
      </w:tr>
      <w:tr w:rsidR="009A154C" w:rsidRPr="003E2A63" w:rsidTr="007C6C1A">
        <w:trPr>
          <w:trHeight w:val="310"/>
        </w:trPr>
        <w:tc>
          <w:tcPr>
            <w:tcW w:w="2303" w:type="dxa"/>
            <w:vMerge w:val="restart"/>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Title and abstract </w:t>
            </w:r>
          </w:p>
        </w:tc>
        <w:tc>
          <w:tcPr>
            <w:tcW w:w="703" w:type="dxa"/>
            <w:vMerge w:val="restart"/>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1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a</w:t>
            </w:r>
            <w:r w:rsidRPr="003E2A63">
              <w:rPr>
                <w:rFonts w:ascii="Times New Roman" w:hAnsi="Times New Roman" w:cs="Times New Roman"/>
                <w:sz w:val="20"/>
                <w:szCs w:val="20"/>
              </w:rPr>
              <w:t xml:space="preserve">) Indicate the study’s design with a commonly used term in the title or the abstract </w:t>
            </w:r>
            <w:r w:rsidRPr="003E2A63">
              <w:rPr>
                <w:rFonts w:ascii="Times New Roman" w:hAnsi="Times New Roman" w:cs="Times New Roman"/>
                <w:sz w:val="20"/>
                <w:szCs w:val="20"/>
              </w:rPr>
              <w:tab/>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2 </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l. 38 This study had a cross-sectional design.</w:t>
            </w:r>
          </w:p>
        </w:tc>
      </w:tr>
      <w:tr w:rsidR="009A154C" w:rsidRPr="003E2A63" w:rsidTr="007C6C1A">
        <w:trPr>
          <w:trHeight w:val="612"/>
        </w:trPr>
        <w:tc>
          <w:tcPr>
            <w:tcW w:w="0" w:type="auto"/>
            <w:vMerge/>
            <w:tcBorders>
              <w:top w:val="nil"/>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0" w:type="auto"/>
            <w:vMerge/>
            <w:tcBorders>
              <w:top w:val="nil"/>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b</w:t>
            </w:r>
            <w:r w:rsidRPr="003E2A63">
              <w:rPr>
                <w:rFonts w:ascii="Times New Roman" w:hAnsi="Times New Roman" w:cs="Times New Roman"/>
                <w:sz w:val="20"/>
                <w:szCs w:val="20"/>
              </w:rPr>
              <w:t xml:space="preserve">) Provide in the abstract an informative and balanced summary of what was done and what was </w:t>
            </w:r>
            <w:r w:rsidRPr="003E2A63">
              <w:rPr>
                <w:rFonts w:ascii="Times New Roman" w:hAnsi="Times New Roman" w:cs="Times New Roman"/>
                <w:sz w:val="20"/>
                <w:szCs w:val="20"/>
              </w:rPr>
              <w:tab/>
              <w:t xml:space="preserve"> found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3-4</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l.51-53 The gait of patients undergoing revision surgery using an RHK prosthesis because of aseptic loosening may have the same biomechanics as that of patients undergoing primary TKA using a different type of prosthesis.</w:t>
            </w:r>
          </w:p>
        </w:tc>
      </w:tr>
      <w:tr w:rsidR="009A154C" w:rsidRPr="003E2A63" w:rsidTr="007C6C1A">
        <w:trPr>
          <w:trHeight w:val="360"/>
        </w:trPr>
        <w:tc>
          <w:tcPr>
            <w:tcW w:w="2303"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Introduction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958"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 </w:t>
            </w:r>
          </w:p>
        </w:tc>
        <w:tc>
          <w:tcPr>
            <w:tcW w:w="2551" w:type="dxa"/>
            <w:tcBorders>
              <w:top w:val="single" w:sz="4" w:space="0" w:color="000000"/>
              <w:left w:val="nil"/>
              <w:bottom w:val="single" w:sz="4" w:space="0" w:color="000000"/>
              <w:right w:val="nil"/>
            </w:tcBorders>
            <w:vAlign w:val="center"/>
          </w:tcPr>
          <w:p w:rsidR="009A154C" w:rsidRPr="003E2A63" w:rsidRDefault="009A154C" w:rsidP="007C6C1A">
            <w:pPr>
              <w:spacing w:line="259" w:lineRule="auto"/>
              <w:jc w:val="left"/>
              <w:rPr>
                <w:rFonts w:ascii="Times New Roman" w:hAnsi="Times New Roman" w:cs="Times New Roman"/>
                <w:sz w:val="20"/>
                <w:szCs w:val="20"/>
              </w:rPr>
            </w:pP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Background/rationale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2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Explain the scientific background and rationale for the investigation being reported </w:t>
            </w:r>
            <w:r w:rsidRPr="003E2A63">
              <w:rPr>
                <w:rFonts w:ascii="Times New Roman" w:hAnsi="Times New Roman" w:cs="Times New Roman"/>
                <w:sz w:val="20"/>
                <w:szCs w:val="20"/>
              </w:rPr>
              <w:tab/>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6</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.87 The RHK type has undergone revision TKA (Neumann DR, 2012); however, its motion analysis has never been reported.</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Objectives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3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State specific objectives, including any </w:t>
            </w:r>
            <w:proofErr w:type="spellStart"/>
            <w:r w:rsidRPr="003E2A63">
              <w:rPr>
                <w:rFonts w:ascii="Times New Roman" w:hAnsi="Times New Roman" w:cs="Times New Roman"/>
                <w:sz w:val="20"/>
                <w:szCs w:val="20"/>
              </w:rPr>
              <w:t>prespecified</w:t>
            </w:r>
            <w:proofErr w:type="spellEnd"/>
            <w:r w:rsidRPr="003E2A63">
              <w:rPr>
                <w:rFonts w:ascii="Times New Roman" w:hAnsi="Times New Roman" w:cs="Times New Roman"/>
                <w:sz w:val="20"/>
                <w:szCs w:val="20"/>
              </w:rPr>
              <w:t xml:space="preserve"> hypotheses </w:t>
            </w:r>
            <w:r w:rsidRPr="003E2A63">
              <w:rPr>
                <w:rFonts w:ascii="Times New Roman" w:hAnsi="Times New Roman" w:cs="Times New Roman"/>
                <w:sz w:val="20"/>
                <w:szCs w:val="20"/>
              </w:rPr>
              <w:tab/>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6</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xml:space="preserve">.89- 95 The purpose of this study was to clarify the kinetics and kinematics during gait in patients who underwent revision TKA using an RHK prosthesis. The knee </w:t>
            </w:r>
            <w:proofErr w:type="spellStart"/>
            <w:r w:rsidRPr="003E2A63">
              <w:rPr>
                <w:rFonts w:ascii="Times New Roman" w:hAnsi="Times New Roman" w:cs="Times New Roman"/>
                <w:sz w:val="20"/>
                <w:szCs w:val="20"/>
              </w:rPr>
              <w:t>varus</w:t>
            </w:r>
            <w:proofErr w:type="spellEnd"/>
            <w:r w:rsidRPr="003E2A63">
              <w:rPr>
                <w:rFonts w:ascii="Times New Roman" w:hAnsi="Times New Roman" w:cs="Times New Roman"/>
                <w:sz w:val="20"/>
                <w:szCs w:val="20"/>
              </w:rPr>
              <w:t xml:space="preserve"> angle in the stance phase during gait is not different between patients who have undergone revision TKA using an RHK prosthesis and those who have undergone primary TKA. Thus, we hypothesized that the knee </w:t>
            </w:r>
            <w:proofErr w:type="spellStart"/>
            <w:r w:rsidRPr="003E2A63">
              <w:rPr>
                <w:rFonts w:ascii="Times New Roman" w:hAnsi="Times New Roman" w:cs="Times New Roman"/>
                <w:sz w:val="20"/>
                <w:szCs w:val="20"/>
              </w:rPr>
              <w:t>varus</w:t>
            </w:r>
            <w:proofErr w:type="spellEnd"/>
            <w:r w:rsidRPr="003E2A63">
              <w:rPr>
                <w:rFonts w:ascii="Times New Roman" w:hAnsi="Times New Roman" w:cs="Times New Roman"/>
                <w:sz w:val="20"/>
                <w:szCs w:val="20"/>
              </w:rPr>
              <w:t xml:space="preserve"> angle and KAM of patients who received the revised TKA selected for RHK prosthesis are the same as those of patients who received the primary TKA selected for CR implant.</w:t>
            </w:r>
          </w:p>
        </w:tc>
      </w:tr>
      <w:tr w:rsidR="009A154C" w:rsidRPr="003E2A63" w:rsidTr="007C6C1A">
        <w:trPr>
          <w:trHeight w:val="360"/>
        </w:trPr>
        <w:tc>
          <w:tcPr>
            <w:tcW w:w="2303"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Methods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958" w:type="dxa"/>
            <w:tcBorders>
              <w:top w:val="single" w:sz="4" w:space="0" w:color="000000"/>
              <w:left w:val="nil"/>
              <w:bottom w:val="single" w:sz="4" w:space="0" w:color="000000"/>
              <w:right w:val="nil"/>
            </w:tcBorders>
            <w:vAlign w:val="bottom"/>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 xml:space="preserve"> </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Study design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4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Present key elements of study design early in the paper </w:t>
            </w:r>
            <w:r w:rsidRPr="003E2A63">
              <w:rPr>
                <w:rFonts w:ascii="Times New Roman" w:hAnsi="Times New Roman" w:cs="Times New Roman"/>
                <w:sz w:val="20"/>
                <w:szCs w:val="20"/>
              </w:rPr>
              <w:tab/>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7</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.99 This study had a cross-sectional design.</w:t>
            </w:r>
          </w:p>
        </w:tc>
      </w:tr>
      <w:tr w:rsidR="009A154C" w:rsidRPr="003E2A63" w:rsidTr="007C6C1A">
        <w:trPr>
          <w:trHeight w:val="6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Setting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5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Describe the setting, locations, and relevant dates, including periods of recruitment, exposure, </w:t>
            </w:r>
            <w:r w:rsidRPr="003E2A63">
              <w:rPr>
                <w:rFonts w:ascii="Times New Roman" w:hAnsi="Times New Roman" w:cs="Times New Roman"/>
                <w:sz w:val="20"/>
                <w:szCs w:val="20"/>
              </w:rPr>
              <w:tab/>
              <w:t xml:space="preserve"> follow-up, and data collection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7</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.99 This study had a cross-sectional design in vivo.</w:t>
            </w:r>
          </w:p>
        </w:tc>
      </w:tr>
      <w:tr w:rsidR="009A154C" w:rsidRPr="003E2A63" w:rsidTr="007C6C1A">
        <w:trPr>
          <w:trHeight w:val="1810"/>
        </w:trPr>
        <w:tc>
          <w:tcPr>
            <w:tcW w:w="2303" w:type="dxa"/>
            <w:vMerge w:val="restart"/>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lastRenderedPageBreak/>
              <w:t xml:space="preserve">Participants </w:t>
            </w:r>
          </w:p>
        </w:tc>
        <w:tc>
          <w:tcPr>
            <w:tcW w:w="703" w:type="dxa"/>
            <w:vMerge w:val="restart"/>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6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a</w:t>
            </w:r>
            <w:r w:rsidRPr="003E2A63">
              <w:rPr>
                <w:rFonts w:ascii="Times New Roman" w:hAnsi="Times New Roman" w:cs="Times New Roman"/>
                <w:sz w:val="20"/>
                <w:szCs w:val="20"/>
              </w:rPr>
              <w:t xml:space="preserve">) </w:t>
            </w:r>
            <w:r w:rsidRPr="003E2A63">
              <w:rPr>
                <w:rFonts w:ascii="Times New Roman" w:hAnsi="Times New Roman" w:cs="Times New Roman"/>
                <w:i/>
                <w:sz w:val="20"/>
                <w:szCs w:val="20"/>
              </w:rPr>
              <w:t>Cohort study</w:t>
            </w:r>
            <w:r w:rsidRPr="003E2A63">
              <w:rPr>
                <w:rFonts w:ascii="Times New Roman" w:hAnsi="Times New Roman" w:cs="Times New Roman"/>
                <w:sz w:val="20"/>
                <w:szCs w:val="20"/>
              </w:rPr>
              <w:t xml:space="preserve">—Give the eligibility criteria, and the sources and methods of selection of </w:t>
            </w:r>
            <w:r w:rsidRPr="003E2A63">
              <w:rPr>
                <w:rFonts w:ascii="Times New Roman" w:hAnsi="Times New Roman" w:cs="Times New Roman"/>
                <w:sz w:val="20"/>
                <w:szCs w:val="20"/>
              </w:rPr>
              <w:tab/>
              <w:t xml:space="preserve"> participants. Describe methods of follow-up </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i/>
                <w:sz w:val="20"/>
                <w:szCs w:val="20"/>
              </w:rPr>
              <w:t>Case-control study</w:t>
            </w:r>
            <w:r w:rsidRPr="003E2A63">
              <w:rPr>
                <w:rFonts w:ascii="Times New Roman" w:hAnsi="Times New Roman" w:cs="Times New Roman"/>
                <w:sz w:val="20"/>
                <w:szCs w:val="20"/>
              </w:rPr>
              <w:t xml:space="preserve">—Give the eligibility criteria, and the sources and methods of case ascertainment and control selection. Give the rationale for the choice of cases and controls </w:t>
            </w:r>
            <w:r w:rsidRPr="003E2A63">
              <w:rPr>
                <w:rFonts w:ascii="Times New Roman" w:hAnsi="Times New Roman" w:cs="Times New Roman"/>
                <w:i/>
                <w:sz w:val="20"/>
                <w:szCs w:val="20"/>
              </w:rPr>
              <w:t>Cross-sectional study</w:t>
            </w:r>
            <w:r w:rsidRPr="003E2A63">
              <w:rPr>
                <w:rFonts w:ascii="Times New Roman" w:hAnsi="Times New Roman" w:cs="Times New Roman"/>
                <w:sz w:val="20"/>
                <w:szCs w:val="20"/>
              </w:rPr>
              <w:t xml:space="preserve">—Give the eligibility criteria, and the sources and methods of selection of participants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(a) 7</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.104 The patients were those who underwent revision TKA after primary TKA.</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108-109 The control group inclusion criteria were as follows: 1) patients who underwent primary TKA using the CR type prosthesis</w:t>
            </w:r>
          </w:p>
        </w:tc>
      </w:tr>
      <w:tr w:rsidR="009A154C" w:rsidRPr="003E2A63" w:rsidTr="007C6C1A">
        <w:trPr>
          <w:trHeight w:val="1212"/>
        </w:trPr>
        <w:tc>
          <w:tcPr>
            <w:tcW w:w="0" w:type="auto"/>
            <w:vMerge/>
            <w:tcBorders>
              <w:top w:val="nil"/>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0" w:type="auto"/>
            <w:vMerge/>
            <w:tcBorders>
              <w:top w:val="nil"/>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b</w:t>
            </w:r>
            <w:r w:rsidRPr="003E2A63">
              <w:rPr>
                <w:rFonts w:ascii="Times New Roman" w:hAnsi="Times New Roman" w:cs="Times New Roman"/>
                <w:sz w:val="20"/>
                <w:szCs w:val="20"/>
              </w:rPr>
              <w:t>)</w:t>
            </w:r>
            <w:r w:rsidRPr="003E2A63">
              <w:rPr>
                <w:rFonts w:ascii="Times New Roman" w:hAnsi="Times New Roman" w:cs="Times New Roman"/>
                <w:b/>
                <w:sz w:val="20"/>
                <w:szCs w:val="20"/>
              </w:rPr>
              <w:t xml:space="preserve"> </w:t>
            </w:r>
            <w:r w:rsidRPr="003E2A63">
              <w:rPr>
                <w:rFonts w:ascii="Times New Roman" w:hAnsi="Times New Roman" w:cs="Times New Roman"/>
                <w:i/>
                <w:sz w:val="20"/>
                <w:szCs w:val="20"/>
              </w:rPr>
              <w:t>Cohort study</w:t>
            </w:r>
            <w:r w:rsidRPr="003E2A63">
              <w:rPr>
                <w:rFonts w:ascii="Times New Roman" w:hAnsi="Times New Roman" w:cs="Times New Roman"/>
                <w:sz w:val="20"/>
                <w:szCs w:val="20"/>
              </w:rPr>
              <w:t xml:space="preserve">—For matched studies, give matching criteria and number of exposed and </w:t>
            </w:r>
            <w:r w:rsidRPr="003E2A63">
              <w:rPr>
                <w:rFonts w:ascii="Times New Roman" w:hAnsi="Times New Roman" w:cs="Times New Roman"/>
                <w:sz w:val="20"/>
                <w:szCs w:val="20"/>
              </w:rPr>
              <w:tab/>
              <w:t xml:space="preserve"> unexposed </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i/>
                <w:sz w:val="20"/>
                <w:szCs w:val="20"/>
              </w:rPr>
              <w:t>Case-control study</w:t>
            </w:r>
            <w:r w:rsidRPr="003E2A63">
              <w:rPr>
                <w:rFonts w:ascii="Times New Roman" w:hAnsi="Times New Roman" w:cs="Times New Roman"/>
                <w:sz w:val="20"/>
                <w:szCs w:val="20"/>
              </w:rPr>
              <w:t>—For matched studies, give matching criteria and the number of controls per case</w:t>
            </w:r>
            <w:r w:rsidRPr="003E2A63">
              <w:rPr>
                <w:rFonts w:ascii="Times New Roman" w:hAnsi="Times New Roman" w:cs="Times New Roman"/>
                <w:i/>
                <w:sz w:val="20"/>
                <w:szCs w:val="20"/>
              </w:rPr>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(b) 8</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xml:space="preserve">.118-120 There were six participants in the R-RHK group. The control group included 14 patients (24 knees): five patients (5 knees) in the </w:t>
            </w:r>
            <w:proofErr w:type="spellStart"/>
            <w:r w:rsidRPr="003E2A63">
              <w:rPr>
                <w:rFonts w:ascii="Times New Roman" w:hAnsi="Times New Roman" w:cs="Times New Roman"/>
                <w:sz w:val="20"/>
                <w:szCs w:val="20"/>
              </w:rPr>
              <w:t>uniCR</w:t>
            </w:r>
            <w:proofErr w:type="spellEnd"/>
            <w:r w:rsidRPr="003E2A63">
              <w:rPr>
                <w:rFonts w:ascii="Times New Roman" w:hAnsi="Times New Roman" w:cs="Times New Roman"/>
                <w:sz w:val="20"/>
                <w:szCs w:val="20"/>
              </w:rPr>
              <w:t xml:space="preserve"> group and 10 (20 knees) in the </w:t>
            </w:r>
            <w:proofErr w:type="spellStart"/>
            <w:r w:rsidRPr="003E2A63">
              <w:rPr>
                <w:rFonts w:ascii="Times New Roman" w:hAnsi="Times New Roman" w:cs="Times New Roman"/>
                <w:sz w:val="20"/>
                <w:szCs w:val="20"/>
              </w:rPr>
              <w:t>bilCR</w:t>
            </w:r>
            <w:proofErr w:type="spellEnd"/>
            <w:r w:rsidRPr="003E2A63">
              <w:rPr>
                <w:rFonts w:ascii="Times New Roman" w:hAnsi="Times New Roman" w:cs="Times New Roman"/>
                <w:sz w:val="20"/>
                <w:szCs w:val="20"/>
              </w:rPr>
              <w:t xml:space="preserve"> group.</w:t>
            </w:r>
          </w:p>
        </w:tc>
      </w:tr>
      <w:tr w:rsidR="009A154C" w:rsidRPr="003E2A63" w:rsidTr="007C6C1A">
        <w:trPr>
          <w:trHeight w:val="6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Variables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7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Clearly define all outcomes, exposures, predictors, potential confounders, and effect modifiers. </w:t>
            </w:r>
            <w:r w:rsidRPr="003E2A63">
              <w:rPr>
                <w:rFonts w:ascii="Times New Roman" w:hAnsi="Times New Roman" w:cs="Times New Roman"/>
                <w:sz w:val="20"/>
                <w:szCs w:val="20"/>
              </w:rPr>
              <w:tab/>
              <w:t xml:space="preserve"> Give diagnostic criteria, if applicable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10</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153-154 Using this model, the following items during the stance phase of gait were calculated</w:t>
            </w:r>
          </w:p>
        </w:tc>
      </w:tr>
      <w:tr w:rsidR="009A154C" w:rsidRPr="003E2A63" w:rsidTr="007C6C1A">
        <w:trPr>
          <w:trHeight w:val="6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Data sources/ measurement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8*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i/>
                <w:sz w:val="20"/>
                <w:szCs w:val="20"/>
              </w:rPr>
              <w:t xml:space="preserve"> </w:t>
            </w:r>
            <w:r w:rsidRPr="003E2A63">
              <w:rPr>
                <w:rFonts w:ascii="Times New Roman" w:hAnsi="Times New Roman" w:cs="Times New Roman"/>
                <w:sz w:val="20"/>
                <w:szCs w:val="20"/>
              </w:rPr>
              <w:t xml:space="preserve">For each variable of interest, give sources of data and details of methods of assessment </w:t>
            </w:r>
            <w:r w:rsidRPr="003E2A63">
              <w:rPr>
                <w:rFonts w:ascii="Times New Roman" w:hAnsi="Times New Roman" w:cs="Times New Roman"/>
                <w:sz w:val="20"/>
                <w:szCs w:val="20"/>
              </w:rPr>
              <w:tab/>
            </w:r>
            <w:r w:rsidRPr="003E2A63">
              <w:rPr>
                <w:rFonts w:ascii="Times New Roman" w:hAnsi="Times New Roman" w:cs="Times New Roman"/>
                <w:i/>
                <w:sz w:val="20"/>
                <w:szCs w:val="20"/>
              </w:rPr>
              <w:t xml:space="preserve"> </w:t>
            </w:r>
            <w:r w:rsidRPr="003E2A63">
              <w:rPr>
                <w:rFonts w:ascii="Times New Roman" w:hAnsi="Times New Roman" w:cs="Times New Roman"/>
                <w:sz w:val="20"/>
                <w:szCs w:val="20"/>
              </w:rPr>
              <w:t xml:space="preserve">(measurement). Describe comparability of assessment methods if there is more than one group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iCs/>
                <w:sz w:val="20"/>
                <w:szCs w:val="20"/>
              </w:rPr>
            </w:pPr>
            <w:r w:rsidRPr="003E2A63">
              <w:rPr>
                <w:rFonts w:ascii="Times New Roman" w:hAnsi="Times New Roman" w:cs="Times New Roman"/>
                <w:iCs/>
                <w:sz w:val="20"/>
                <w:szCs w:val="20"/>
              </w:rPr>
              <w:t xml:space="preserve"> 9-10</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The spatiotemporal parameters (gait speed, cadence, step length, and step width) were calculated using Plug-in Gait (</w:t>
            </w:r>
            <w:proofErr w:type="spellStart"/>
            <w:r w:rsidRPr="003E2A63">
              <w:rPr>
                <w:rFonts w:ascii="Times New Roman" w:hAnsi="Times New Roman" w:cs="Times New Roman"/>
                <w:sz w:val="20"/>
                <w:szCs w:val="20"/>
              </w:rPr>
              <w:t>Vicon</w:t>
            </w:r>
            <w:proofErr w:type="spellEnd"/>
            <w:r w:rsidRPr="003E2A63">
              <w:rPr>
                <w:rFonts w:ascii="Times New Roman" w:hAnsi="Times New Roman" w:cs="Times New Roman"/>
                <w:sz w:val="20"/>
                <w:szCs w:val="20"/>
              </w:rPr>
              <w:t xml:space="preserve"> Motion Systems, Oxford, UK). A standard lower extremity musculoskeletal model was created using SIMM 7.0 (SIMM; Software for Interactive Musculoskeletal Modeling </w:t>
            </w:r>
            <w:proofErr w:type="spellStart"/>
            <w:r w:rsidRPr="003E2A63">
              <w:rPr>
                <w:rFonts w:ascii="Times New Roman" w:hAnsi="Times New Roman" w:cs="Times New Roman"/>
                <w:sz w:val="20"/>
                <w:szCs w:val="20"/>
              </w:rPr>
              <w:t>MusculoGraphics</w:t>
            </w:r>
            <w:proofErr w:type="spellEnd"/>
            <w:r w:rsidRPr="003E2A63">
              <w:rPr>
                <w:rFonts w:ascii="Times New Roman" w:hAnsi="Times New Roman" w:cs="Times New Roman"/>
                <w:sz w:val="20"/>
                <w:szCs w:val="20"/>
              </w:rPr>
              <w:t>, Santa Rosa, CA) based on the three-dimensional data.</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Bias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9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Describe any efforts to address potential sources of bias </w:t>
            </w:r>
            <w:r w:rsidRPr="003E2A63">
              <w:rPr>
                <w:rFonts w:ascii="Times New Roman" w:hAnsi="Times New Roman" w:cs="Times New Roman"/>
                <w:sz w:val="20"/>
                <w:szCs w:val="20"/>
              </w:rPr>
              <w:tab/>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This study is not applicable because it is a motion analysis study.</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Study size </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10 </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Explain how the study size was arrived at </w:t>
            </w:r>
            <w:r w:rsidRPr="003E2A63">
              <w:rPr>
                <w:rFonts w:ascii="Times New Roman" w:hAnsi="Times New Roman" w:cs="Times New Roman"/>
                <w:sz w:val="20"/>
                <w:szCs w:val="20"/>
              </w:rPr>
              <w:tab/>
              <w:t xml:space="preserve"> </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 11</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Pr>
                <w:rFonts w:ascii="Times New Roman" w:hAnsi="Times New Roman" w:cs="Times New Roman"/>
                <w:sz w:val="20"/>
                <w:szCs w:val="20"/>
              </w:rPr>
              <w:t>Table 1-4</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Quantitative variables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1</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Explain how quantitative variables were handled in the analyses. If applicable, describe which </w:t>
            </w:r>
            <w:r w:rsidRPr="003E2A63">
              <w:rPr>
                <w:rFonts w:ascii="Times New Roman" w:hAnsi="Times New Roman" w:cs="Times New Roman"/>
                <w:sz w:val="20"/>
                <w:szCs w:val="20"/>
              </w:rPr>
              <w:tab/>
              <w:t xml:space="preserve"> groupings were chosen and why</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It’s not applicable in this study.</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Statistical methods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2</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a</w:t>
            </w:r>
            <w:r w:rsidRPr="003E2A63">
              <w:rPr>
                <w:rFonts w:ascii="Times New Roman" w:hAnsi="Times New Roman" w:cs="Times New Roman"/>
                <w:sz w:val="20"/>
                <w:szCs w:val="20"/>
              </w:rPr>
              <w:t>) Describe all statistical methods, including those used to control for confounding</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b</w:t>
            </w:r>
            <w:r w:rsidRPr="003E2A63">
              <w:rPr>
                <w:rFonts w:ascii="Times New Roman" w:hAnsi="Times New Roman" w:cs="Times New Roman"/>
                <w:sz w:val="20"/>
                <w:szCs w:val="20"/>
              </w:rPr>
              <w:t>) Describe any methods used to examine subgroups and interactions</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c) Explain how missing data were addressed</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 xml:space="preserve">d) </w:t>
            </w:r>
            <w:r w:rsidRPr="003E2A63">
              <w:rPr>
                <w:rFonts w:ascii="Times New Roman" w:hAnsi="Times New Roman" w:cs="Times New Roman"/>
                <w:i/>
                <w:sz w:val="20"/>
                <w:szCs w:val="20"/>
              </w:rPr>
              <w:t>Cohort study</w:t>
            </w:r>
            <w:r w:rsidRPr="003E2A63">
              <w:rPr>
                <w:rFonts w:ascii="Times New Roman" w:hAnsi="Times New Roman" w:cs="Times New Roman"/>
                <w:sz w:val="20"/>
                <w:szCs w:val="20"/>
              </w:rPr>
              <w:t>—If applicable, explain how loss to follow-up was addressed</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 xml:space="preserve"> </w:t>
            </w:r>
            <w:r w:rsidRPr="003E2A63">
              <w:rPr>
                <w:rFonts w:ascii="Times New Roman" w:hAnsi="Times New Roman" w:cs="Times New Roman"/>
                <w:sz w:val="20"/>
                <w:szCs w:val="20"/>
              </w:rPr>
              <w:t xml:space="preserve">    </w:t>
            </w:r>
            <w:r w:rsidRPr="003E2A63">
              <w:rPr>
                <w:rFonts w:ascii="Times New Roman" w:hAnsi="Times New Roman" w:cs="Times New Roman"/>
                <w:i/>
                <w:sz w:val="20"/>
                <w:szCs w:val="20"/>
              </w:rPr>
              <w:t>Case-control study</w:t>
            </w:r>
            <w:r w:rsidRPr="003E2A63">
              <w:rPr>
                <w:rFonts w:ascii="Times New Roman" w:hAnsi="Times New Roman" w:cs="Times New Roman"/>
                <w:sz w:val="20"/>
                <w:szCs w:val="20"/>
              </w:rPr>
              <w:t>—If applicable, explain how matching of cases and controls was addressed</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 xml:space="preserve"> </w:t>
            </w:r>
            <w:r w:rsidRPr="003E2A63">
              <w:rPr>
                <w:rFonts w:ascii="Times New Roman" w:hAnsi="Times New Roman" w:cs="Times New Roman"/>
                <w:sz w:val="20"/>
                <w:szCs w:val="20"/>
              </w:rPr>
              <w:t xml:space="preserve">    </w:t>
            </w:r>
            <w:r w:rsidRPr="003E2A63">
              <w:rPr>
                <w:rFonts w:ascii="Times New Roman" w:hAnsi="Times New Roman" w:cs="Times New Roman"/>
                <w:i/>
                <w:sz w:val="20"/>
                <w:szCs w:val="20"/>
              </w:rPr>
              <w:t>Cross-sectional study</w:t>
            </w:r>
            <w:r w:rsidRPr="003E2A63">
              <w:rPr>
                <w:rFonts w:ascii="Times New Roman" w:hAnsi="Times New Roman" w:cs="Times New Roman"/>
                <w:sz w:val="20"/>
                <w:szCs w:val="20"/>
              </w:rPr>
              <w:t>—If applicable, describe analytical methods taking account of sampling strategy</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u w:val="single"/>
              </w:rPr>
              <w:t>e</w:t>
            </w:r>
            <w:r w:rsidRPr="003E2A63">
              <w:rPr>
                <w:rFonts w:ascii="Times New Roman" w:hAnsi="Times New Roman" w:cs="Times New Roman"/>
                <w:sz w:val="20"/>
                <w:szCs w:val="20"/>
              </w:rPr>
              <w:t>) Describe any sensitivity analyses</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(a) </w:t>
            </w:r>
            <w:r w:rsidRPr="003E2A63">
              <w:rPr>
                <w:rFonts w:ascii="Times New Roman" w:hAnsi="Times New Roman" w:cs="Times New Roman" w:hint="eastAsia"/>
                <w:sz w:val="20"/>
                <w:szCs w:val="20"/>
              </w:rPr>
              <w:t>1</w:t>
            </w:r>
            <w:r w:rsidRPr="003E2A63">
              <w:rPr>
                <w:rFonts w:ascii="Times New Roman" w:hAnsi="Times New Roman" w:cs="Times New Roman"/>
                <w:sz w:val="20"/>
                <w:szCs w:val="20"/>
              </w:rPr>
              <w:t>0-11</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a) l. 160- 7 Statistical Analysis</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b) This study is not applicable.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c) There is no missing data.</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d) This study is not applicable.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e) This study is not applicable.</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Results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b/>
                <w:sz w:val="20"/>
                <w:szCs w:val="20"/>
              </w:rPr>
            </w:pPr>
            <w:r w:rsidRPr="003E2A63">
              <w:rPr>
                <w:rFonts w:ascii="Times New Roman" w:hAnsi="Times New Roman" w:cs="Times New Roman"/>
                <w:sz w:val="20"/>
                <w:szCs w:val="20"/>
              </w:rPr>
              <w:t>Participants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3</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(a) Report numbers of individuals at each stage of study—</w:t>
            </w:r>
            <w:proofErr w:type="spellStart"/>
            <w:r w:rsidRPr="003E2A63">
              <w:rPr>
                <w:rFonts w:ascii="Times New Roman" w:hAnsi="Times New Roman" w:cs="Times New Roman"/>
                <w:sz w:val="20"/>
                <w:szCs w:val="20"/>
              </w:rPr>
              <w:t>eg</w:t>
            </w:r>
            <w:proofErr w:type="spellEnd"/>
            <w:r w:rsidRPr="003E2A63">
              <w:rPr>
                <w:rFonts w:ascii="Times New Roman" w:hAnsi="Times New Roman" w:cs="Times New Roman"/>
                <w:sz w:val="20"/>
                <w:szCs w:val="20"/>
              </w:rPr>
              <w:t xml:space="preserve"> numbers potentially eligible, </w:t>
            </w:r>
            <w:r w:rsidRPr="003E2A63">
              <w:rPr>
                <w:rFonts w:ascii="Times New Roman" w:hAnsi="Times New Roman" w:cs="Times New Roman"/>
                <w:sz w:val="20"/>
                <w:szCs w:val="20"/>
              </w:rPr>
              <w:lastRenderedPageBreak/>
              <w:t xml:space="preserve">examined for eligibility, confirmed eligible, included in the study, completing follow-up, and </w:t>
            </w:r>
            <w:proofErr w:type="spellStart"/>
            <w:r w:rsidRPr="003E2A63">
              <w:rPr>
                <w:rFonts w:ascii="Times New Roman" w:hAnsi="Times New Roman" w:cs="Times New Roman"/>
                <w:sz w:val="20"/>
                <w:szCs w:val="20"/>
              </w:rPr>
              <w:t>analysed</w:t>
            </w:r>
            <w:proofErr w:type="spellEnd"/>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(b) Give reasons for non-participation at each stage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(c) Consider use of a flow diagram</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lastRenderedPageBreak/>
              <w:t xml:space="preserve">(a) </w:t>
            </w:r>
            <w:r w:rsidRPr="003E2A63">
              <w:rPr>
                <w:rFonts w:ascii="Times New Roman" w:hAnsi="Times New Roman" w:cs="Times New Roman" w:hint="eastAsia"/>
                <w:sz w:val="20"/>
                <w:szCs w:val="20"/>
              </w:rPr>
              <w:t>8</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(a) </w:t>
            </w:r>
            <w:r w:rsidRPr="003E2A63">
              <w:rPr>
                <w:rFonts w:ascii="Times New Roman" w:hAnsi="Times New Roman" w:cs="Times New Roman" w:hint="eastAsia"/>
                <w:sz w:val="20"/>
                <w:szCs w:val="20"/>
              </w:rPr>
              <w:t>W</w:t>
            </w:r>
            <w:r w:rsidRPr="003E2A63">
              <w:rPr>
                <w:rFonts w:ascii="Times New Roman" w:hAnsi="Times New Roman" w:cs="Times New Roman"/>
                <w:sz w:val="20"/>
                <w:szCs w:val="20"/>
              </w:rPr>
              <w:t xml:space="preserve">e wrote these </w:t>
            </w:r>
            <w:proofErr w:type="spellStart"/>
            <w:r w:rsidRPr="003E2A63">
              <w:rPr>
                <w:rFonts w:ascii="Times New Roman" w:hAnsi="Times New Roman" w:cs="Times New Roman"/>
                <w:sz w:val="20"/>
                <w:szCs w:val="20"/>
              </w:rPr>
              <w:lastRenderedPageBreak/>
              <w:t>informations</w:t>
            </w:r>
            <w:proofErr w:type="spellEnd"/>
            <w:r w:rsidRPr="003E2A63">
              <w:rPr>
                <w:rFonts w:ascii="Times New Roman" w:hAnsi="Times New Roman" w:cs="Times New Roman"/>
                <w:sz w:val="20"/>
                <w:szCs w:val="20"/>
              </w:rPr>
              <w:t xml:space="preserve"> in methods, because this study is motion analysis.</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xml:space="preserve">. 118-120 There were six participants in the R-RHK group. The control group included 14 patients (24 knees): five patients (5 knees) in the </w:t>
            </w:r>
            <w:proofErr w:type="spellStart"/>
            <w:r w:rsidRPr="003E2A63">
              <w:rPr>
                <w:rFonts w:ascii="Times New Roman" w:hAnsi="Times New Roman" w:cs="Times New Roman"/>
                <w:sz w:val="20"/>
                <w:szCs w:val="20"/>
              </w:rPr>
              <w:t>uniCR</w:t>
            </w:r>
            <w:proofErr w:type="spellEnd"/>
            <w:r w:rsidRPr="003E2A63">
              <w:rPr>
                <w:rFonts w:ascii="Times New Roman" w:hAnsi="Times New Roman" w:cs="Times New Roman"/>
                <w:sz w:val="20"/>
                <w:szCs w:val="20"/>
              </w:rPr>
              <w:t xml:space="preserve"> group and 10 (20 knees) in the </w:t>
            </w:r>
            <w:proofErr w:type="spellStart"/>
            <w:r w:rsidRPr="003E2A63">
              <w:rPr>
                <w:rFonts w:ascii="Times New Roman" w:hAnsi="Times New Roman" w:cs="Times New Roman"/>
                <w:sz w:val="20"/>
                <w:szCs w:val="20"/>
              </w:rPr>
              <w:t>bilCR</w:t>
            </w:r>
            <w:proofErr w:type="spellEnd"/>
            <w:r w:rsidRPr="003E2A63">
              <w:rPr>
                <w:rFonts w:ascii="Times New Roman" w:hAnsi="Times New Roman" w:cs="Times New Roman"/>
                <w:sz w:val="20"/>
                <w:szCs w:val="20"/>
              </w:rPr>
              <w:t xml:space="preserve"> group.</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b) This study is not applicable.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(c) This study is not applicable.</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lastRenderedPageBreak/>
              <w:t>Descriptive data</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4</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(a) Give characteristics of study participants (</w:t>
            </w:r>
            <w:proofErr w:type="spellStart"/>
            <w:r w:rsidRPr="003E2A63">
              <w:rPr>
                <w:rFonts w:ascii="Times New Roman" w:hAnsi="Times New Roman" w:cs="Times New Roman"/>
                <w:sz w:val="20"/>
                <w:szCs w:val="20"/>
              </w:rPr>
              <w:t>eg</w:t>
            </w:r>
            <w:proofErr w:type="spellEnd"/>
            <w:r w:rsidRPr="003E2A63">
              <w:rPr>
                <w:rFonts w:ascii="Times New Roman" w:hAnsi="Times New Roman" w:cs="Times New Roman"/>
                <w:sz w:val="20"/>
                <w:szCs w:val="20"/>
              </w:rPr>
              <w:t xml:space="preserve"> demographic, clinical, social) and information on exposures and potential confounders</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b) Indicate number of participants with missing data for each variable of interest</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(c) </w:t>
            </w:r>
            <w:r w:rsidRPr="003E2A63">
              <w:rPr>
                <w:rFonts w:ascii="Times New Roman" w:hAnsi="Times New Roman" w:cs="Times New Roman"/>
                <w:i/>
                <w:sz w:val="20"/>
                <w:szCs w:val="20"/>
              </w:rPr>
              <w:t>Cohort study</w:t>
            </w:r>
            <w:r w:rsidRPr="003E2A63">
              <w:rPr>
                <w:rFonts w:ascii="Times New Roman" w:hAnsi="Times New Roman" w:cs="Times New Roman"/>
                <w:sz w:val="20"/>
                <w:szCs w:val="20"/>
              </w:rPr>
              <w:t>—</w:t>
            </w:r>
            <w:proofErr w:type="spellStart"/>
            <w:r w:rsidRPr="003E2A63">
              <w:rPr>
                <w:rFonts w:ascii="Times New Roman" w:hAnsi="Times New Roman" w:cs="Times New Roman"/>
                <w:sz w:val="20"/>
                <w:szCs w:val="20"/>
              </w:rPr>
              <w:t>Summarise</w:t>
            </w:r>
            <w:proofErr w:type="spellEnd"/>
            <w:r w:rsidRPr="003E2A63">
              <w:rPr>
                <w:rFonts w:ascii="Times New Roman" w:hAnsi="Times New Roman" w:cs="Times New Roman"/>
                <w:sz w:val="20"/>
                <w:szCs w:val="20"/>
              </w:rPr>
              <w:t xml:space="preserve"> follow-up time (</w:t>
            </w:r>
            <w:proofErr w:type="spellStart"/>
            <w:r w:rsidRPr="003E2A63">
              <w:rPr>
                <w:rFonts w:ascii="Times New Roman" w:hAnsi="Times New Roman" w:cs="Times New Roman"/>
                <w:sz w:val="20"/>
                <w:szCs w:val="20"/>
              </w:rPr>
              <w:t>eg</w:t>
            </w:r>
            <w:proofErr w:type="spellEnd"/>
            <w:r w:rsidRPr="003E2A63">
              <w:rPr>
                <w:rFonts w:ascii="Times New Roman" w:hAnsi="Times New Roman" w:cs="Times New Roman"/>
                <w:sz w:val="20"/>
                <w:szCs w:val="20"/>
              </w:rPr>
              <w:t>, average and total amount)</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a) 8</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(a) </w:t>
            </w:r>
            <w:r w:rsidRPr="003E2A63">
              <w:rPr>
                <w:rFonts w:ascii="Times New Roman" w:hAnsi="Times New Roman" w:cs="Times New Roman" w:hint="eastAsia"/>
                <w:sz w:val="20"/>
                <w:szCs w:val="20"/>
              </w:rPr>
              <w:t>l</w:t>
            </w:r>
            <w:r w:rsidRPr="003E2A63">
              <w:rPr>
                <w:rFonts w:ascii="Times New Roman" w:hAnsi="Times New Roman" w:cs="Times New Roman"/>
                <w:sz w:val="20"/>
                <w:szCs w:val="20"/>
              </w:rPr>
              <w:t>. 120-1 Participants’ demographics are presented in Table 1.</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b) This study is not applicable.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c) This study is not applicable because this study is a cross-sectional study.</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Outcome data</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5</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i/>
                <w:sz w:val="20"/>
                <w:szCs w:val="20"/>
              </w:rPr>
              <w:t>Cohort study</w:t>
            </w:r>
            <w:r w:rsidRPr="003E2A63">
              <w:rPr>
                <w:rFonts w:ascii="Times New Roman" w:hAnsi="Times New Roman" w:cs="Times New Roman"/>
                <w:sz w:val="20"/>
                <w:szCs w:val="20"/>
              </w:rPr>
              <w:t>—Report numbers of outcome events or summary measures over time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i/>
                <w:sz w:val="20"/>
                <w:szCs w:val="20"/>
              </w:rPr>
              <w:t>Case-control study—</w:t>
            </w:r>
            <w:r w:rsidRPr="003E2A63">
              <w:rPr>
                <w:rFonts w:ascii="Times New Roman" w:hAnsi="Times New Roman" w:cs="Times New Roman"/>
                <w:sz w:val="20"/>
                <w:szCs w:val="20"/>
              </w:rPr>
              <w:t>Report numbers in each exposure category, or summary measures of exposure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i/>
                <w:sz w:val="20"/>
                <w:szCs w:val="20"/>
              </w:rPr>
              <w:t>Cross-sectional study—</w:t>
            </w:r>
            <w:r w:rsidRPr="003E2A63">
              <w:rPr>
                <w:rFonts w:ascii="Times New Roman" w:hAnsi="Times New Roman" w:cs="Times New Roman"/>
                <w:sz w:val="20"/>
                <w:szCs w:val="20"/>
              </w:rPr>
              <w:t>Report numbers of outcome events or summary measures</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T</w:t>
            </w:r>
            <w:r w:rsidRPr="003E2A63">
              <w:rPr>
                <w:rFonts w:ascii="Times New Roman" w:hAnsi="Times New Roman" w:cs="Times New Roman"/>
                <w:sz w:val="20"/>
                <w:szCs w:val="20"/>
              </w:rPr>
              <w:t>able 1-3</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Main results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6</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a</w:t>
            </w:r>
            <w:r w:rsidRPr="003E2A63">
              <w:rPr>
                <w:rFonts w:ascii="Times New Roman" w:hAnsi="Times New Roman" w:cs="Times New Roman"/>
                <w:sz w:val="20"/>
                <w:szCs w:val="20"/>
              </w:rPr>
              <w:t>) Give unadjusted estimates and, if applicable, confounder-adjusted estimates and their precision (</w:t>
            </w:r>
            <w:proofErr w:type="spellStart"/>
            <w:r w:rsidRPr="003E2A63">
              <w:rPr>
                <w:rFonts w:ascii="Times New Roman" w:hAnsi="Times New Roman" w:cs="Times New Roman"/>
                <w:sz w:val="20"/>
                <w:szCs w:val="20"/>
              </w:rPr>
              <w:t>eg</w:t>
            </w:r>
            <w:proofErr w:type="spellEnd"/>
            <w:r w:rsidRPr="003E2A63">
              <w:rPr>
                <w:rFonts w:ascii="Times New Roman" w:hAnsi="Times New Roman" w:cs="Times New Roman"/>
                <w:sz w:val="20"/>
                <w:szCs w:val="20"/>
              </w:rPr>
              <w:t xml:space="preserve">, </w:t>
            </w:r>
            <w:r w:rsidRPr="00A45300">
              <w:rPr>
                <w:rFonts w:ascii="Times New Roman" w:hAnsi="Times New Roman" w:cs="Times New Roman"/>
                <w:sz w:val="20"/>
                <w:szCs w:val="20"/>
              </w:rPr>
              <w:t>95% confidence interval</w:t>
            </w:r>
            <w:r w:rsidRPr="003E2A63">
              <w:rPr>
                <w:rFonts w:ascii="Times New Roman" w:hAnsi="Times New Roman" w:cs="Times New Roman"/>
                <w:sz w:val="20"/>
                <w:szCs w:val="20"/>
              </w:rPr>
              <w:t>). Make clear which confounders were adjusted for and why they were included</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b</w:t>
            </w:r>
            <w:r w:rsidRPr="003E2A63">
              <w:rPr>
                <w:rFonts w:ascii="Times New Roman" w:hAnsi="Times New Roman" w:cs="Times New Roman"/>
                <w:sz w:val="20"/>
                <w:szCs w:val="20"/>
              </w:rPr>
              <w:t>) Report category boundaries when continuous variables were categorized</w:t>
            </w:r>
          </w:p>
          <w:p w:rsidR="009A154C" w:rsidRPr="003E2A63" w:rsidRDefault="009A154C" w:rsidP="007C6C1A">
            <w:pPr>
              <w:spacing w:line="259" w:lineRule="auto"/>
              <w:jc w:val="left"/>
              <w:rPr>
                <w:rFonts w:ascii="Times New Roman" w:hAnsi="Times New Roman" w:cs="Times New Roman"/>
                <w:i/>
                <w:sz w:val="20"/>
                <w:szCs w:val="20"/>
              </w:rPr>
            </w:pPr>
            <w:r w:rsidRPr="003E2A63">
              <w:rPr>
                <w:rFonts w:ascii="Times New Roman" w:hAnsi="Times New Roman" w:cs="Times New Roman"/>
                <w:sz w:val="20"/>
                <w:szCs w:val="20"/>
              </w:rPr>
              <w:t>(</w:t>
            </w:r>
            <w:r w:rsidRPr="003E2A63">
              <w:rPr>
                <w:rFonts w:ascii="Times New Roman" w:hAnsi="Times New Roman" w:cs="Times New Roman"/>
                <w:i/>
                <w:sz w:val="20"/>
                <w:szCs w:val="20"/>
              </w:rPr>
              <w:t>c</w:t>
            </w:r>
            <w:r w:rsidRPr="003E2A63">
              <w:rPr>
                <w:rFonts w:ascii="Times New Roman" w:hAnsi="Times New Roman" w:cs="Times New Roman"/>
                <w:sz w:val="20"/>
                <w:szCs w:val="20"/>
              </w:rPr>
              <w:t>) If relevant, consider translating estimates of relative risk into absolute risk for a meaningful time period</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 xml:space="preserve">a) </w:t>
            </w:r>
            <w:r w:rsidRPr="003E2A63">
              <w:rPr>
                <w:rFonts w:ascii="Times New Roman" w:hAnsi="Times New Roman" w:cs="Times New Roman" w:hint="eastAsia"/>
                <w:sz w:val="20"/>
                <w:szCs w:val="20"/>
              </w:rPr>
              <w:t>T</w:t>
            </w:r>
            <w:r w:rsidRPr="003E2A63">
              <w:rPr>
                <w:rFonts w:ascii="Times New Roman" w:hAnsi="Times New Roman" w:cs="Times New Roman"/>
                <w:sz w:val="20"/>
                <w:szCs w:val="20"/>
              </w:rPr>
              <w:t>able 1-</w:t>
            </w:r>
            <w:r>
              <w:rPr>
                <w:rFonts w:ascii="Times New Roman" w:hAnsi="Times New Roman" w:cs="Times New Roman"/>
                <w:sz w:val="20"/>
                <w:szCs w:val="20"/>
              </w:rPr>
              <w:t>4</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w:t>
            </w:r>
            <w:r w:rsidRPr="003E2A63">
              <w:rPr>
                <w:rFonts w:ascii="Times New Roman" w:hAnsi="Times New Roman" w:cs="Times New Roman"/>
                <w:sz w:val="20"/>
                <w:szCs w:val="20"/>
              </w:rPr>
              <w:t>b) This study is not applicable.</w:t>
            </w:r>
          </w:p>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(c) This study is not applicable</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Other analyses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7</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Report other analyses done—</w:t>
            </w:r>
            <w:proofErr w:type="spellStart"/>
            <w:r w:rsidRPr="003E2A63">
              <w:rPr>
                <w:rFonts w:ascii="Times New Roman" w:hAnsi="Times New Roman" w:cs="Times New Roman"/>
                <w:sz w:val="20"/>
                <w:szCs w:val="20"/>
              </w:rPr>
              <w:t>eg</w:t>
            </w:r>
            <w:proofErr w:type="spellEnd"/>
            <w:r w:rsidRPr="003E2A63">
              <w:rPr>
                <w:rFonts w:ascii="Times New Roman" w:hAnsi="Times New Roman" w:cs="Times New Roman"/>
                <w:sz w:val="20"/>
                <w:szCs w:val="20"/>
              </w:rPr>
              <w:t xml:space="preserve"> analyses of subgroups and interactions, and sensitivity analyses</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This study is not applicable.</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Discussion</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b/>
                <w:sz w:val="20"/>
                <w:szCs w:val="20"/>
              </w:rPr>
            </w:pPr>
            <w:r w:rsidRPr="003E2A63">
              <w:rPr>
                <w:rFonts w:ascii="Times New Roman" w:hAnsi="Times New Roman" w:cs="Times New Roman"/>
                <w:sz w:val="20"/>
                <w:szCs w:val="20"/>
              </w:rPr>
              <w:t>Key results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8</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roofErr w:type="spellStart"/>
            <w:r w:rsidRPr="003E2A63">
              <w:rPr>
                <w:rFonts w:ascii="Times New Roman" w:hAnsi="Times New Roman" w:cs="Times New Roman"/>
                <w:sz w:val="20"/>
                <w:szCs w:val="20"/>
              </w:rPr>
              <w:t>Summarise</w:t>
            </w:r>
            <w:proofErr w:type="spellEnd"/>
            <w:r w:rsidRPr="003E2A63">
              <w:rPr>
                <w:rFonts w:ascii="Times New Roman" w:hAnsi="Times New Roman" w:cs="Times New Roman"/>
                <w:sz w:val="20"/>
                <w:szCs w:val="20"/>
              </w:rPr>
              <w:t xml:space="preserve"> key results with reference to study objectives</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2</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xml:space="preserve">.185- 91 The present study sought to examine kinetics and kinematics during gait for patients who were undergone revision TKA with RHK, and we hypothesized that R-RHK was smaller than the knee joint angle and larger than the KAM as compared to </w:t>
            </w:r>
            <w:proofErr w:type="spellStart"/>
            <w:r w:rsidRPr="003E2A63">
              <w:rPr>
                <w:rFonts w:ascii="Times New Roman" w:hAnsi="Times New Roman" w:cs="Times New Roman"/>
                <w:sz w:val="20"/>
                <w:szCs w:val="20"/>
              </w:rPr>
              <w:t>uniCR</w:t>
            </w:r>
            <w:proofErr w:type="spellEnd"/>
            <w:r w:rsidRPr="003E2A63">
              <w:rPr>
                <w:rFonts w:ascii="Times New Roman" w:hAnsi="Times New Roman" w:cs="Times New Roman"/>
                <w:sz w:val="20"/>
                <w:szCs w:val="20"/>
              </w:rPr>
              <w:t xml:space="preserve"> and </w:t>
            </w:r>
            <w:proofErr w:type="spellStart"/>
            <w:r w:rsidRPr="003E2A63">
              <w:rPr>
                <w:rFonts w:ascii="Times New Roman" w:hAnsi="Times New Roman" w:cs="Times New Roman"/>
                <w:sz w:val="20"/>
                <w:szCs w:val="20"/>
              </w:rPr>
              <w:t>bilCR</w:t>
            </w:r>
            <w:proofErr w:type="spellEnd"/>
            <w:r w:rsidRPr="003E2A63">
              <w:rPr>
                <w:rFonts w:ascii="Times New Roman" w:hAnsi="Times New Roman" w:cs="Times New Roman"/>
                <w:sz w:val="20"/>
                <w:szCs w:val="20"/>
              </w:rPr>
              <w:t xml:space="preserve">. In this study, the knee joint angles, KAM, and </w:t>
            </w:r>
            <w:proofErr w:type="spellStart"/>
            <w:r w:rsidRPr="003E2A63">
              <w:rPr>
                <w:rFonts w:ascii="Times New Roman" w:hAnsi="Times New Roman" w:cs="Times New Roman"/>
                <w:sz w:val="20"/>
                <w:szCs w:val="20"/>
              </w:rPr>
              <w:t>tibial</w:t>
            </w:r>
            <w:proofErr w:type="spellEnd"/>
            <w:r w:rsidRPr="003E2A63">
              <w:rPr>
                <w:rFonts w:ascii="Times New Roman" w:hAnsi="Times New Roman" w:cs="Times New Roman"/>
                <w:sz w:val="20"/>
                <w:szCs w:val="20"/>
              </w:rPr>
              <w:t xml:space="preserve"> anterior translation were not different among the R-RHK, </w:t>
            </w:r>
            <w:proofErr w:type="spellStart"/>
            <w:r w:rsidRPr="003E2A63">
              <w:rPr>
                <w:rFonts w:ascii="Times New Roman" w:hAnsi="Times New Roman" w:cs="Times New Roman"/>
                <w:sz w:val="20"/>
                <w:szCs w:val="20"/>
              </w:rPr>
              <w:t>uniCR</w:t>
            </w:r>
            <w:proofErr w:type="spellEnd"/>
            <w:r w:rsidRPr="003E2A63">
              <w:rPr>
                <w:rFonts w:ascii="Times New Roman" w:hAnsi="Times New Roman" w:cs="Times New Roman"/>
                <w:sz w:val="20"/>
                <w:szCs w:val="20"/>
              </w:rPr>
              <w:t xml:space="preserve">, and </w:t>
            </w:r>
            <w:proofErr w:type="spellStart"/>
            <w:r w:rsidRPr="003E2A63">
              <w:rPr>
                <w:rFonts w:ascii="Times New Roman" w:hAnsi="Times New Roman" w:cs="Times New Roman"/>
                <w:sz w:val="20"/>
                <w:szCs w:val="20"/>
              </w:rPr>
              <w:t>bilCR</w:t>
            </w:r>
            <w:proofErr w:type="spellEnd"/>
            <w:r w:rsidRPr="003E2A63">
              <w:rPr>
                <w:rFonts w:ascii="Times New Roman" w:hAnsi="Times New Roman" w:cs="Times New Roman"/>
                <w:sz w:val="20"/>
                <w:szCs w:val="20"/>
              </w:rPr>
              <w:t xml:space="preserve"> groups during gait and the early stance phase, which supports our hypothesis. These findings suggest that the </w:t>
            </w:r>
            <w:r w:rsidRPr="003E2A63">
              <w:rPr>
                <w:rFonts w:ascii="Times New Roman" w:hAnsi="Times New Roman" w:cs="Times New Roman"/>
                <w:sz w:val="20"/>
                <w:szCs w:val="20"/>
              </w:rPr>
              <w:lastRenderedPageBreak/>
              <w:t xml:space="preserve">biomechanical data of the R-RHK group were not different compared to those of the </w:t>
            </w:r>
            <w:proofErr w:type="spellStart"/>
            <w:r w:rsidRPr="003E2A63">
              <w:rPr>
                <w:rFonts w:ascii="Times New Roman" w:hAnsi="Times New Roman" w:cs="Times New Roman"/>
                <w:sz w:val="20"/>
                <w:szCs w:val="20"/>
              </w:rPr>
              <w:t>uniCR</w:t>
            </w:r>
            <w:proofErr w:type="spellEnd"/>
            <w:r w:rsidRPr="003E2A63">
              <w:rPr>
                <w:rFonts w:ascii="Times New Roman" w:hAnsi="Times New Roman" w:cs="Times New Roman"/>
                <w:sz w:val="20"/>
                <w:szCs w:val="20"/>
              </w:rPr>
              <w:t xml:space="preserve"> and </w:t>
            </w:r>
            <w:proofErr w:type="spellStart"/>
            <w:r w:rsidRPr="003E2A63">
              <w:rPr>
                <w:rFonts w:ascii="Times New Roman" w:hAnsi="Times New Roman" w:cs="Times New Roman"/>
                <w:sz w:val="20"/>
                <w:szCs w:val="20"/>
              </w:rPr>
              <w:t>bilCR</w:t>
            </w:r>
            <w:proofErr w:type="spellEnd"/>
            <w:r w:rsidRPr="003E2A63">
              <w:rPr>
                <w:rFonts w:ascii="Times New Roman" w:hAnsi="Times New Roman" w:cs="Times New Roman"/>
                <w:sz w:val="20"/>
                <w:szCs w:val="20"/>
              </w:rPr>
              <w:t xml:space="preserve"> groups.</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lastRenderedPageBreak/>
              <w:t>Limitations</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9</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Discuss limitations of the study, taking into account sources of potential bias or imprecision. Discuss both direction and magnitude of any potential bias</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5</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.232- 44 Our study has some limitations.</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Interpretation</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2</w:t>
            </w:r>
            <w:r w:rsidRPr="003E2A63">
              <w:rPr>
                <w:rFonts w:ascii="Times New Roman" w:hAnsi="Times New Roman" w:cs="Times New Roman"/>
                <w:sz w:val="20"/>
                <w:szCs w:val="20"/>
              </w:rPr>
              <w:t>0</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Give a cautious overall interpretation of results considering objectives, limitations, multiplicity of analyses, results from similar studies, and other relevant evidence.</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5</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 246- 52 Conclusion</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roofErr w:type="spellStart"/>
            <w:r w:rsidRPr="003E2A63">
              <w:rPr>
                <w:rFonts w:ascii="Times New Roman" w:hAnsi="Times New Roman" w:cs="Times New Roman"/>
                <w:sz w:val="20"/>
                <w:szCs w:val="20"/>
              </w:rPr>
              <w:t>Generalisability</w:t>
            </w:r>
            <w:proofErr w:type="spellEnd"/>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2</w:t>
            </w:r>
            <w:r w:rsidRPr="003E2A63">
              <w:rPr>
                <w:rFonts w:ascii="Times New Roman" w:hAnsi="Times New Roman" w:cs="Times New Roman"/>
                <w:sz w:val="20"/>
                <w:szCs w:val="20"/>
              </w:rPr>
              <w:t>1</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 xml:space="preserve">Discuss the </w:t>
            </w:r>
            <w:proofErr w:type="spellStart"/>
            <w:r w:rsidRPr="003E2A63">
              <w:rPr>
                <w:rFonts w:ascii="Times New Roman" w:hAnsi="Times New Roman" w:cs="Times New Roman"/>
                <w:sz w:val="20"/>
                <w:szCs w:val="20"/>
              </w:rPr>
              <w:t>generalisability</w:t>
            </w:r>
            <w:proofErr w:type="spellEnd"/>
            <w:r w:rsidRPr="003E2A63">
              <w:rPr>
                <w:rFonts w:ascii="Times New Roman" w:hAnsi="Times New Roman" w:cs="Times New Roman"/>
                <w:sz w:val="20"/>
                <w:szCs w:val="20"/>
              </w:rPr>
              <w:t xml:space="preserve"> (external validity) of the study results</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4</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l</w:t>
            </w:r>
            <w:r w:rsidRPr="003E2A63">
              <w:rPr>
                <w:rFonts w:ascii="Times New Roman" w:hAnsi="Times New Roman" w:cs="Times New Roman"/>
                <w:sz w:val="20"/>
                <w:szCs w:val="20"/>
              </w:rPr>
              <w:t>.227- 30 There are many studies on gait analysis in patients with TKA. However, we could not find a published gait analysis in patients with revision RHK TKA; thus, ours is the first report. The gait biomechanics in our study were similar between patients who underwent revision TKA and those who underwent primary TKA.</w:t>
            </w: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b/>
                <w:sz w:val="20"/>
                <w:szCs w:val="20"/>
              </w:rPr>
              <w:t>Other information</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p>
        </w:tc>
      </w:tr>
      <w:tr w:rsidR="009A154C" w:rsidRPr="003E2A63" w:rsidTr="007C6C1A">
        <w:trPr>
          <w:trHeight w:val="310"/>
        </w:trPr>
        <w:tc>
          <w:tcPr>
            <w:tcW w:w="23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b/>
                <w:sz w:val="20"/>
                <w:szCs w:val="20"/>
              </w:rPr>
            </w:pPr>
            <w:r w:rsidRPr="003E2A63">
              <w:rPr>
                <w:rFonts w:ascii="Times New Roman" w:hAnsi="Times New Roman" w:cs="Times New Roman"/>
                <w:sz w:val="20"/>
                <w:szCs w:val="20"/>
              </w:rPr>
              <w:t>Funding</w:t>
            </w:r>
          </w:p>
        </w:tc>
        <w:tc>
          <w:tcPr>
            <w:tcW w:w="703"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2</w:t>
            </w:r>
            <w:r w:rsidRPr="003E2A63">
              <w:rPr>
                <w:rFonts w:ascii="Times New Roman" w:hAnsi="Times New Roman" w:cs="Times New Roman"/>
                <w:sz w:val="20"/>
                <w:szCs w:val="20"/>
              </w:rPr>
              <w:t>2</w:t>
            </w:r>
          </w:p>
        </w:tc>
        <w:tc>
          <w:tcPr>
            <w:tcW w:w="8227"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Give the source of funding and the role of the funders for the present study and, if applicable, for the original study on which the present article is based</w:t>
            </w:r>
          </w:p>
        </w:tc>
        <w:tc>
          <w:tcPr>
            <w:tcW w:w="958"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hint="eastAsia"/>
                <w:sz w:val="20"/>
                <w:szCs w:val="20"/>
              </w:rPr>
              <w:t>1</w:t>
            </w:r>
            <w:r w:rsidRPr="003E2A63">
              <w:rPr>
                <w:rFonts w:ascii="Times New Roman" w:hAnsi="Times New Roman" w:cs="Times New Roman"/>
                <w:sz w:val="20"/>
                <w:szCs w:val="20"/>
              </w:rPr>
              <w:t>8</w:t>
            </w:r>
          </w:p>
        </w:tc>
        <w:tc>
          <w:tcPr>
            <w:tcW w:w="2551" w:type="dxa"/>
            <w:tcBorders>
              <w:top w:val="single" w:sz="4" w:space="0" w:color="000000"/>
              <w:left w:val="nil"/>
              <w:bottom w:val="single" w:sz="4" w:space="0" w:color="000000"/>
              <w:right w:val="nil"/>
            </w:tcBorders>
          </w:tcPr>
          <w:p w:rsidR="009A154C" w:rsidRPr="003E2A63" w:rsidRDefault="009A154C" w:rsidP="007C6C1A">
            <w:pPr>
              <w:spacing w:line="259" w:lineRule="auto"/>
              <w:jc w:val="left"/>
              <w:rPr>
                <w:rFonts w:ascii="Times New Roman" w:hAnsi="Times New Roman" w:cs="Times New Roman"/>
                <w:sz w:val="20"/>
                <w:szCs w:val="20"/>
              </w:rPr>
            </w:pPr>
            <w:r w:rsidRPr="003E2A63">
              <w:rPr>
                <w:rFonts w:ascii="Times New Roman" w:hAnsi="Times New Roman" w:cs="Times New Roman"/>
                <w:sz w:val="20"/>
                <w:szCs w:val="20"/>
              </w:rPr>
              <w:t>Funding</w:t>
            </w:r>
          </w:p>
        </w:tc>
      </w:tr>
    </w:tbl>
    <w:p w:rsidR="009A154C" w:rsidRPr="006B3F39" w:rsidRDefault="009A154C" w:rsidP="009A154C">
      <w:pPr>
        <w:spacing w:line="259" w:lineRule="auto"/>
        <w:jc w:val="left"/>
        <w:rPr>
          <w:rFonts w:ascii="Times New Roman" w:hAnsi="Times New Roman" w:cs="Times New Roman"/>
          <w:sz w:val="24"/>
          <w:szCs w:val="24"/>
        </w:rPr>
      </w:pPr>
    </w:p>
    <w:p w:rsidR="009A154C" w:rsidRPr="006B3F39" w:rsidRDefault="009A154C" w:rsidP="009A154C">
      <w:pPr>
        <w:spacing w:line="259" w:lineRule="auto"/>
        <w:jc w:val="left"/>
        <w:rPr>
          <w:rFonts w:ascii="Times New Roman" w:hAnsi="Times New Roman" w:cs="Times New Roman"/>
          <w:sz w:val="24"/>
          <w:szCs w:val="24"/>
        </w:rPr>
      </w:pPr>
      <w:r w:rsidRPr="006B3F39">
        <w:rPr>
          <w:rFonts w:ascii="Times New Roman" w:hAnsi="Times New Roman" w:cs="Times New Roman"/>
          <w:sz w:val="24"/>
          <w:szCs w:val="24"/>
        </w:rPr>
        <w:t xml:space="preserve">*Give information separately for cases and controls in case-control studies and, if applicable, for exposed and unexposed groups in cohort and cross-sectional studies. </w:t>
      </w:r>
    </w:p>
    <w:p w:rsidR="009A154C" w:rsidRPr="006B3F39" w:rsidRDefault="009A154C" w:rsidP="009A154C">
      <w:pPr>
        <w:spacing w:line="259" w:lineRule="auto"/>
        <w:jc w:val="left"/>
        <w:rPr>
          <w:rFonts w:ascii="Times New Roman" w:hAnsi="Times New Roman" w:cs="Times New Roman"/>
          <w:sz w:val="24"/>
          <w:szCs w:val="24"/>
        </w:rPr>
      </w:pPr>
      <w:r w:rsidRPr="006B3F39">
        <w:rPr>
          <w:rFonts w:ascii="Times New Roman" w:hAnsi="Times New Roman" w:cs="Times New Roman"/>
          <w:sz w:val="24"/>
          <w:szCs w:val="24"/>
        </w:rPr>
        <w:t xml:space="preserve"> </w:t>
      </w:r>
    </w:p>
    <w:p w:rsidR="009A154C" w:rsidRPr="006B3F39" w:rsidRDefault="009A154C" w:rsidP="009A154C">
      <w:pPr>
        <w:spacing w:line="259" w:lineRule="auto"/>
        <w:jc w:val="left"/>
        <w:rPr>
          <w:rFonts w:ascii="Times New Roman" w:hAnsi="Times New Roman" w:cs="Times New Roman"/>
          <w:sz w:val="24"/>
          <w:szCs w:val="24"/>
        </w:rPr>
      </w:pPr>
      <w:r w:rsidRPr="006B3F39">
        <w:rPr>
          <w:rFonts w:ascii="Times New Roman" w:hAnsi="Times New Roman" w:cs="Times New Roman"/>
          <w:b/>
          <w:sz w:val="24"/>
          <w:szCs w:val="24"/>
        </w:rPr>
        <w:t>Note:</w:t>
      </w:r>
      <w:r w:rsidRPr="006B3F39">
        <w:rPr>
          <w:rFonts w:ascii="Times New Roman" w:hAnsi="Times New Roman" w:cs="Times New Roman"/>
          <w:sz w:val="24"/>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B3F39">
        <w:rPr>
          <w:rFonts w:ascii="Times New Roman" w:hAnsi="Times New Roman" w:cs="Times New Roman"/>
          <w:sz w:val="24"/>
          <w:szCs w:val="24"/>
        </w:rPr>
        <w:t>PLoS</w:t>
      </w:r>
      <w:proofErr w:type="spellEnd"/>
      <w:r w:rsidRPr="006B3F39">
        <w:rPr>
          <w:rFonts w:ascii="Times New Roman" w:hAnsi="Times New Roman" w:cs="Times New Roman"/>
          <w:sz w:val="24"/>
          <w:szCs w:val="24"/>
        </w:rPr>
        <w:t xml:space="preserve"> Medicine at http://www.plosmedicine.org/, Annals of Internal Medicine at http://www.annals.org/, and Epidemiology at http://www.epidem.com/). Information on the STROBE Initiative is available at www.strobe-statement.org.</w:t>
      </w:r>
      <w:r w:rsidRPr="006B3F39">
        <w:rPr>
          <w:rFonts w:ascii="Times New Roman" w:hAnsi="Times New Roman" w:cs="Times New Roman"/>
          <w:sz w:val="24"/>
          <w:szCs w:val="24"/>
        </w:rPr>
        <w:tab/>
        <w:t xml:space="preserve"> </w:t>
      </w:r>
    </w:p>
    <w:p w:rsidR="00390883" w:rsidRDefault="009A154C"/>
    <w:sectPr w:rsidR="00390883" w:rsidSect="001A6D85">
      <w:pgSz w:w="11910" w:h="16840"/>
      <w:pgMar w:top="1440" w:right="1267" w:bottom="1483" w:left="562" w:header="0" w:footer="128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54C"/>
    <w:rsid w:val="001A6D85"/>
    <w:rsid w:val="006E330B"/>
    <w:rsid w:val="009A154C"/>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E1D4D0-9595-4FCA-868F-033ADE47E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154C"/>
    <w:pPr>
      <w:widowControl w:val="0"/>
      <w:spacing w:after="0" w:line="240" w:lineRule="auto"/>
      <w:jc w:val="both"/>
    </w:pPr>
    <w:rPr>
      <w:rFonts w:eastAsiaTheme="minorEastAsia"/>
      <w:kern w:val="2"/>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1404</Words>
  <Characters>8003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2021-10-20T18:02:00Z</dcterms:created>
  <dcterms:modified xsi:type="dcterms:W3CDTF">2021-10-20T18:03:00Z</dcterms:modified>
</cp:coreProperties>
</file>