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margin" w:tblpY="457"/>
        <w:tblW w:w="1020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"/>
        <w:gridCol w:w="1530"/>
        <w:gridCol w:w="2150"/>
        <w:gridCol w:w="2153"/>
        <w:gridCol w:w="2151"/>
        <w:gridCol w:w="2153"/>
      </w:tblGrid>
      <w:tr w:rsidR="008A4141" w:rsidRPr="003D239A" w14:paraId="4E6D20D8" w14:textId="77777777" w:rsidTr="008A4141">
        <w:trPr>
          <w:cantSplit/>
          <w:trHeight w:val="434"/>
        </w:trPr>
        <w:tc>
          <w:tcPr>
            <w:tcW w:w="1600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1521B25B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bookmarkStart w:id="0" w:name="_Hlk183379427"/>
            <w:r w:rsidRPr="003D239A">
              <w:rPr>
                <w:rFonts w:asciiTheme="majorBidi" w:hAnsiTheme="majorBidi" w:cstheme="majorBidi"/>
              </w:rPr>
              <w:t>wear pattern</w:t>
            </w:r>
          </w:p>
        </w:tc>
        <w:tc>
          <w:tcPr>
            <w:tcW w:w="430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48C41AFC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AP view / Number (Percent)</w:t>
            </w:r>
          </w:p>
        </w:tc>
        <w:tc>
          <w:tcPr>
            <w:tcW w:w="4304" w:type="dxa"/>
            <w:gridSpan w:val="2"/>
            <w:tcBorders>
              <w:top w:val="single" w:sz="16" w:space="0" w:color="000000"/>
              <w:left w:val="single" w:sz="8" w:space="0" w:color="000000"/>
              <w:bottom w:val="single" w:sz="8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14:paraId="264C0BCB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Rosenberg view / Number (Percent)</w:t>
            </w:r>
          </w:p>
        </w:tc>
      </w:tr>
      <w:tr w:rsidR="008A4141" w:rsidRPr="003D239A" w14:paraId="707C9137" w14:textId="77777777" w:rsidTr="008A4141">
        <w:trPr>
          <w:cantSplit/>
          <w:trHeight w:val="436"/>
        </w:trPr>
        <w:tc>
          <w:tcPr>
            <w:tcW w:w="1600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14:paraId="4B91DDDA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0" w:type="dxa"/>
            <w:tcBorders>
              <w:top w:val="single" w:sz="8" w:space="0" w:color="000000"/>
              <w:left w:val="single" w:sz="16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5F8D6CD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Fals negative</w:t>
            </w:r>
          </w:p>
        </w:tc>
        <w:tc>
          <w:tcPr>
            <w:tcW w:w="215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265551D0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True positive</w:t>
            </w:r>
          </w:p>
        </w:tc>
        <w:tc>
          <w:tcPr>
            <w:tcW w:w="21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14:paraId="32305C26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Fals negative</w:t>
            </w:r>
          </w:p>
        </w:tc>
        <w:tc>
          <w:tcPr>
            <w:tcW w:w="2153" w:type="dxa"/>
            <w:tcBorders>
              <w:top w:val="single" w:sz="8" w:space="0" w:color="000000"/>
              <w:left w:val="single" w:sz="8" w:space="0" w:color="000000"/>
              <w:right w:val="single" w:sz="16" w:space="0" w:color="000000"/>
            </w:tcBorders>
            <w:shd w:val="clear" w:color="auto" w:fill="FFFFFF"/>
          </w:tcPr>
          <w:p w14:paraId="044BF181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True positive</w:t>
            </w:r>
          </w:p>
        </w:tc>
      </w:tr>
      <w:tr w:rsidR="008A4141" w:rsidRPr="003D239A" w14:paraId="728EF30D" w14:textId="77777777" w:rsidTr="008A4141">
        <w:trPr>
          <w:cantSplit/>
          <w:trHeight w:val="434"/>
        </w:trPr>
        <w:tc>
          <w:tcPr>
            <w:tcW w:w="70" w:type="dxa"/>
            <w:vMerge w:val="restart"/>
            <w:tcBorders>
              <w:top w:val="single" w:sz="16" w:space="0" w:color="000000"/>
              <w:left w:val="single" w:sz="16" w:space="0" w:color="000000"/>
              <w:right w:val="nil"/>
            </w:tcBorders>
            <w:shd w:val="clear" w:color="auto" w:fill="FFFFFF"/>
          </w:tcPr>
          <w:p w14:paraId="75DBE363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0FAF4946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AMOA (96)</w:t>
            </w:r>
          </w:p>
        </w:tc>
        <w:tc>
          <w:tcPr>
            <w:tcW w:w="215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8" w:space="0" w:color="000000"/>
            </w:tcBorders>
            <w:shd w:val="clear" w:color="auto" w:fill="FFFFFF"/>
          </w:tcPr>
          <w:p w14:paraId="529AC318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35 (36.5%)</w:t>
            </w:r>
          </w:p>
          <w:p w14:paraId="163B4032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45 (50.6%)</w:t>
            </w:r>
          </w:p>
          <w:p w14:paraId="7A1A74C9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46 (47.9%)</w:t>
            </w:r>
          </w:p>
          <w:p w14:paraId="63FF2CD1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31(53.4%)</w:t>
            </w:r>
          </w:p>
          <w:p w14:paraId="4F673A0C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0 (0.0%)</w:t>
            </w:r>
          </w:p>
          <w:p w14:paraId="462ABC52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 w:val="restart"/>
            <w:tcBorders>
              <w:top w:val="single" w:sz="16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70876715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61 (63.5%)</w:t>
            </w:r>
          </w:p>
          <w:p w14:paraId="158A93E8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44 (49.4%)</w:t>
            </w:r>
          </w:p>
          <w:p w14:paraId="0058E7C1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50 (52.1%)</w:t>
            </w:r>
          </w:p>
          <w:p w14:paraId="6DBF7AA0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27 (46.6%)</w:t>
            </w:r>
          </w:p>
          <w:p w14:paraId="65D05013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21(100.0%)</w:t>
            </w:r>
          </w:p>
          <w:p w14:paraId="039CCC30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1" w:type="dxa"/>
            <w:vMerge w:val="restart"/>
            <w:tcBorders>
              <w:top w:val="single" w:sz="16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3151F467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65 (67.7%)</w:t>
            </w:r>
          </w:p>
          <w:p w14:paraId="3019D847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13 (14.6%)</w:t>
            </w:r>
          </w:p>
          <w:p w14:paraId="6A8AF2DB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7 (7.3%)</w:t>
            </w:r>
          </w:p>
          <w:p w14:paraId="6F93BE4E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12 (20.7%)</w:t>
            </w:r>
          </w:p>
          <w:p w14:paraId="11F8B51E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0 (0.0%)</w:t>
            </w:r>
          </w:p>
          <w:p w14:paraId="0D490044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 w:val="restart"/>
            <w:tcBorders>
              <w:top w:val="single" w:sz="16" w:space="0" w:color="000000"/>
              <w:left w:val="single" w:sz="8" w:space="0" w:color="000000"/>
              <w:right w:val="single" w:sz="16" w:space="0" w:color="000000"/>
            </w:tcBorders>
            <w:shd w:val="clear" w:color="auto" w:fill="FFFFFF"/>
          </w:tcPr>
          <w:p w14:paraId="449BE54E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31 (32.3%)</w:t>
            </w:r>
          </w:p>
          <w:p w14:paraId="2BB8A872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76 (85.4%)</w:t>
            </w:r>
          </w:p>
          <w:p w14:paraId="6622DF59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89 (92.7%)</w:t>
            </w:r>
          </w:p>
          <w:p w14:paraId="62DF538A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46 (79.3%)</w:t>
            </w:r>
          </w:p>
          <w:p w14:paraId="2C94B8CA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21(100.0%)</w:t>
            </w:r>
          </w:p>
          <w:p w14:paraId="6081E72F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8A4141" w:rsidRPr="003D239A" w14:paraId="16DBA905" w14:textId="77777777" w:rsidTr="008A4141">
        <w:trPr>
          <w:cantSplit/>
          <w:trHeight w:val="135"/>
        </w:trPr>
        <w:tc>
          <w:tcPr>
            <w:tcW w:w="70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710F3906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700B8C65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MMOA (89)</w:t>
            </w:r>
          </w:p>
        </w:tc>
        <w:tc>
          <w:tcPr>
            <w:tcW w:w="2150" w:type="dxa"/>
            <w:vMerge/>
            <w:tcBorders>
              <w:left w:val="single" w:sz="16" w:space="0" w:color="000000"/>
              <w:right w:val="single" w:sz="8" w:space="0" w:color="000000"/>
            </w:tcBorders>
            <w:shd w:val="clear" w:color="auto" w:fill="FFFFFF"/>
          </w:tcPr>
          <w:p w14:paraId="0615EA38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11C70CA3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1C3C75BA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/>
            <w:tcBorders>
              <w:left w:val="single" w:sz="8" w:space="0" w:color="000000"/>
              <w:right w:val="single" w:sz="16" w:space="0" w:color="000000"/>
            </w:tcBorders>
            <w:shd w:val="clear" w:color="auto" w:fill="FFFFFF"/>
          </w:tcPr>
          <w:p w14:paraId="567D1000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8A4141" w:rsidRPr="003D239A" w14:paraId="243206E4" w14:textId="77777777" w:rsidTr="008A4141">
        <w:trPr>
          <w:cantSplit/>
          <w:trHeight w:val="135"/>
        </w:trPr>
        <w:tc>
          <w:tcPr>
            <w:tcW w:w="70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03EFD034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221314E3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PMOA (96)</w:t>
            </w:r>
          </w:p>
        </w:tc>
        <w:tc>
          <w:tcPr>
            <w:tcW w:w="2150" w:type="dxa"/>
            <w:vMerge/>
            <w:tcBorders>
              <w:left w:val="single" w:sz="16" w:space="0" w:color="000000"/>
              <w:right w:val="single" w:sz="8" w:space="0" w:color="000000"/>
            </w:tcBorders>
            <w:shd w:val="clear" w:color="auto" w:fill="FFFFFF"/>
          </w:tcPr>
          <w:p w14:paraId="51151291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3076372B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422F3514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/>
            <w:tcBorders>
              <w:left w:val="single" w:sz="8" w:space="0" w:color="000000"/>
              <w:right w:val="single" w:sz="16" w:space="0" w:color="000000"/>
            </w:tcBorders>
            <w:shd w:val="clear" w:color="auto" w:fill="FFFFFF"/>
          </w:tcPr>
          <w:p w14:paraId="28140C8B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8A4141" w:rsidRPr="003D239A" w14:paraId="376A7E13" w14:textId="77777777" w:rsidTr="008A4141">
        <w:trPr>
          <w:cantSplit/>
          <w:trHeight w:val="135"/>
        </w:trPr>
        <w:tc>
          <w:tcPr>
            <w:tcW w:w="70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2E3F1CDD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14:paraId="4643216D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CMOA (58)</w:t>
            </w:r>
          </w:p>
        </w:tc>
        <w:tc>
          <w:tcPr>
            <w:tcW w:w="2150" w:type="dxa"/>
            <w:vMerge/>
            <w:tcBorders>
              <w:left w:val="single" w:sz="16" w:space="0" w:color="000000"/>
              <w:right w:val="single" w:sz="8" w:space="0" w:color="000000"/>
            </w:tcBorders>
            <w:shd w:val="clear" w:color="auto" w:fill="FFFFFF"/>
          </w:tcPr>
          <w:p w14:paraId="186635F5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2430A5F0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1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14:paraId="795AA8EC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/>
            <w:tcBorders>
              <w:left w:val="single" w:sz="8" w:space="0" w:color="000000"/>
              <w:right w:val="single" w:sz="16" w:space="0" w:color="000000"/>
            </w:tcBorders>
            <w:shd w:val="clear" w:color="auto" w:fill="FFFFFF"/>
          </w:tcPr>
          <w:p w14:paraId="260F638A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8A4141" w:rsidRPr="003D239A" w14:paraId="4A5CFCE9" w14:textId="77777777" w:rsidTr="008A4141">
        <w:trPr>
          <w:cantSplit/>
          <w:trHeight w:val="510"/>
        </w:trPr>
        <w:tc>
          <w:tcPr>
            <w:tcW w:w="70" w:type="dxa"/>
            <w:vMerge/>
            <w:tcBorders>
              <w:left w:val="single" w:sz="16" w:space="0" w:color="000000"/>
              <w:right w:val="nil"/>
            </w:tcBorders>
            <w:shd w:val="clear" w:color="auto" w:fill="FFFFFF"/>
          </w:tcPr>
          <w:p w14:paraId="0B7369AF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16" w:space="0" w:color="000000"/>
            </w:tcBorders>
            <w:shd w:val="clear" w:color="auto" w:fill="FFFFFF"/>
          </w:tcPr>
          <w:p w14:paraId="65AA1CB0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MOA (21)</w:t>
            </w:r>
          </w:p>
          <w:p w14:paraId="4A1B7C08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0" w:type="dxa"/>
            <w:vMerge/>
            <w:tcBorders>
              <w:left w:val="single" w:sz="16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1B720E8F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01A53AA7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</w:tcPr>
          <w:p w14:paraId="3AC7BCB6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2153" w:type="dxa"/>
            <w:vMerge/>
            <w:tcBorders>
              <w:left w:val="single" w:sz="8" w:space="0" w:color="000000"/>
              <w:bottom w:val="single" w:sz="4" w:space="0" w:color="auto"/>
              <w:right w:val="single" w:sz="16" w:space="0" w:color="000000"/>
            </w:tcBorders>
            <w:shd w:val="clear" w:color="auto" w:fill="FFFFFF"/>
          </w:tcPr>
          <w:p w14:paraId="1B9F53C2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</w:tr>
      <w:tr w:rsidR="008A4141" w:rsidRPr="003D239A" w14:paraId="2FFB78C8" w14:textId="77777777" w:rsidTr="008A4141">
        <w:trPr>
          <w:cantSplit/>
          <w:trHeight w:val="356"/>
        </w:trPr>
        <w:tc>
          <w:tcPr>
            <w:tcW w:w="70" w:type="dxa"/>
            <w:vMerge/>
            <w:tcBorders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14:paraId="6C5F62C4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225CD72A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Overall (360)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16" w:space="0" w:color="000000"/>
              <w:bottom w:val="single" w:sz="16" w:space="0" w:color="000000"/>
              <w:right w:val="single" w:sz="8" w:space="0" w:color="000000"/>
            </w:tcBorders>
            <w:shd w:val="clear" w:color="auto" w:fill="FFFFFF"/>
          </w:tcPr>
          <w:p w14:paraId="5EB737B4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157 (43.6%)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FF"/>
          </w:tcPr>
          <w:p w14:paraId="35E0DF3D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203 (56.4%)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8" w:space="0" w:color="000000"/>
              <w:bottom w:val="single" w:sz="16" w:space="0" w:color="000000"/>
              <w:right w:val="single" w:sz="8" w:space="0" w:color="000000"/>
            </w:tcBorders>
            <w:shd w:val="clear" w:color="auto" w:fill="FFFFFF"/>
          </w:tcPr>
          <w:p w14:paraId="0EE101C0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97 (26.9%)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8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90CED60" w14:textId="77777777" w:rsidR="008A4141" w:rsidRPr="003D239A" w:rsidRDefault="008A4141" w:rsidP="008A4141">
            <w:pPr>
              <w:jc w:val="center"/>
              <w:rPr>
                <w:rFonts w:asciiTheme="majorBidi" w:hAnsiTheme="majorBidi" w:cstheme="majorBidi"/>
              </w:rPr>
            </w:pPr>
            <w:r w:rsidRPr="003D239A">
              <w:rPr>
                <w:rFonts w:asciiTheme="majorBidi" w:hAnsiTheme="majorBidi" w:cstheme="majorBidi"/>
              </w:rPr>
              <w:t>263 (73.1%)</w:t>
            </w:r>
          </w:p>
        </w:tc>
      </w:tr>
    </w:tbl>
    <w:bookmarkEnd w:id="0"/>
    <w:p w14:paraId="3E385BBF" w14:textId="5D5562A0" w:rsidR="008A4141" w:rsidRPr="008A4141" w:rsidRDefault="008A4141" w:rsidP="008A4141">
      <w:pPr>
        <w:rPr>
          <w:rFonts w:asciiTheme="majorBidi" w:hAnsiTheme="majorBidi" w:cstheme="majorBidi"/>
        </w:rPr>
      </w:pPr>
      <w:r w:rsidRPr="003D239A">
        <w:rPr>
          <w:rFonts w:asciiTheme="majorBidi" w:hAnsiTheme="majorBidi" w:cstheme="majorBidi"/>
        </w:rPr>
        <w:t xml:space="preserve"> </w:t>
      </w:r>
      <w:r w:rsidRPr="003D239A">
        <w:rPr>
          <w:rFonts w:asciiTheme="majorBidi" w:hAnsiTheme="majorBidi" w:cstheme="majorBidi"/>
        </w:rPr>
        <w:t>Table 3</w:t>
      </w:r>
      <w:r>
        <w:rPr>
          <w:rFonts w:asciiTheme="majorBidi" w:hAnsiTheme="majorBidi" w:cstheme="majorBidi"/>
        </w:rPr>
        <w:t xml:space="preserve">: </w:t>
      </w:r>
      <w:r w:rsidRPr="003D239A">
        <w:rPr>
          <w:rFonts w:asciiTheme="majorBidi" w:hAnsiTheme="majorBidi" w:cstheme="majorBidi"/>
        </w:rPr>
        <w:t>Fals negative</w:t>
      </w:r>
      <w:r>
        <w:rPr>
          <w:rFonts w:asciiTheme="majorBidi" w:hAnsiTheme="majorBidi" w:cstheme="majorBidi"/>
        </w:rPr>
        <w:t xml:space="preserve"> and </w:t>
      </w:r>
      <w:r w:rsidRPr="003D239A">
        <w:rPr>
          <w:rFonts w:asciiTheme="majorBidi" w:hAnsiTheme="majorBidi" w:cstheme="majorBidi"/>
        </w:rPr>
        <w:t>True positive</w:t>
      </w:r>
      <w:r>
        <w:rPr>
          <w:rFonts w:asciiTheme="majorBidi" w:hAnsiTheme="majorBidi" w:cstheme="majorBidi"/>
        </w:rPr>
        <w:t xml:space="preserve"> for AP and </w:t>
      </w:r>
      <w:r w:rsidRPr="003D239A">
        <w:rPr>
          <w:rFonts w:asciiTheme="majorBidi" w:hAnsiTheme="majorBidi" w:cstheme="majorBidi"/>
        </w:rPr>
        <w:t>Rosenberg</w:t>
      </w:r>
      <w:r>
        <w:rPr>
          <w:rFonts w:asciiTheme="majorBidi" w:hAnsiTheme="majorBidi" w:cstheme="majorBidi"/>
        </w:rPr>
        <w:t xml:space="preserve"> views in different wear patterns</w:t>
      </w:r>
    </w:p>
    <w:sectPr w:rsidR="008A4141" w:rsidRPr="008A41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141"/>
    <w:rsid w:val="002B1BD5"/>
    <w:rsid w:val="002B5BD8"/>
    <w:rsid w:val="006F01EF"/>
    <w:rsid w:val="008A4141"/>
    <w:rsid w:val="00B122F6"/>
    <w:rsid w:val="00B37D8C"/>
    <w:rsid w:val="00FC6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08B46"/>
  <w15:chartTrackingRefBased/>
  <w15:docId w15:val="{25410009-593B-4F1F-B442-7FA1A65AF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141"/>
  </w:style>
  <w:style w:type="paragraph" w:styleId="Heading1">
    <w:name w:val="heading 1"/>
    <w:basedOn w:val="Normal"/>
    <w:next w:val="Normal"/>
    <w:link w:val="Heading1Char"/>
    <w:uiPriority w:val="9"/>
    <w:qFormat/>
    <w:rsid w:val="008A41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41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41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41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41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41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41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41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41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41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41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41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41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41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41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41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41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41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41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41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41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41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41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41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41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41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41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41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41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 aghajani</dc:creator>
  <cp:keywords/>
  <dc:description/>
  <cp:lastModifiedBy>sina aghajani</cp:lastModifiedBy>
  <cp:revision>1</cp:revision>
  <dcterms:created xsi:type="dcterms:W3CDTF">2024-11-24T19:29:00Z</dcterms:created>
  <dcterms:modified xsi:type="dcterms:W3CDTF">2024-11-24T19:30:00Z</dcterms:modified>
</cp:coreProperties>
</file>