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3D0" w:rsidRPr="00D80951" w:rsidRDefault="00AD43D0">
      <w:pPr>
        <w:rPr>
          <w:rFonts w:ascii="Times New Roman" w:hAnsi="Times New Roman" w:cs="Times New Roman"/>
          <w:b/>
          <w:sz w:val="28"/>
          <w:szCs w:val="28"/>
        </w:rPr>
      </w:pPr>
      <w:r w:rsidRPr="00D80951">
        <w:rPr>
          <w:rFonts w:ascii="Times New Roman" w:hAnsi="Times New Roman" w:cs="Times New Roman"/>
          <w:b/>
          <w:sz w:val="28"/>
          <w:szCs w:val="28"/>
        </w:rPr>
        <w:t>Supplementary Figures</w:t>
      </w:r>
    </w:p>
    <w:p w:rsidR="00514F6F" w:rsidRPr="000C26B9" w:rsidRDefault="00AD43D0">
      <w:pPr>
        <w:rPr>
          <w:rFonts w:ascii="Times New Roman" w:hAnsi="Times New Roman" w:cs="Times New Roman"/>
          <w:sz w:val="20"/>
          <w:szCs w:val="20"/>
        </w:rPr>
      </w:pPr>
      <w:r w:rsidRPr="000C26B9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514F6F" w:rsidRPr="000C26B9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DA1B4E6" wp14:editId="2FA5ADFA">
            <wp:extent cx="5278120" cy="4336415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 Frequency distribution of the lint percentage (LP, %) in four environments among the 254 upland cotton (G. hirsutum) 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F6F" w:rsidRPr="00D80951" w:rsidRDefault="009979CA" w:rsidP="00514F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80951">
        <w:rPr>
          <w:rFonts w:ascii="Times New Roman" w:hAnsi="Times New Roman" w:cs="Times New Roman"/>
          <w:b/>
          <w:sz w:val="24"/>
          <w:szCs w:val="24"/>
        </w:rPr>
        <w:t>Supplementary Fig.</w:t>
      </w:r>
      <w:proofErr w:type="gramEnd"/>
      <w:r w:rsidRPr="00D80951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="00514F6F" w:rsidRPr="00D80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4F6F" w:rsidRPr="00D80951">
        <w:rPr>
          <w:rFonts w:ascii="Times New Roman" w:hAnsi="Times New Roman" w:cs="Times New Roman"/>
          <w:sz w:val="24"/>
          <w:szCs w:val="24"/>
        </w:rPr>
        <w:t>Frequency distribution of the lint percentage (LP, %) in four environments (16AY, 16LQ, 17AY, 17LQ) among the 254 upland cotton (</w:t>
      </w:r>
      <w:r w:rsidR="00514F6F" w:rsidRPr="00D80951">
        <w:rPr>
          <w:rFonts w:ascii="Times New Roman" w:hAnsi="Times New Roman" w:cs="Times New Roman"/>
          <w:i/>
          <w:sz w:val="24"/>
          <w:szCs w:val="24"/>
        </w:rPr>
        <w:t xml:space="preserve">G. </w:t>
      </w:r>
      <w:proofErr w:type="spellStart"/>
      <w:r w:rsidR="00514F6F" w:rsidRPr="00D80951">
        <w:rPr>
          <w:rFonts w:ascii="Times New Roman" w:hAnsi="Times New Roman" w:cs="Times New Roman"/>
          <w:i/>
          <w:sz w:val="24"/>
          <w:szCs w:val="24"/>
        </w:rPr>
        <w:t>hirsutum</w:t>
      </w:r>
      <w:proofErr w:type="spellEnd"/>
      <w:r w:rsidR="00514F6F" w:rsidRPr="00D80951">
        <w:rPr>
          <w:rFonts w:ascii="Times New Roman" w:hAnsi="Times New Roman" w:cs="Times New Roman"/>
          <w:sz w:val="24"/>
          <w:szCs w:val="24"/>
        </w:rPr>
        <w:t xml:space="preserve">) accessions. </w:t>
      </w:r>
      <w:proofErr w:type="gramStart"/>
      <w:r w:rsidR="003414A0">
        <w:rPr>
          <w:rFonts w:ascii="Times New Roman" w:hAnsi="Times New Roman" w:cs="Times New Roman" w:hint="eastAsia"/>
          <w:sz w:val="24"/>
          <w:szCs w:val="24"/>
        </w:rPr>
        <w:t>(</w:t>
      </w:r>
      <w:r w:rsidR="00514F6F" w:rsidRPr="00D80951">
        <w:rPr>
          <w:rFonts w:ascii="Times New Roman" w:hAnsi="Times New Roman" w:cs="Times New Roman"/>
          <w:sz w:val="24"/>
          <w:szCs w:val="24"/>
        </w:rPr>
        <w:t>a</w:t>
      </w:r>
      <w:r w:rsidR="003414A0">
        <w:rPr>
          <w:rFonts w:ascii="Times New Roman" w:hAnsi="Times New Roman" w:cs="Times New Roman" w:hint="eastAsia"/>
          <w:sz w:val="24"/>
          <w:szCs w:val="24"/>
        </w:rPr>
        <w:t>)</w:t>
      </w:r>
      <w:r w:rsidR="00514F6F" w:rsidRPr="00D80951">
        <w:rPr>
          <w:rFonts w:ascii="Times New Roman" w:hAnsi="Times New Roman" w:cs="Times New Roman"/>
          <w:sz w:val="24"/>
          <w:szCs w:val="24"/>
        </w:rPr>
        <w:t xml:space="preserve"> 16AY, </w:t>
      </w:r>
      <w:r w:rsidR="003414A0">
        <w:rPr>
          <w:rFonts w:ascii="Times New Roman" w:hAnsi="Times New Roman" w:cs="Times New Roman" w:hint="eastAsia"/>
          <w:sz w:val="24"/>
          <w:szCs w:val="24"/>
        </w:rPr>
        <w:t>(</w:t>
      </w:r>
      <w:r w:rsidR="00514F6F" w:rsidRPr="00D80951">
        <w:rPr>
          <w:rFonts w:ascii="Times New Roman" w:hAnsi="Times New Roman" w:cs="Times New Roman"/>
          <w:sz w:val="24"/>
          <w:szCs w:val="24"/>
        </w:rPr>
        <w:t>b</w:t>
      </w:r>
      <w:r w:rsidR="003414A0">
        <w:rPr>
          <w:rFonts w:ascii="Times New Roman" w:hAnsi="Times New Roman" w:cs="Times New Roman" w:hint="eastAsia"/>
          <w:sz w:val="24"/>
          <w:szCs w:val="24"/>
        </w:rPr>
        <w:t>)</w:t>
      </w:r>
      <w:r w:rsidR="00514F6F" w:rsidRPr="00D80951">
        <w:rPr>
          <w:rFonts w:ascii="Times New Roman" w:hAnsi="Times New Roman" w:cs="Times New Roman"/>
          <w:sz w:val="24"/>
          <w:szCs w:val="24"/>
        </w:rPr>
        <w:t xml:space="preserve"> 16LQ, </w:t>
      </w:r>
      <w:r w:rsidR="003414A0">
        <w:rPr>
          <w:rFonts w:ascii="Times New Roman" w:hAnsi="Times New Roman" w:cs="Times New Roman" w:hint="eastAsia"/>
          <w:sz w:val="24"/>
          <w:szCs w:val="24"/>
        </w:rPr>
        <w:t>(</w:t>
      </w:r>
      <w:r w:rsidR="00514F6F" w:rsidRPr="00D80951">
        <w:rPr>
          <w:rFonts w:ascii="Times New Roman" w:hAnsi="Times New Roman" w:cs="Times New Roman"/>
          <w:sz w:val="24"/>
          <w:szCs w:val="24"/>
        </w:rPr>
        <w:t>c</w:t>
      </w:r>
      <w:r w:rsidR="003414A0">
        <w:rPr>
          <w:rFonts w:ascii="Times New Roman" w:hAnsi="Times New Roman" w:cs="Times New Roman" w:hint="eastAsia"/>
          <w:sz w:val="24"/>
          <w:szCs w:val="24"/>
        </w:rPr>
        <w:t>)</w:t>
      </w:r>
      <w:r w:rsidR="00514F6F" w:rsidRPr="00D80951">
        <w:rPr>
          <w:rFonts w:ascii="Times New Roman" w:hAnsi="Times New Roman" w:cs="Times New Roman"/>
          <w:sz w:val="24"/>
          <w:szCs w:val="24"/>
        </w:rPr>
        <w:t xml:space="preserve"> 17AY, and </w:t>
      </w:r>
      <w:r w:rsidR="003414A0">
        <w:rPr>
          <w:rFonts w:ascii="Times New Roman" w:hAnsi="Times New Roman" w:cs="Times New Roman" w:hint="eastAsia"/>
          <w:sz w:val="24"/>
          <w:szCs w:val="24"/>
        </w:rPr>
        <w:t>(</w:t>
      </w:r>
      <w:r w:rsidR="00514F6F" w:rsidRPr="00D80951">
        <w:rPr>
          <w:rFonts w:ascii="Times New Roman" w:hAnsi="Times New Roman" w:cs="Times New Roman"/>
          <w:sz w:val="24"/>
          <w:szCs w:val="24"/>
        </w:rPr>
        <w:t>d</w:t>
      </w:r>
      <w:r w:rsidR="003414A0">
        <w:rPr>
          <w:rFonts w:ascii="Times New Roman" w:hAnsi="Times New Roman" w:cs="Times New Roman" w:hint="eastAsia"/>
          <w:sz w:val="24"/>
          <w:szCs w:val="24"/>
        </w:rPr>
        <w:t>)</w:t>
      </w:r>
      <w:r w:rsidR="00514F6F" w:rsidRPr="00D80951">
        <w:rPr>
          <w:rFonts w:ascii="Times New Roman" w:hAnsi="Times New Roman" w:cs="Times New Roman"/>
          <w:sz w:val="24"/>
          <w:szCs w:val="24"/>
        </w:rPr>
        <w:t xml:space="preserve"> 17LQ.</w:t>
      </w:r>
      <w:proofErr w:type="gramEnd"/>
      <w:r w:rsidR="00514F6F" w:rsidRPr="00D809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0C26B9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0210222C" wp14:editId="3FFB9700">
            <wp:extent cx="5278120" cy="541147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 Genome-wide average LD decay estimates of the 254 upland cotton (G. hirsutum) accession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41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14F6F" w:rsidRPr="00D80951" w:rsidRDefault="009979CA" w:rsidP="00514F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8095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="00246E93" w:rsidRPr="00D8095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514F6F" w:rsidRPr="00D80951">
        <w:rPr>
          <w:rFonts w:ascii="Times New Roman" w:hAnsi="Times New Roman" w:cs="Times New Roman"/>
          <w:b/>
          <w:sz w:val="24"/>
          <w:szCs w:val="24"/>
        </w:rPr>
        <w:t>S2</w:t>
      </w:r>
      <w:r w:rsidR="00246E93" w:rsidRPr="00D80951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514F6F" w:rsidRPr="00D809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4F6F" w:rsidRPr="00D80951">
        <w:rPr>
          <w:rFonts w:ascii="Times New Roman" w:hAnsi="Times New Roman" w:cs="Times New Roman"/>
          <w:sz w:val="24"/>
          <w:szCs w:val="24"/>
        </w:rPr>
        <w:t>Genome-wide average LD decay estimates of the 254 upland cotton (</w:t>
      </w:r>
      <w:r w:rsidR="00514F6F" w:rsidRPr="00D80951">
        <w:rPr>
          <w:rFonts w:ascii="Times New Roman" w:hAnsi="Times New Roman" w:cs="Times New Roman"/>
          <w:i/>
          <w:sz w:val="24"/>
          <w:szCs w:val="24"/>
        </w:rPr>
        <w:t xml:space="preserve">G. </w:t>
      </w:r>
      <w:proofErr w:type="spellStart"/>
      <w:r w:rsidR="00514F6F" w:rsidRPr="00D80951">
        <w:rPr>
          <w:rFonts w:ascii="Times New Roman" w:hAnsi="Times New Roman" w:cs="Times New Roman"/>
          <w:i/>
          <w:sz w:val="24"/>
          <w:szCs w:val="24"/>
        </w:rPr>
        <w:t>hirsutum</w:t>
      </w:r>
      <w:proofErr w:type="spellEnd"/>
      <w:r w:rsidR="00514F6F" w:rsidRPr="00D80951">
        <w:rPr>
          <w:rFonts w:ascii="Times New Roman" w:hAnsi="Times New Roman" w:cs="Times New Roman"/>
          <w:sz w:val="24"/>
          <w:szCs w:val="24"/>
        </w:rPr>
        <w:t>) accessions.</w:t>
      </w: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  <w:r w:rsidRPr="000C26B9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31DCAA81" wp14:editId="7985D6A0">
            <wp:extent cx="5278120" cy="38735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 Manhattan plots of the results of a genome-wide association study for lint percentage (LP) in the four environments using the FarmCPU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E93" w:rsidRPr="00D80951" w:rsidRDefault="009979CA" w:rsidP="00246E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8095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="00246E93" w:rsidRPr="00D80951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46E93" w:rsidRPr="00D80951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Manhattan plots </w:t>
      </w:r>
      <w:r w:rsidR="004609B0">
        <w:rPr>
          <w:rFonts w:ascii="Times New Roman" w:hAnsi="Times New Roman" w:cs="Times New Roman" w:hint="eastAsia"/>
          <w:sz w:val="24"/>
          <w:szCs w:val="24"/>
        </w:rPr>
        <w:t xml:space="preserve">showing the </w:t>
      </w:r>
      <w:r w:rsidR="001F100D">
        <w:rPr>
          <w:rFonts w:ascii="Times New Roman" w:hAnsi="Times New Roman" w:cs="Times New Roman" w:hint="eastAsia"/>
          <w:sz w:val="24"/>
          <w:szCs w:val="24"/>
        </w:rPr>
        <w:t xml:space="preserve">GWAS 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results for lint percentage (LP, %) in four environments (16AY, 16LQ, 17AY, 17LQ) using the </w:t>
      </w:r>
      <w:proofErr w:type="spellStart"/>
      <w:r w:rsidR="00246E93" w:rsidRPr="00D80951">
        <w:rPr>
          <w:rFonts w:ascii="Times New Roman" w:hAnsi="Times New Roman" w:cs="Times New Roman"/>
          <w:sz w:val="24"/>
          <w:szCs w:val="24"/>
        </w:rPr>
        <w:t>FarmCPU</w:t>
      </w:r>
      <w:proofErr w:type="spellEnd"/>
      <w:r w:rsidR="00246E93" w:rsidRPr="00D80951">
        <w:rPr>
          <w:rFonts w:ascii="Times New Roman" w:hAnsi="Times New Roman" w:cs="Times New Roman"/>
          <w:sz w:val="24"/>
          <w:szCs w:val="24"/>
        </w:rPr>
        <w:t xml:space="preserve"> model. The red horizontal line represents the significance threshold (−log</w:t>
      </w:r>
      <w:r w:rsidR="00246E93" w:rsidRPr="00D80951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P = 4.61).</w:t>
      </w:r>
    </w:p>
    <w:p w:rsidR="00246E93" w:rsidRPr="000C26B9" w:rsidRDefault="00246E93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  <w:r w:rsidRPr="000C26B9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1E87A812" wp14:editId="55477C40">
            <wp:extent cx="5278120" cy="2696845"/>
            <wp:effectExtent l="0" t="0" r="0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. Detection of fiber initiatio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9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E93" w:rsidRPr="00D22B4F" w:rsidRDefault="009979CA" w:rsidP="00246E93">
      <w:pPr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8095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="00246E93" w:rsidRPr="00D80951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46E93" w:rsidRPr="00D80951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>The number of fiber protrusions of cotton accessions with different lint percentage detected by Scan Electronic Microscope (SEM)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. </w:t>
      </w:r>
      <w:r w:rsidR="00D22B4F">
        <w:rPr>
          <w:rFonts w:ascii="Times New Roman" w:hAnsi="Times New Roman" w:cs="Times New Roman" w:hint="eastAsia"/>
          <w:sz w:val="24"/>
          <w:szCs w:val="24"/>
        </w:rPr>
        <w:t>(</w:t>
      </w:r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D22B4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) </w:t>
      </w:r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 xml:space="preserve">Detection of fiber initiation at 0 DPA; i) and ii) present the whole ovule of LMY22 (left) and LY343 (right), respectively, scale bar, 500 </w:t>
      </w:r>
      <w:proofErr w:type="spellStart"/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>μm</w:t>
      </w:r>
      <w:proofErr w:type="spellEnd"/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 xml:space="preserve">; iii) and iv) present close-up views of LMY22 (left) and LY343 (right), respectively, scale bar, 100 </w:t>
      </w:r>
      <w:proofErr w:type="spellStart"/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>μm</w:t>
      </w:r>
      <w:proofErr w:type="spellEnd"/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D22B4F"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D22B4F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 xml:space="preserve"> Counts of fiber i</w:t>
      </w:r>
      <w:r w:rsidR="00A02CA2">
        <w:rPr>
          <w:rFonts w:ascii="Times New Roman" w:hAnsi="Times New Roman" w:cs="Times New Roman"/>
          <w:color w:val="000000"/>
          <w:sz w:val="24"/>
          <w:szCs w:val="24"/>
        </w:rPr>
        <w:t xml:space="preserve">nitiations, mean ± </w:t>
      </w:r>
      <w:proofErr w:type="spellStart"/>
      <w:r w:rsidR="00A02CA2">
        <w:rPr>
          <w:rFonts w:ascii="Times New Roman" w:hAnsi="Times New Roman" w:cs="Times New Roman"/>
          <w:color w:val="000000"/>
          <w:sz w:val="24"/>
          <w:szCs w:val="24"/>
        </w:rPr>
        <w:t>s.d.</w:t>
      </w:r>
      <w:proofErr w:type="spellEnd"/>
      <w:r w:rsidR="00A02CA2">
        <w:rPr>
          <w:rFonts w:ascii="Times New Roman" w:hAnsi="Times New Roman" w:cs="Times New Roman"/>
          <w:color w:val="000000"/>
          <w:sz w:val="24"/>
          <w:szCs w:val="24"/>
        </w:rPr>
        <w:t xml:space="preserve">, n=20, </w:t>
      </w:r>
      <w:r w:rsidR="00246E93" w:rsidRPr="00D80951">
        <w:rPr>
          <w:rFonts w:ascii="Times New Roman" w:hAnsi="Times New Roman" w:cs="Times New Roman"/>
          <w:color w:val="000000"/>
          <w:sz w:val="24"/>
          <w:szCs w:val="24"/>
        </w:rPr>
        <w:t>**Significant at P = 0.01 level.</w:t>
      </w:r>
    </w:p>
    <w:p w:rsidR="00246E93" w:rsidRPr="000C26B9" w:rsidRDefault="00246E93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A02CA2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</w:p>
    <w:p w:rsidR="00246E93" w:rsidRPr="000C26B9" w:rsidRDefault="00514F6F">
      <w:pPr>
        <w:rPr>
          <w:rFonts w:ascii="Times New Roman" w:hAnsi="Times New Roman" w:cs="Times New Roman"/>
          <w:sz w:val="20"/>
          <w:szCs w:val="20"/>
        </w:rPr>
      </w:pPr>
      <w:r w:rsidRPr="000C26B9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3276888E" wp14:editId="0861793F">
            <wp:extent cx="5278120" cy="3975735"/>
            <wp:effectExtent l="0" t="0" r="0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5. combine-Gene clustering, module correlation analysis and GO enrichment analyses in WGCN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7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E93" w:rsidRPr="00D80951" w:rsidRDefault="009979CA" w:rsidP="00246E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8095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="00246E93" w:rsidRPr="00D80951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46E93" w:rsidRPr="00D80951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.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Gene clustering, module correlation and GO enrichment analyses in WGCNA. </w:t>
      </w:r>
      <w:r w:rsidR="0095282D">
        <w:rPr>
          <w:rFonts w:ascii="Times New Roman" w:hAnsi="Times New Roman" w:cs="Times New Roman" w:hint="eastAsia"/>
          <w:sz w:val="24"/>
          <w:szCs w:val="24"/>
        </w:rPr>
        <w:t>(</w:t>
      </w:r>
      <w:r w:rsidR="00246E93" w:rsidRPr="00D80951">
        <w:rPr>
          <w:rFonts w:ascii="Times New Roman" w:hAnsi="Times New Roman" w:cs="Times New Roman"/>
          <w:sz w:val="24"/>
          <w:szCs w:val="24"/>
        </w:rPr>
        <w:t>a</w:t>
      </w:r>
      <w:r w:rsidR="0095282D">
        <w:rPr>
          <w:rFonts w:ascii="Times New Roman" w:hAnsi="Times New Roman" w:cs="Times New Roman" w:hint="eastAsia"/>
          <w:sz w:val="24"/>
          <w:szCs w:val="24"/>
        </w:rPr>
        <w:t>)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Gene cluster </w:t>
      </w:r>
      <w:proofErr w:type="spellStart"/>
      <w:r w:rsidR="00246E93" w:rsidRPr="00D80951">
        <w:rPr>
          <w:rFonts w:ascii="Times New Roman" w:hAnsi="Times New Roman" w:cs="Times New Roman"/>
          <w:sz w:val="24"/>
          <w:szCs w:val="24"/>
        </w:rPr>
        <w:t>dendrograms</w:t>
      </w:r>
      <w:proofErr w:type="spellEnd"/>
      <w:r w:rsidR="00246E93" w:rsidRPr="00D80951">
        <w:rPr>
          <w:rFonts w:ascii="Times New Roman" w:hAnsi="Times New Roman" w:cs="Times New Roman"/>
          <w:sz w:val="24"/>
          <w:szCs w:val="24"/>
        </w:rPr>
        <w:t xml:space="preserve"> and module detecting. </w:t>
      </w:r>
      <w:r w:rsidR="0095282D">
        <w:rPr>
          <w:rFonts w:ascii="Times New Roman" w:hAnsi="Times New Roman" w:cs="Times New Roman" w:hint="eastAsia"/>
          <w:sz w:val="24"/>
          <w:szCs w:val="24"/>
        </w:rPr>
        <w:t>(</w:t>
      </w:r>
      <w:r w:rsidR="00246E93" w:rsidRPr="00D80951">
        <w:rPr>
          <w:rFonts w:ascii="Times New Roman" w:hAnsi="Times New Roman" w:cs="Times New Roman"/>
          <w:sz w:val="24"/>
          <w:szCs w:val="24"/>
        </w:rPr>
        <w:t>b</w:t>
      </w:r>
      <w:r w:rsidR="0095282D">
        <w:rPr>
          <w:rFonts w:ascii="Times New Roman" w:hAnsi="Times New Roman" w:cs="Times New Roman" w:hint="eastAsia"/>
          <w:sz w:val="24"/>
          <w:szCs w:val="24"/>
        </w:rPr>
        <w:t>)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Heat map of the correlation between modules and traits. Each row corresponds to a module, and each column corresponds to a trait, and each material has 2 repetitions in each period. The correlation coefficient (up) and the corresponding p-value (down) are shown in each cell. </w:t>
      </w:r>
      <w:r w:rsidR="0095282D">
        <w:rPr>
          <w:rFonts w:ascii="Times New Roman" w:hAnsi="Times New Roman" w:cs="Times New Roman" w:hint="eastAsia"/>
          <w:sz w:val="24"/>
          <w:szCs w:val="24"/>
        </w:rPr>
        <w:t>(</w:t>
      </w:r>
      <w:r w:rsidR="00246E93" w:rsidRPr="00D80951">
        <w:rPr>
          <w:rFonts w:ascii="Times New Roman" w:hAnsi="Times New Roman" w:cs="Times New Roman"/>
          <w:sz w:val="24"/>
          <w:szCs w:val="24"/>
        </w:rPr>
        <w:t>c</w:t>
      </w:r>
      <w:r w:rsidR="0095282D">
        <w:rPr>
          <w:rFonts w:ascii="Times New Roman" w:hAnsi="Times New Roman" w:cs="Times New Roman" w:hint="eastAsia"/>
          <w:sz w:val="24"/>
          <w:szCs w:val="24"/>
        </w:rPr>
        <w:t>)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Go enrichment of 1291 candidate gene which were filtered. </w:t>
      </w:r>
      <w:r w:rsidR="0095282D">
        <w:rPr>
          <w:rFonts w:ascii="Times New Roman" w:hAnsi="Times New Roman" w:cs="Times New Roman" w:hint="eastAsia"/>
          <w:sz w:val="24"/>
          <w:szCs w:val="24"/>
        </w:rPr>
        <w:t>(</w:t>
      </w:r>
      <w:r w:rsidR="00246E93" w:rsidRPr="00D80951">
        <w:rPr>
          <w:rFonts w:ascii="Times New Roman" w:hAnsi="Times New Roman" w:cs="Times New Roman"/>
          <w:sz w:val="24"/>
          <w:szCs w:val="24"/>
        </w:rPr>
        <w:t>d</w:t>
      </w:r>
      <w:r w:rsidR="0095282D">
        <w:rPr>
          <w:rFonts w:ascii="Times New Roman" w:hAnsi="Times New Roman" w:cs="Times New Roman" w:hint="eastAsia"/>
          <w:sz w:val="24"/>
          <w:szCs w:val="24"/>
        </w:rPr>
        <w:t>)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Go enrichment of candidate gene for the turquoise module.</w:t>
      </w:r>
    </w:p>
    <w:p w:rsidR="00514F6F" w:rsidRPr="000C26B9" w:rsidRDefault="00514F6F">
      <w:pPr>
        <w:rPr>
          <w:rFonts w:ascii="Times New Roman" w:hAnsi="Times New Roman" w:cs="Times New Roman"/>
          <w:sz w:val="20"/>
          <w:szCs w:val="20"/>
        </w:rPr>
      </w:pPr>
      <w:r w:rsidRPr="000C26B9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1E750835" wp14:editId="0AC89414">
            <wp:extent cx="5278120" cy="4779010"/>
            <wp:effectExtent l="0" t="0" r="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6. Co-expression network diagram of the causal candidate gene Gh_D01G016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F6F" w:rsidRPr="00D80951" w:rsidRDefault="009979CA" w:rsidP="003975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8095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="00246E93" w:rsidRPr="00D80951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46E93" w:rsidRPr="00D80951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="00246E93" w:rsidRPr="00D80951">
        <w:rPr>
          <w:rFonts w:ascii="Times New Roman" w:hAnsi="Times New Roman" w:cs="Times New Roman"/>
          <w:b/>
          <w:sz w:val="24"/>
          <w:szCs w:val="24"/>
        </w:rPr>
        <w:t>.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46E93" w:rsidRPr="00D80951">
        <w:rPr>
          <w:rFonts w:ascii="Times New Roman" w:hAnsi="Times New Roman" w:cs="Times New Roman"/>
          <w:sz w:val="24"/>
          <w:szCs w:val="24"/>
        </w:rPr>
        <w:t xml:space="preserve">Co-expression network diagram of the causal candidate gene </w:t>
      </w:r>
      <w:r w:rsidR="00246E93" w:rsidRPr="00D80951">
        <w:rPr>
          <w:rFonts w:ascii="Times New Roman" w:hAnsi="Times New Roman" w:cs="Times New Roman"/>
          <w:i/>
          <w:sz w:val="24"/>
          <w:szCs w:val="24"/>
        </w:rPr>
        <w:t>Gh_D01G0162.</w:t>
      </w:r>
      <w:proofErr w:type="gramEnd"/>
      <w:r w:rsidR="00246E93" w:rsidRPr="00D80951">
        <w:rPr>
          <w:rFonts w:ascii="Times New Roman" w:hAnsi="Times New Roman" w:cs="Times New Roman"/>
          <w:sz w:val="24"/>
          <w:szCs w:val="24"/>
        </w:rPr>
        <w:t xml:space="preserve"> The blue dot in the center of the circle represents the causal candidate gene </w:t>
      </w:r>
      <w:r w:rsidR="00246E93" w:rsidRPr="00D80951">
        <w:rPr>
          <w:rFonts w:ascii="Times New Roman" w:hAnsi="Times New Roman" w:cs="Times New Roman"/>
          <w:i/>
          <w:sz w:val="24"/>
          <w:szCs w:val="24"/>
        </w:rPr>
        <w:t>Gh_</w:t>
      </w:r>
      <w:proofErr w:type="gramStart"/>
      <w:r w:rsidR="00246E93" w:rsidRPr="00D80951">
        <w:rPr>
          <w:rFonts w:ascii="Times New Roman" w:hAnsi="Times New Roman" w:cs="Times New Roman"/>
          <w:i/>
          <w:sz w:val="24"/>
          <w:szCs w:val="24"/>
        </w:rPr>
        <w:t>D01G0162</w:t>
      </w:r>
      <w:r w:rsidR="00246E93" w:rsidRPr="00D8095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246E93" w:rsidRPr="00D80951">
        <w:rPr>
          <w:rFonts w:ascii="Times New Roman" w:hAnsi="Times New Roman" w:cs="Times New Roman"/>
          <w:sz w:val="24"/>
          <w:szCs w:val="24"/>
        </w:rPr>
        <w:t xml:space="preserve"> the 25 genes distributed around include the causal gene </w:t>
      </w:r>
      <w:r w:rsidR="00246E93" w:rsidRPr="00D80951">
        <w:rPr>
          <w:rFonts w:ascii="Times New Roman" w:hAnsi="Times New Roman" w:cs="Times New Roman"/>
          <w:i/>
          <w:sz w:val="24"/>
          <w:szCs w:val="24"/>
        </w:rPr>
        <w:t>Gh_D01G0162</w:t>
      </w:r>
      <w:r w:rsidR="00246E93" w:rsidRPr="00D80951">
        <w:rPr>
          <w:rFonts w:ascii="Times New Roman" w:hAnsi="Times New Roman" w:cs="Times New Roman"/>
          <w:sz w:val="24"/>
          <w:szCs w:val="24"/>
        </w:rPr>
        <w:t xml:space="preserve"> which was marked by a red dot was obtained through co-expression network analysis and inter</w:t>
      </w:r>
      <w:r w:rsidR="00397543" w:rsidRPr="00D80951">
        <w:rPr>
          <w:rFonts w:ascii="Times New Roman" w:hAnsi="Times New Roman" w:cs="Times New Roman"/>
          <w:sz w:val="24"/>
          <w:szCs w:val="24"/>
        </w:rPr>
        <w:t>act with causal genes.</w:t>
      </w:r>
    </w:p>
    <w:sectPr w:rsidR="00514F6F" w:rsidRPr="00D80951" w:rsidSect="00FE071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F02" w:rsidRDefault="00DF7F02" w:rsidP="005650C5">
      <w:r>
        <w:separator/>
      </w:r>
    </w:p>
  </w:endnote>
  <w:endnote w:type="continuationSeparator" w:id="0">
    <w:p w:rsidR="00DF7F02" w:rsidRDefault="00DF7F02" w:rsidP="00565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TIX-Regular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STIX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F02" w:rsidRDefault="00DF7F02" w:rsidP="005650C5">
      <w:r>
        <w:separator/>
      </w:r>
    </w:p>
  </w:footnote>
  <w:footnote w:type="continuationSeparator" w:id="0">
    <w:p w:rsidR="00DF7F02" w:rsidRDefault="00DF7F02" w:rsidP="005650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9135F"/>
    <w:rsid w:val="00047C8D"/>
    <w:rsid w:val="00053D69"/>
    <w:rsid w:val="000731F4"/>
    <w:rsid w:val="000C26B9"/>
    <w:rsid w:val="000F3B19"/>
    <w:rsid w:val="0012187B"/>
    <w:rsid w:val="00151EE5"/>
    <w:rsid w:val="001749AD"/>
    <w:rsid w:val="001820DF"/>
    <w:rsid w:val="0019667B"/>
    <w:rsid w:val="001F100D"/>
    <w:rsid w:val="001F23AC"/>
    <w:rsid w:val="00246E93"/>
    <w:rsid w:val="002A3B22"/>
    <w:rsid w:val="002B60E6"/>
    <w:rsid w:val="002E54C9"/>
    <w:rsid w:val="00307974"/>
    <w:rsid w:val="003414A0"/>
    <w:rsid w:val="00382F7F"/>
    <w:rsid w:val="00397543"/>
    <w:rsid w:val="003D3B1D"/>
    <w:rsid w:val="00410DF3"/>
    <w:rsid w:val="00432770"/>
    <w:rsid w:val="004609B0"/>
    <w:rsid w:val="00492007"/>
    <w:rsid w:val="004A44D7"/>
    <w:rsid w:val="004C7AAA"/>
    <w:rsid w:val="005147CC"/>
    <w:rsid w:val="00514F6F"/>
    <w:rsid w:val="005318BC"/>
    <w:rsid w:val="005650C5"/>
    <w:rsid w:val="005B00DC"/>
    <w:rsid w:val="0063346B"/>
    <w:rsid w:val="00641A5B"/>
    <w:rsid w:val="00650440"/>
    <w:rsid w:val="00653545"/>
    <w:rsid w:val="006B58FD"/>
    <w:rsid w:val="006C15A9"/>
    <w:rsid w:val="006D1113"/>
    <w:rsid w:val="006E31FB"/>
    <w:rsid w:val="007B53AC"/>
    <w:rsid w:val="007C54FE"/>
    <w:rsid w:val="007E732A"/>
    <w:rsid w:val="0089135F"/>
    <w:rsid w:val="008D2324"/>
    <w:rsid w:val="00910AD6"/>
    <w:rsid w:val="00911350"/>
    <w:rsid w:val="0095282D"/>
    <w:rsid w:val="009714A3"/>
    <w:rsid w:val="00984F3F"/>
    <w:rsid w:val="009959B4"/>
    <w:rsid w:val="009979CA"/>
    <w:rsid w:val="009C4FCB"/>
    <w:rsid w:val="009E6F6B"/>
    <w:rsid w:val="00A02CA2"/>
    <w:rsid w:val="00A21641"/>
    <w:rsid w:val="00AA5884"/>
    <w:rsid w:val="00AC5C55"/>
    <w:rsid w:val="00AD43D0"/>
    <w:rsid w:val="00B020DD"/>
    <w:rsid w:val="00B62165"/>
    <w:rsid w:val="00B70980"/>
    <w:rsid w:val="00B90A69"/>
    <w:rsid w:val="00BF1C20"/>
    <w:rsid w:val="00BF67E8"/>
    <w:rsid w:val="00C37AA0"/>
    <w:rsid w:val="00C91A3E"/>
    <w:rsid w:val="00CC0AF2"/>
    <w:rsid w:val="00D22B4F"/>
    <w:rsid w:val="00D54B63"/>
    <w:rsid w:val="00D80951"/>
    <w:rsid w:val="00DA4219"/>
    <w:rsid w:val="00DC3F04"/>
    <w:rsid w:val="00DF7F02"/>
    <w:rsid w:val="00EC7375"/>
    <w:rsid w:val="00EE0B9B"/>
    <w:rsid w:val="00EE7422"/>
    <w:rsid w:val="00F04161"/>
    <w:rsid w:val="00F121DD"/>
    <w:rsid w:val="00FD0CE5"/>
    <w:rsid w:val="00FE0712"/>
    <w:rsid w:val="00FE74AF"/>
    <w:rsid w:val="00FF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13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135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1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135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1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135F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89135F"/>
  </w:style>
  <w:style w:type="character" w:customStyle="1" w:styleId="fontstyle01">
    <w:name w:val="fontstyle01"/>
    <w:basedOn w:val="a0"/>
    <w:rsid w:val="0089135F"/>
    <w:rPr>
      <w:rFonts w:ascii="STIX-Regular" w:hAnsi="STIX-Regular" w:hint="default"/>
      <w:b w:val="0"/>
      <w:bCs w:val="0"/>
      <w:i w:val="0"/>
      <w:iCs w:val="0"/>
      <w:color w:val="000000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8913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21">
    <w:name w:val="fontstyle21"/>
    <w:basedOn w:val="a0"/>
    <w:rsid w:val="0089135F"/>
    <w:rPr>
      <w:rFonts w:ascii="STIX-Italic" w:hAnsi="STIX-Italic" w:hint="default"/>
      <w:b w:val="0"/>
      <w:bCs w:val="0"/>
      <w:i/>
      <w:iCs/>
      <w:color w:val="000000"/>
      <w:sz w:val="18"/>
      <w:szCs w:val="18"/>
    </w:rPr>
  </w:style>
  <w:style w:type="table" w:styleId="a8">
    <w:name w:val="Table Grid"/>
    <w:basedOn w:val="a1"/>
    <w:uiPriority w:val="59"/>
    <w:rsid w:val="008913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9135F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89135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9135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9135F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9135F"/>
    <w:rPr>
      <w:rFonts w:ascii="Calibri" w:hAnsi="Calibri" w:cs="Calibri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89135F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89135F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89135F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89135F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89135F"/>
    <w:rPr>
      <w:b/>
      <w:bCs/>
    </w:rPr>
  </w:style>
  <w:style w:type="character" w:styleId="ad">
    <w:name w:val="Emphasis"/>
    <w:basedOn w:val="a0"/>
    <w:uiPriority w:val="20"/>
    <w:qFormat/>
    <w:rsid w:val="0089135F"/>
    <w:rPr>
      <w:i/>
      <w:iCs/>
    </w:rPr>
  </w:style>
  <w:style w:type="character" w:styleId="ae">
    <w:name w:val="Hyperlink"/>
    <w:basedOn w:val="a0"/>
    <w:uiPriority w:val="99"/>
    <w:unhideWhenUsed/>
    <w:rsid w:val="008913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13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135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1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135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1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135F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89135F"/>
  </w:style>
  <w:style w:type="character" w:customStyle="1" w:styleId="fontstyle01">
    <w:name w:val="fontstyle01"/>
    <w:basedOn w:val="a0"/>
    <w:rsid w:val="0089135F"/>
    <w:rPr>
      <w:rFonts w:ascii="STIX-Regular" w:hAnsi="STIX-Regular" w:hint="default"/>
      <w:b w:val="0"/>
      <w:bCs w:val="0"/>
      <w:i w:val="0"/>
      <w:iCs w:val="0"/>
      <w:color w:val="000000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8913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21">
    <w:name w:val="fontstyle21"/>
    <w:basedOn w:val="a0"/>
    <w:rsid w:val="0089135F"/>
    <w:rPr>
      <w:rFonts w:ascii="STIX-Italic" w:hAnsi="STIX-Italic" w:hint="default"/>
      <w:b w:val="0"/>
      <w:bCs w:val="0"/>
      <w:i/>
      <w:iCs/>
      <w:color w:val="000000"/>
      <w:sz w:val="18"/>
      <w:szCs w:val="18"/>
    </w:rPr>
  </w:style>
  <w:style w:type="table" w:styleId="a8">
    <w:name w:val="Table Grid"/>
    <w:basedOn w:val="a1"/>
    <w:uiPriority w:val="59"/>
    <w:rsid w:val="008913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9135F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89135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9135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9135F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9135F"/>
    <w:rPr>
      <w:rFonts w:ascii="Calibri" w:hAnsi="Calibri" w:cs="Calibri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89135F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89135F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89135F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89135F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89135F"/>
    <w:rPr>
      <w:b/>
      <w:bCs/>
    </w:rPr>
  </w:style>
  <w:style w:type="character" w:styleId="ad">
    <w:name w:val="Emphasis"/>
    <w:basedOn w:val="a0"/>
    <w:uiPriority w:val="20"/>
    <w:qFormat/>
    <w:rsid w:val="0089135F"/>
    <w:rPr>
      <w:i/>
      <w:iCs/>
    </w:rPr>
  </w:style>
  <w:style w:type="character" w:styleId="ae">
    <w:name w:val="Hyperlink"/>
    <w:basedOn w:val="a0"/>
    <w:uiPriority w:val="99"/>
    <w:unhideWhenUsed/>
    <w:rsid w:val="008913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307</Words>
  <Characters>1753</Characters>
  <Application>Microsoft Office Word</Application>
  <DocSecurity>0</DocSecurity>
  <Lines>14</Lines>
  <Paragraphs>4</Paragraphs>
  <ScaleCrop>false</ScaleCrop>
  <Company>Microsoft</Company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cp:lastPrinted>2021-06-07T07:15:00Z</cp:lastPrinted>
  <dcterms:created xsi:type="dcterms:W3CDTF">2021-06-07T07:15:00Z</dcterms:created>
  <dcterms:modified xsi:type="dcterms:W3CDTF">2021-06-08T02:14:00Z</dcterms:modified>
</cp:coreProperties>
</file>