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81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  <w:gridCol w:w="5560"/>
      </w:tblGrid>
      <w:tr w14:paraId="124CA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81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037603C">
            <w:pPr>
              <w:jc w:val="both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Supplementary Table 1. Pathologic Scoring of SCID Lung Tissue.</w:t>
            </w:r>
          </w:p>
        </w:tc>
      </w:tr>
      <w:tr w14:paraId="6ACFD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66D5D">
            <w:pPr>
              <w:jc w:val="both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Category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03DFC">
            <w:pPr>
              <w:jc w:val="both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Score = Criteria</w:t>
            </w:r>
          </w:p>
        </w:tc>
      </w:tr>
      <w:tr w14:paraId="4CB42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F69D2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Inflammatory Cell Infiltration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2E30B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 = None; 1 = Mild; 2 = Moderate; 3 = Sever</w:t>
            </w:r>
          </w:p>
        </w:tc>
      </w:tr>
      <w:tr w14:paraId="468C6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FA47E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Alveolar Wall Thickening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C38A0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 = None; 1 = Mild; 2 = Moderate; 3 = Sever</w:t>
            </w:r>
          </w:p>
        </w:tc>
      </w:tr>
      <w:tr w14:paraId="3E254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F8E34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Alveolar Atrophy and Collapse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E62FA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 = None; 1 = Mild; 2 = Moderate; 3 = Sever</w:t>
            </w:r>
          </w:p>
        </w:tc>
      </w:tr>
      <w:tr w14:paraId="1548E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F4A20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Hemorrhage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30635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 = None; 1 = Mild; 2 = Moderate; 3 = Sever</w:t>
            </w:r>
          </w:p>
        </w:tc>
      </w:tr>
      <w:tr w14:paraId="0A8D6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0180B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Fibrosis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2C3A4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 = None; 1 = Mild; 2 = Moderate; 3 = Sever</w:t>
            </w:r>
          </w:p>
        </w:tc>
      </w:tr>
      <w:tr w14:paraId="68649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1ABF4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Tissue Necrosis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D737C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 = None; 1 = Mild; 2 = Moderate; 3 = Sever</w:t>
            </w:r>
          </w:p>
        </w:tc>
      </w:tr>
    </w:tbl>
    <w:p w14:paraId="4D89B771">
      <w:pPr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3"/>
        <w:tblW w:w="9838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3"/>
        <w:gridCol w:w="5595"/>
      </w:tblGrid>
      <w:tr w14:paraId="0BCD5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8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266EB29">
            <w:pP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Supplementary Table 2. Pathologic Scoring of Skin Tissue.</w:t>
            </w:r>
          </w:p>
        </w:tc>
      </w:tr>
      <w:tr w14:paraId="78A91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43" w:type="dxa"/>
            <w:shd w:val="clear" w:color="auto" w:fill="auto"/>
            <w:vAlign w:val="center"/>
          </w:tcPr>
          <w:p w14:paraId="03D9FF0E">
            <w:pP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Category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27EE6BF3">
            <w:pP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Score = Criteria</w:t>
            </w:r>
          </w:p>
        </w:tc>
      </w:tr>
      <w:tr w14:paraId="62783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43" w:type="dxa"/>
            <w:shd w:val="clear" w:color="auto" w:fill="auto"/>
            <w:vAlign w:val="center"/>
          </w:tcPr>
          <w:p w14:paraId="0EA24861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Fibrous Tissue Hyperplasia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1550407E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 = None; 1 = Mild; 2 = Moderate; 3 = Sever</w:t>
            </w:r>
          </w:p>
        </w:tc>
      </w:tr>
      <w:tr w14:paraId="4FF12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43" w:type="dxa"/>
            <w:shd w:val="clear" w:color="auto" w:fill="auto"/>
            <w:vAlign w:val="center"/>
          </w:tcPr>
          <w:p w14:paraId="155B8A92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Inflammatory Cell Infiltration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0BBC3CFF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 = None; 1 = Mild; 2 = Moderate; 3 = Sever</w:t>
            </w:r>
          </w:p>
        </w:tc>
      </w:tr>
      <w:tr w14:paraId="1F8B6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43" w:type="dxa"/>
            <w:shd w:val="clear" w:color="auto" w:fill="auto"/>
            <w:vAlign w:val="center"/>
          </w:tcPr>
          <w:p w14:paraId="47C36C44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Cell Necrosis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2C3288C6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 = None; 1 = Mild; 2 = Moderate; 3 = Sever</w:t>
            </w:r>
          </w:p>
        </w:tc>
      </w:tr>
      <w:tr w14:paraId="37840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43" w:type="dxa"/>
            <w:shd w:val="clear" w:color="auto" w:fill="auto"/>
            <w:vAlign w:val="center"/>
          </w:tcPr>
          <w:p w14:paraId="6B52396F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Epidermal acanthosis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7DC87466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 = None; 1 = Mild; 2 = Moderate; 3 = Sever</w:t>
            </w:r>
          </w:p>
        </w:tc>
      </w:tr>
      <w:tr w14:paraId="424C4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43" w:type="dxa"/>
            <w:shd w:val="clear" w:color="auto" w:fill="auto"/>
            <w:vAlign w:val="center"/>
          </w:tcPr>
          <w:p w14:paraId="006D2C5C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Ballooning degeneration of keratinocytes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4C758F63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 = None; 1 = Mild; 2 = Moderate; 3 = Sever</w:t>
            </w:r>
          </w:p>
        </w:tc>
      </w:tr>
      <w:tr w14:paraId="5D5FC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43" w:type="dxa"/>
            <w:shd w:val="clear" w:color="auto" w:fill="auto"/>
            <w:vAlign w:val="center"/>
          </w:tcPr>
          <w:p w14:paraId="264F95BB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Scab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18556BD2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 = None; 1 = Mild; 2 = Moderate; 3 = Sever</w:t>
            </w:r>
          </w:p>
        </w:tc>
      </w:tr>
    </w:tbl>
    <w:p w14:paraId="08E029CF">
      <w:pPr>
        <w:rPr>
          <w:rFonts w:hint="default" w:ascii="Times New Roman" w:hAnsi="Times New Roman" w:cs="Times New Roman"/>
          <w:sz w:val="21"/>
          <w:szCs w:val="21"/>
        </w:rPr>
      </w:pPr>
    </w:p>
    <w:tbl>
      <w:tblPr>
        <w:tblStyle w:val="3"/>
        <w:tblW w:w="9863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4"/>
        <w:gridCol w:w="5619"/>
      </w:tblGrid>
      <w:tr w14:paraId="0A87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86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278C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 xml:space="preserve">Supplementary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Table 3. Pathologic Scoring of SCID Ankle Joint.</w:t>
            </w:r>
          </w:p>
        </w:tc>
      </w:tr>
      <w:tr w14:paraId="6E06B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244" w:type="dxa"/>
            <w:shd w:val="clear" w:color="auto" w:fill="auto"/>
            <w:vAlign w:val="center"/>
          </w:tcPr>
          <w:p w14:paraId="55E2D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Category</w:t>
            </w:r>
          </w:p>
        </w:tc>
        <w:tc>
          <w:tcPr>
            <w:tcW w:w="5619" w:type="dxa"/>
            <w:shd w:val="clear" w:color="auto" w:fill="auto"/>
            <w:vAlign w:val="center"/>
          </w:tcPr>
          <w:p w14:paraId="02132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Score = Criteria</w:t>
            </w:r>
          </w:p>
        </w:tc>
      </w:tr>
      <w:tr w14:paraId="3B37F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244" w:type="dxa"/>
            <w:shd w:val="clear" w:color="auto" w:fill="auto"/>
            <w:vAlign w:val="center"/>
          </w:tcPr>
          <w:p w14:paraId="5B8F7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Fibrous Tissue Hyperplasia</w:t>
            </w:r>
          </w:p>
        </w:tc>
        <w:tc>
          <w:tcPr>
            <w:tcW w:w="5619" w:type="dxa"/>
            <w:shd w:val="clear" w:color="auto" w:fill="auto"/>
            <w:vAlign w:val="center"/>
          </w:tcPr>
          <w:p w14:paraId="17023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 = None; 1 = Mild; 2 = Moderate; 3 = Sever</w:t>
            </w:r>
          </w:p>
        </w:tc>
      </w:tr>
      <w:tr w14:paraId="40D77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244" w:type="dxa"/>
            <w:shd w:val="clear" w:color="auto" w:fill="auto"/>
            <w:vAlign w:val="center"/>
          </w:tcPr>
          <w:p w14:paraId="559E5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Inflammatory Cell Infiltration</w:t>
            </w:r>
          </w:p>
        </w:tc>
        <w:tc>
          <w:tcPr>
            <w:tcW w:w="5619" w:type="dxa"/>
            <w:shd w:val="clear" w:color="auto" w:fill="auto"/>
            <w:vAlign w:val="center"/>
          </w:tcPr>
          <w:p w14:paraId="0C6DE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 = None; 1 = Mild; 2 = Moderate; 3 = Sever</w:t>
            </w:r>
          </w:p>
        </w:tc>
      </w:tr>
      <w:tr w14:paraId="6A5BD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244" w:type="dxa"/>
            <w:shd w:val="clear" w:color="auto" w:fill="auto"/>
            <w:vAlign w:val="center"/>
          </w:tcPr>
          <w:p w14:paraId="1F721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Cell Necrosis</w:t>
            </w:r>
          </w:p>
        </w:tc>
        <w:tc>
          <w:tcPr>
            <w:tcW w:w="5619" w:type="dxa"/>
            <w:shd w:val="clear" w:color="auto" w:fill="auto"/>
            <w:vAlign w:val="center"/>
          </w:tcPr>
          <w:p w14:paraId="76B3B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 = None; 1 = Mild; 2 = Moderate; 3 = Sever</w:t>
            </w:r>
          </w:p>
        </w:tc>
      </w:tr>
      <w:tr w14:paraId="1ECA6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244" w:type="dxa"/>
            <w:shd w:val="clear" w:color="auto" w:fill="auto"/>
            <w:vAlign w:val="center"/>
          </w:tcPr>
          <w:p w14:paraId="465A4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Articular Cartilage Injury</w:t>
            </w:r>
          </w:p>
        </w:tc>
        <w:tc>
          <w:tcPr>
            <w:tcW w:w="5619" w:type="dxa"/>
            <w:shd w:val="clear" w:color="auto" w:fill="auto"/>
            <w:vAlign w:val="center"/>
          </w:tcPr>
          <w:p w14:paraId="0BE4F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 = None; 1 = Mild; 2 = Moderate; 3 = Sever</w:t>
            </w:r>
          </w:p>
        </w:tc>
      </w:tr>
      <w:tr w14:paraId="6EB34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244" w:type="dxa"/>
            <w:shd w:val="clear" w:color="auto" w:fill="auto"/>
            <w:vAlign w:val="center"/>
          </w:tcPr>
          <w:p w14:paraId="2AB9B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Pannus</w:t>
            </w:r>
          </w:p>
        </w:tc>
        <w:tc>
          <w:tcPr>
            <w:tcW w:w="5619" w:type="dxa"/>
            <w:shd w:val="clear" w:color="auto" w:fill="auto"/>
            <w:vAlign w:val="center"/>
          </w:tcPr>
          <w:p w14:paraId="48C70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 = None; 1 = Mild; 2 = Moderate; 3 = Sever</w:t>
            </w:r>
          </w:p>
        </w:tc>
      </w:tr>
    </w:tbl>
    <w:p w14:paraId="616BFBE7">
      <w:pPr>
        <w:rPr>
          <w:rStyle w:val="5"/>
          <w:rFonts w:hint="eastAsia" w:ascii="Times New Roman" w:hAnsi="Times New Roman" w:eastAsia="宋体" w:cs="Times New Roman"/>
          <w:b/>
          <w:bCs/>
          <w:sz w:val="21"/>
          <w:szCs w:val="21"/>
          <w:u w:val="none"/>
          <w:lang w:eastAsia="zh-CN"/>
        </w:rPr>
      </w:pPr>
    </w:p>
    <w:p w14:paraId="295E6857">
      <w:pPr>
        <w:pStyle w:val="2"/>
        <w:keepNext w:val="0"/>
        <w:keepLines w:val="0"/>
        <w:widowControl/>
        <w:suppressLineNumbers w:val="0"/>
        <w:jc w:val="both"/>
        <w:rPr>
          <w:rStyle w:val="5"/>
          <w:rFonts w:hint="eastAsia" w:ascii="Times New Roman" w:hAnsi="Times New Roman" w:eastAsia="宋体" w:cs="Times New Roman"/>
          <w:b/>
          <w:bCs/>
          <w:sz w:val="21"/>
          <w:szCs w:val="21"/>
          <w:u w:val="none"/>
          <w:lang w:eastAsia="zh-CN"/>
        </w:rPr>
      </w:pPr>
      <w:r>
        <w:rPr>
          <w:rStyle w:val="5"/>
          <w:rFonts w:hint="eastAsia" w:ascii="Times New Roman" w:hAnsi="Times New Roman" w:eastAsia="宋体" w:cs="Times New Roman"/>
          <w:b/>
          <w:bCs/>
          <w:sz w:val="21"/>
          <w:szCs w:val="21"/>
          <w:u w:val="none"/>
          <w:lang w:eastAsia="zh-CN"/>
        </w:rPr>
        <w:drawing>
          <wp:inline distT="0" distB="0" distL="114300" distR="114300">
            <wp:extent cx="6166485" cy="4094480"/>
            <wp:effectExtent l="0" t="0" r="5715" b="1270"/>
            <wp:docPr id="7" name="图片 7" descr="H:/Users/Administrator/Desktop/文章各部分/文章图片/S Fig.1.tifS Fig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H:/Users/Administrator/Desktop/文章各部分/文章图片/S Fig.1.tifS Fig.1"/>
                    <pic:cNvPicPr>
                      <a:picLocks noChangeAspect="1"/>
                    </pic:cNvPicPr>
                  </pic:nvPicPr>
                  <pic:blipFill>
                    <a:blip r:embed="rId6"/>
                    <a:srcRect l="4157" t="7116" r="3463" b="31626"/>
                    <a:stretch>
                      <a:fillRect/>
                    </a:stretch>
                  </pic:blipFill>
                  <pic:spPr>
                    <a:xfrm>
                      <a:off x="0" y="0"/>
                      <a:ext cx="6166485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8E2BD">
      <w:pPr>
        <w:jc w:val="both"/>
        <w:rPr>
          <w:rFonts w:hint="default" w:ascii="Times New Roman" w:hAnsi="Times New Roman" w:cs="Times New Roman"/>
          <w:b w:val="0"/>
          <w:bCs w:val="0"/>
          <w:sz w:val="21"/>
          <w:szCs w:val="21"/>
          <w:u w:val="none"/>
        </w:rPr>
      </w:pPr>
      <w:r>
        <w:rPr>
          <w:rStyle w:val="5"/>
          <w:rFonts w:hint="default" w:ascii="Times New Roman" w:hAnsi="Times New Roman" w:eastAsia="宋体" w:cs="Times New Roman"/>
          <w:b/>
          <w:bCs/>
          <w:sz w:val="21"/>
          <w:szCs w:val="21"/>
          <w:u w:val="none"/>
        </w:rPr>
        <w:t>Supplementary Figure 1</w:t>
      </w:r>
      <w:r>
        <w:rPr>
          <w:rStyle w:val="5"/>
          <w:rFonts w:hint="default" w:ascii="Times New Roman" w:hAnsi="Times New Roman" w:eastAsia="宋体" w:cs="Times New Roman"/>
          <w:b/>
          <w:bCs/>
          <w:sz w:val="21"/>
          <w:szCs w:val="21"/>
          <w:u w:val="none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u w:val="none"/>
        </w:rPr>
        <w:t>Cytokine Detection in SCID Mouse Tissues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:u w:val="none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none"/>
        </w:rPr>
        <w:br w:type="textWrapping"/>
      </w:r>
      <w:r>
        <w:rPr>
          <w:rStyle w:val="5"/>
          <w:rFonts w:hint="default" w:ascii="Times New Roman" w:hAnsi="Times New Roman" w:eastAsia="宋体" w:cs="Times New Roman"/>
          <w:b w:val="0"/>
          <w:bCs w:val="0"/>
          <w:sz w:val="21"/>
          <w:szCs w:val="21"/>
          <w:u w:val="none"/>
        </w:rPr>
        <w:t xml:space="preserve">At 28 dpi, the levels of TNF-α, IL-6, NAP3, IFN-α1, IFN-β, and GM-CSF were measured by RT-qPCR in the </w:t>
      </w:r>
      <w:r>
        <w:rPr>
          <w:rStyle w:val="5"/>
          <w:rFonts w:hint="default" w:ascii="Times New Roman" w:hAnsi="Times New Roman" w:eastAsia="宋体" w:cs="Times New Roman"/>
          <w:b w:val="0"/>
          <w:bCs w:val="0"/>
          <w:sz w:val="21"/>
          <w:szCs w:val="21"/>
          <w:u w:val="none"/>
          <w:lang w:val="en-US" w:eastAsia="zh-CN"/>
        </w:rPr>
        <w:t xml:space="preserve">(A) </w:t>
      </w:r>
      <w:r>
        <w:rPr>
          <w:rStyle w:val="5"/>
          <w:rFonts w:hint="default" w:ascii="Times New Roman" w:hAnsi="Times New Roman" w:eastAsia="宋体" w:cs="Times New Roman"/>
          <w:b w:val="0"/>
          <w:bCs w:val="0"/>
          <w:sz w:val="21"/>
          <w:szCs w:val="21"/>
          <w:u w:val="none"/>
        </w:rPr>
        <w:t xml:space="preserve">lung of intranasally infected SCID mice, </w:t>
      </w:r>
      <w:r>
        <w:rPr>
          <w:rStyle w:val="5"/>
          <w:rFonts w:hint="default" w:ascii="Times New Roman" w:hAnsi="Times New Roman" w:eastAsia="宋体" w:cs="Times New Roman"/>
          <w:b w:val="0"/>
          <w:bCs w:val="0"/>
          <w:sz w:val="21"/>
          <w:szCs w:val="21"/>
          <w:u w:val="none"/>
          <w:lang w:val="en-US" w:eastAsia="zh-CN"/>
        </w:rPr>
        <w:t xml:space="preserve">(B) </w:t>
      </w:r>
      <w:r>
        <w:rPr>
          <w:rStyle w:val="5"/>
          <w:rFonts w:hint="default" w:ascii="Times New Roman" w:hAnsi="Times New Roman" w:eastAsia="宋体" w:cs="Times New Roman"/>
          <w:b w:val="0"/>
          <w:bCs w:val="0"/>
          <w:sz w:val="21"/>
          <w:szCs w:val="21"/>
          <w:u w:val="none"/>
        </w:rPr>
        <w:t xml:space="preserve">the </w:t>
      </w:r>
      <w:r>
        <w:rPr>
          <w:rStyle w:val="5"/>
          <w:rFonts w:hint="eastAsia" w:ascii="Times New Roman" w:hAnsi="Times New Roman" w:eastAsia="宋体" w:cs="Times New Roman"/>
          <w:b w:val="0"/>
          <w:bCs w:val="0"/>
          <w:sz w:val="21"/>
          <w:szCs w:val="21"/>
          <w:u w:val="none"/>
          <w:lang w:val="en-US" w:eastAsia="zh-CN"/>
        </w:rPr>
        <w:t>skin</w:t>
      </w:r>
      <w:r>
        <w:rPr>
          <w:rStyle w:val="5"/>
          <w:rFonts w:hint="default" w:ascii="Times New Roman" w:hAnsi="Times New Roman" w:eastAsia="宋体" w:cs="Times New Roman"/>
          <w:b w:val="0"/>
          <w:bCs w:val="0"/>
          <w:sz w:val="21"/>
          <w:szCs w:val="21"/>
          <w:u w:val="none"/>
        </w:rPr>
        <w:t xml:space="preserve"> of intradermally infected SCID mice, and </w:t>
      </w:r>
      <w:r>
        <w:rPr>
          <w:rStyle w:val="5"/>
          <w:rFonts w:hint="default" w:ascii="Times New Roman" w:hAnsi="Times New Roman" w:eastAsia="宋体" w:cs="Times New Roman"/>
          <w:b w:val="0"/>
          <w:bCs w:val="0"/>
          <w:sz w:val="21"/>
          <w:szCs w:val="21"/>
          <w:u w:val="none"/>
          <w:lang w:val="en-US" w:eastAsia="zh-CN"/>
        </w:rPr>
        <w:t xml:space="preserve">(C) </w:t>
      </w:r>
      <w:r>
        <w:rPr>
          <w:rStyle w:val="5"/>
          <w:rFonts w:hint="default" w:ascii="Times New Roman" w:hAnsi="Times New Roman" w:eastAsia="宋体" w:cs="Times New Roman"/>
          <w:b w:val="0"/>
          <w:bCs w:val="0"/>
          <w:sz w:val="21"/>
          <w:szCs w:val="21"/>
          <w:u w:val="none"/>
        </w:rPr>
        <w:t xml:space="preserve">the </w:t>
      </w:r>
      <w:r>
        <w:rPr>
          <w:rStyle w:val="5"/>
          <w:rFonts w:hint="eastAsia" w:ascii="Times New Roman" w:hAnsi="Times New Roman" w:eastAsia="宋体" w:cs="Times New Roman"/>
          <w:b w:val="0"/>
          <w:bCs w:val="0"/>
          <w:sz w:val="21"/>
          <w:szCs w:val="21"/>
          <w:u w:val="none"/>
          <w:lang w:val="en-US" w:eastAsia="zh-CN"/>
        </w:rPr>
        <w:t>ankle joint</w:t>
      </w:r>
      <w:r>
        <w:rPr>
          <w:rStyle w:val="5"/>
          <w:rFonts w:hint="default" w:ascii="Times New Roman" w:hAnsi="Times New Roman" w:eastAsia="宋体" w:cs="Times New Roman"/>
          <w:b w:val="0"/>
          <w:bCs w:val="0"/>
          <w:sz w:val="21"/>
          <w:szCs w:val="21"/>
          <w:u w:val="none"/>
        </w:rPr>
        <w:t xml:space="preserve"> of subcutaneously infected SCID mice. Error bars represent mean ± standard error of the mean (SEM).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u w:val="none"/>
        </w:rPr>
        <w:t xml:space="preserve">Statistical differences between groups were determined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u w:val="none"/>
          <w:lang w:val="en-US" w:eastAsia="zh-CN"/>
        </w:rPr>
        <w:t>by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u w:val="non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  <w:u w:val="none"/>
        </w:rPr>
        <w:t>t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u w:val="none"/>
        </w:rPr>
        <w:t>-tests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u w:val="none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u w:val="none"/>
        </w:rPr>
        <w:t xml:space="preserve">Statistical significance levels are indicated as follows: 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  <w:u w:val="none"/>
          <w:lang w:val="en-US" w:eastAsia="zh-CN"/>
        </w:rPr>
        <w:t>ns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u w:val="none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  <w:u w:val="none"/>
        </w:rPr>
        <w:t>P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u w:val="none"/>
        </w:rPr>
        <w:t xml:space="preserve"> &gt; 0.05; *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  <w:u w:val="none"/>
        </w:rPr>
        <w:t>P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u w:val="none"/>
        </w:rPr>
        <w:t xml:space="preserve"> ≤ 0.05; **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  <w:u w:val="none"/>
        </w:rPr>
        <w:t>P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u w:val="none"/>
        </w:rPr>
        <w:t xml:space="preserve"> ≤ 0.01.</w:t>
      </w:r>
    </w:p>
    <w:p w14:paraId="3820C759">
      <w:pPr>
        <w:jc w:val="both"/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  <w:u w:val="none"/>
          <w:lang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  <w:u w:val="none"/>
          <w:lang w:eastAsia="zh-CN"/>
        </w:rPr>
        <w:drawing>
          <wp:inline distT="0" distB="0" distL="114300" distR="114300">
            <wp:extent cx="6491605" cy="4831715"/>
            <wp:effectExtent l="0" t="0" r="4445" b="6985"/>
            <wp:docPr id="8" name="图片 8" descr="H:/Users/Administrator/Desktop/文章各部分/文章图片/S Fig.2.tifS Fig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H:/Users/Administrator/Desktop/文章各部分/文章图片/S Fig.2.tifS Fig.2"/>
                    <pic:cNvPicPr>
                      <a:picLocks noChangeAspect="1"/>
                    </pic:cNvPicPr>
                  </pic:nvPicPr>
                  <pic:blipFill>
                    <a:blip r:embed="rId7"/>
                    <a:srcRect l="2594" t="4396" r="3732" b="25985"/>
                    <a:stretch>
                      <a:fillRect/>
                    </a:stretch>
                  </pic:blipFill>
                  <pic:spPr>
                    <a:xfrm>
                      <a:off x="0" y="0"/>
                      <a:ext cx="6491605" cy="483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A13EE">
      <w:pPr>
        <w:pStyle w:val="2"/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none"/>
          <w:lang w:val="en-US" w:eastAsia="zh-CN"/>
        </w:rPr>
      </w:pPr>
      <w:r>
        <w:rPr>
          <w:rStyle w:val="5"/>
          <w:rFonts w:hint="default" w:ascii="Times New Roman" w:hAnsi="Times New Roman" w:eastAsia="宋体" w:cs="Times New Roman"/>
          <w:b/>
          <w:bCs/>
          <w:sz w:val="21"/>
          <w:szCs w:val="21"/>
          <w:u w:val="none"/>
        </w:rPr>
        <w:t>Supplementary Figure 2</w:t>
      </w:r>
      <w:r>
        <w:rPr>
          <w:rStyle w:val="5"/>
          <w:rFonts w:hint="default" w:ascii="Times New Roman" w:hAnsi="Times New Roman" w:eastAsia="宋体" w:cs="Times New Roman"/>
          <w:b/>
          <w:bCs/>
          <w:sz w:val="21"/>
          <w:szCs w:val="21"/>
          <w:u w:val="none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b/>
          <w:bCs/>
          <w:i/>
          <w:iCs/>
          <w:sz w:val="21"/>
          <w:szCs w:val="21"/>
          <w:u w:val="none"/>
        </w:rPr>
        <w:t>In vitro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u w:val="none"/>
        </w:rPr>
        <w:t xml:space="preserve"> Therapeutic Effects of Tecovirimat and Cidofovir</w:t>
      </w:r>
      <w:r>
        <w:rPr>
          <w:rFonts w:hint="eastAsia" w:eastAsia="宋体" w:cs="Times New Roman"/>
          <w:b/>
          <w:bCs/>
          <w:sz w:val="21"/>
          <w:szCs w:val="21"/>
          <w:u w:val="none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none"/>
        </w:rPr>
        <w:br w:type="textWrapping"/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none"/>
        </w:rPr>
        <w:t>CC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none"/>
          <w:vertAlign w:val="subscript"/>
        </w:rPr>
        <w:t>50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none"/>
        </w:rPr>
        <w:t xml:space="preserve"> and EC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none"/>
          <w:vertAlign w:val="subscript"/>
        </w:rPr>
        <w:t>50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none"/>
        </w:rPr>
        <w:t xml:space="preserve"> of tecovirimat and cidofovir were determined in Vero-E6</w:t>
      </w:r>
      <w:r>
        <w:rPr>
          <w:rFonts w:hint="eastAsia" w:eastAsia="宋体" w:cs="Times New Roman"/>
          <w:b w:val="0"/>
          <w:bCs w:val="0"/>
          <w:sz w:val="21"/>
          <w:szCs w:val="21"/>
          <w:u w:val="none"/>
          <w:lang w:val="en-US" w:eastAsia="zh-CN"/>
        </w:rPr>
        <w:t xml:space="preserve"> (A)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none"/>
        </w:rPr>
        <w:t>, A549</w:t>
      </w:r>
      <w:r>
        <w:rPr>
          <w:rFonts w:hint="eastAsia" w:eastAsia="宋体" w:cs="Times New Roman"/>
          <w:b w:val="0"/>
          <w:bCs w:val="0"/>
          <w:sz w:val="21"/>
          <w:szCs w:val="21"/>
          <w:u w:val="none"/>
          <w:lang w:val="en-US" w:eastAsia="zh-CN"/>
        </w:rPr>
        <w:t xml:space="preserve"> (B)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none"/>
        </w:rPr>
        <w:t>, HaCaT</w:t>
      </w:r>
      <w:r>
        <w:rPr>
          <w:rFonts w:hint="eastAsia" w:eastAsia="宋体" w:cs="Times New Roman"/>
          <w:b w:val="0"/>
          <w:bCs w:val="0"/>
          <w:sz w:val="21"/>
          <w:szCs w:val="21"/>
          <w:u w:val="none"/>
          <w:lang w:val="en-US" w:eastAsia="zh-CN"/>
        </w:rPr>
        <w:t xml:space="preserve"> (C)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none"/>
        </w:rPr>
        <w:t>, and RD cells</w:t>
      </w:r>
      <w:r>
        <w:rPr>
          <w:rFonts w:hint="eastAsia" w:eastAsia="宋体" w:cs="Times New Roman"/>
          <w:b w:val="0"/>
          <w:bCs w:val="0"/>
          <w:sz w:val="21"/>
          <w:szCs w:val="21"/>
          <w:u w:val="none"/>
          <w:lang w:val="en-US" w:eastAsia="zh-CN"/>
        </w:rPr>
        <w:t xml:space="preserve"> (D)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none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none"/>
        </w:rPr>
        <w:t>The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none"/>
        </w:rPr>
        <w:t>values were determined by fitting a four-parameter logistic curve and performing nonlinear regression analysis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none"/>
          <w:lang w:val="en-US" w:eastAsia="zh-CN"/>
        </w:rPr>
        <w:t>.</w:t>
      </w:r>
    </w:p>
    <w:p w14:paraId="1E259BA5">
      <w:pP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none"/>
          <w:lang w:val="en-US" w:eastAsia="zh-CN"/>
        </w:rPr>
        <w:br w:type="page"/>
      </w:r>
    </w:p>
    <w:p w14:paraId="463FDCEE">
      <w:pPr>
        <w:pStyle w:val="2"/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none"/>
          <w:lang w:val="en-US" w:eastAsia="zh-CN"/>
        </w:rPr>
        <w:drawing>
          <wp:inline distT="0" distB="0" distL="114300" distR="114300">
            <wp:extent cx="6622415" cy="3386455"/>
            <wp:effectExtent l="0" t="0" r="6985" b="4445"/>
            <wp:docPr id="28" name="图片 28" descr="fig123和附图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fig123和附图_07"/>
                    <pic:cNvPicPr>
                      <a:picLocks noChangeAspect="1"/>
                    </pic:cNvPicPr>
                  </pic:nvPicPr>
                  <pic:blipFill>
                    <a:blip r:embed="rId8"/>
                    <a:srcRect t="6272" b="42660"/>
                    <a:stretch>
                      <a:fillRect/>
                    </a:stretch>
                  </pic:blipFill>
                  <pic:spPr>
                    <a:xfrm>
                      <a:off x="0" y="0"/>
                      <a:ext cx="6622415" cy="338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71AC1">
      <w:pPr>
        <w:pStyle w:val="2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b w:val="0"/>
          <w:bCs w:val="0"/>
          <w:sz w:val="21"/>
          <w:szCs w:val="21"/>
          <w:u w:val="none"/>
        </w:rPr>
      </w:pPr>
      <w:r>
        <w:rPr>
          <w:rStyle w:val="5"/>
          <w:rFonts w:hint="default" w:ascii="Times New Roman" w:hAnsi="Times New Roman" w:eastAsia="宋体" w:cs="Times New Roman"/>
          <w:b/>
          <w:bCs/>
          <w:sz w:val="21"/>
          <w:szCs w:val="21"/>
          <w:u w:val="none"/>
        </w:rPr>
        <w:t>Supplementary Figure 3</w:t>
      </w:r>
      <w:r>
        <w:rPr>
          <w:rStyle w:val="5"/>
          <w:rFonts w:hint="default" w:ascii="Times New Roman" w:hAnsi="Times New Roman" w:eastAsia="宋体" w:cs="Times New Roman"/>
          <w:b/>
          <w:bCs/>
          <w:sz w:val="21"/>
          <w:szCs w:val="21"/>
          <w:u w:val="none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u w:val="none"/>
        </w:rPr>
        <w:t>Effects of Tecovirimat and Cidofovir Treatment on Cytokines</w:t>
      </w:r>
      <w:r>
        <w:rPr>
          <w:rFonts w:hint="eastAsia" w:eastAsia="宋体" w:cs="Times New Roman"/>
          <w:b/>
          <w:bCs/>
          <w:sz w:val="21"/>
          <w:szCs w:val="21"/>
          <w:u w:val="none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none"/>
        </w:rPr>
        <w:br w:type="textWrapping"/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none"/>
        </w:rPr>
        <w:t>The effects of tecovirimat and cidofovir treatment on the protein expression of TNF-α and GM-CSF were measured in the intranasal, intradermal, and subcutaneous infection models. (A) Detection of TNF-α and GM-CSF at 14 dpi.</w:t>
      </w:r>
      <w:r>
        <w:rPr>
          <w:rFonts w:hint="eastAsia" w:eastAsia="宋体" w:cs="Times New Roman"/>
          <w:b w:val="0"/>
          <w:bCs w:val="0"/>
          <w:sz w:val="21"/>
          <w:szCs w:val="21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none"/>
        </w:rPr>
        <w:t>(</w:t>
      </w:r>
      <w:r>
        <w:rPr>
          <w:rFonts w:hint="eastAsia" w:eastAsia="宋体" w:cs="Times New Roman"/>
          <w:b w:val="0"/>
          <w:bCs w:val="0"/>
          <w:sz w:val="21"/>
          <w:szCs w:val="21"/>
          <w:u w:val="none"/>
          <w:lang w:val="en-US" w:eastAsia="zh-CN"/>
        </w:rPr>
        <w:t>B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none"/>
        </w:rPr>
        <w:t>) Detection of TNF-α and GM-CSF at 28 dpi.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none"/>
        </w:rPr>
        <w:t xml:space="preserve">Error bars represent the mean ± standard error of the mean (SEM). Statistical differences between groups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u w:val="none"/>
        </w:rPr>
        <w:t xml:space="preserve">were determined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u w:val="none"/>
          <w:lang w:val="en-US" w:eastAsia="zh-CN"/>
        </w:rPr>
        <w:t>by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u w:val="none"/>
        </w:rPr>
        <w:t xml:space="preserve"> one-way analysis of variance (ANOVA) followed by two-tailed 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  <w:u w:val="none"/>
        </w:rPr>
        <w:t>t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u w:val="none"/>
        </w:rPr>
        <w:t xml:space="preserve">-tests. Statistical significance levels are indicated as follows: 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  <w:u w:val="none"/>
          <w:lang w:val="en-US" w:eastAsia="zh-CN"/>
        </w:rPr>
        <w:t>ns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u w:val="none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  <w:u w:val="none"/>
        </w:rPr>
        <w:t>P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u w:val="none"/>
        </w:rPr>
        <w:t xml:space="preserve"> &gt; 0.05; *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  <w:u w:val="none"/>
        </w:rPr>
        <w:t>P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u w:val="none"/>
        </w:rPr>
        <w:t xml:space="preserve"> ≤ 0.05; **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  <w:u w:val="none"/>
        </w:rPr>
        <w:t>P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u w:val="none"/>
        </w:rPr>
        <w:t xml:space="preserve"> ≤ 0.01; ***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  <w:u w:val="none"/>
        </w:rPr>
        <w:t>P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u w:val="none"/>
        </w:rPr>
        <w:t xml:space="preserve"> ≤ 0.001; ****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  <w:u w:val="none"/>
        </w:rPr>
        <w:t>P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u w:val="none"/>
        </w:rPr>
        <w:t xml:space="preserve"> ≤ 0.0001.</w:t>
      </w:r>
    </w:p>
    <w:p w14:paraId="2694CB9D">
      <w:pPr>
        <w:pStyle w:val="2"/>
        <w:keepNext w:val="0"/>
        <w:keepLines w:val="0"/>
        <w:widowControl/>
        <w:suppressLineNumbers w:val="0"/>
        <w:jc w:val="both"/>
        <w:rPr>
          <w:rStyle w:val="5"/>
          <w:rFonts w:hint="eastAsia" w:ascii="Times New Roman" w:hAnsi="Times New Roman" w:eastAsia="宋体" w:cs="Times New Roman"/>
          <w:b/>
          <w:bCs/>
          <w:sz w:val="21"/>
          <w:szCs w:val="21"/>
          <w:u w:val="none"/>
          <w:lang w:eastAsia="zh-CN"/>
        </w:rPr>
      </w:pPr>
      <w:r>
        <w:rPr>
          <w:rStyle w:val="5"/>
          <w:rFonts w:hint="eastAsia" w:ascii="Times New Roman" w:hAnsi="Times New Roman" w:eastAsia="宋体" w:cs="Times New Roman"/>
          <w:b/>
          <w:bCs/>
          <w:sz w:val="21"/>
          <w:szCs w:val="21"/>
          <w:u w:val="none"/>
          <w:lang w:eastAsia="zh-CN"/>
        </w:rPr>
        <w:drawing>
          <wp:inline distT="0" distB="0" distL="114300" distR="114300">
            <wp:extent cx="6619240" cy="3058795"/>
            <wp:effectExtent l="0" t="0" r="10160" b="8255"/>
            <wp:docPr id="10" name="图片 10" descr="H:/Users/Administrator/Desktop/文章各部分/文章图片/S Fig.4.tifS Fig.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H:/Users/Administrator/Desktop/文章各部分/文章图片/S Fig.4.tifS Fig.4"/>
                    <pic:cNvPicPr>
                      <a:picLocks noChangeAspect="1"/>
                    </pic:cNvPicPr>
                  </pic:nvPicPr>
                  <pic:blipFill>
                    <a:blip r:embed="rId9"/>
                    <a:srcRect l="4449" t="-573" r="-423" b="56286"/>
                    <a:stretch>
                      <a:fillRect/>
                    </a:stretch>
                  </pic:blipFill>
                  <pic:spPr>
                    <a:xfrm>
                      <a:off x="0" y="0"/>
                      <a:ext cx="6619240" cy="305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379F5">
      <w:pPr>
        <w:pStyle w:val="2"/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none"/>
        </w:rPr>
      </w:pPr>
      <w:r>
        <w:rPr>
          <w:rStyle w:val="5"/>
          <w:rFonts w:hint="default" w:ascii="Times New Roman" w:hAnsi="Times New Roman" w:eastAsia="宋体" w:cs="Times New Roman"/>
          <w:b/>
          <w:bCs/>
          <w:sz w:val="21"/>
          <w:szCs w:val="21"/>
          <w:u w:val="none"/>
        </w:rPr>
        <w:t>Supplementary Figure 4</w:t>
      </w:r>
      <w:r>
        <w:rPr>
          <w:rStyle w:val="5"/>
          <w:rFonts w:hint="default" w:ascii="Times New Roman" w:hAnsi="Times New Roman" w:eastAsia="宋体" w:cs="Times New Roman"/>
          <w:b/>
          <w:bCs/>
          <w:sz w:val="21"/>
          <w:szCs w:val="21"/>
          <w:u w:val="none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u w:val="none"/>
        </w:rPr>
        <w:t>Effects of Tecovirimat and Cidofovir Treatment on Survival and Disease Progression</w:t>
      </w:r>
      <w:r>
        <w:rPr>
          <w:rFonts w:hint="eastAsia" w:eastAsia="宋体" w:cs="Times New Roman"/>
          <w:b/>
          <w:bCs/>
          <w:sz w:val="21"/>
          <w:szCs w:val="21"/>
          <w:u w:val="none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none"/>
        </w:rPr>
        <w:br w:type="textWrapping"/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none"/>
        </w:rPr>
        <w:t xml:space="preserve">(A, B, C) Survival rates and (D, E, F) disease scores of SCID mice were monitored and recorded from 0 to 28 dpi, which is treated with tecovirimat and cidofovir in the intranasal 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none"/>
          <w:lang w:val="en-US" w:eastAsia="zh-CN"/>
        </w:rPr>
        <w:t>(n</w:t>
      </w:r>
      <w:r>
        <w:rPr>
          <w:rFonts w:hint="eastAsia" w:eastAsia="宋体" w:cs="Times New Roman"/>
          <w:b w:val="0"/>
          <w:bCs w:val="0"/>
          <w:sz w:val="21"/>
          <w:szCs w:val="21"/>
          <w:u w:val="none"/>
          <w:lang w:val="en-US" w:eastAsia="zh-CN"/>
        </w:rPr>
        <w:t xml:space="preserve"> = 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none"/>
          <w:lang w:val="en-US" w:eastAsia="zh-CN"/>
        </w:rPr>
        <w:t>8)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none"/>
        </w:rPr>
        <w:t>, intradermal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none"/>
          <w:lang w:val="en-US" w:eastAsia="zh-CN"/>
        </w:rPr>
        <w:t xml:space="preserve"> (n</w:t>
      </w:r>
      <w:r>
        <w:rPr>
          <w:rFonts w:hint="eastAsia" w:eastAsia="宋体" w:cs="Times New Roman"/>
          <w:b w:val="0"/>
          <w:bCs w:val="0"/>
          <w:sz w:val="21"/>
          <w:szCs w:val="21"/>
          <w:u w:val="none"/>
          <w:lang w:val="en-US" w:eastAsia="zh-CN"/>
        </w:rPr>
        <w:t xml:space="preserve"> = 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none"/>
          <w:lang w:val="en-US" w:eastAsia="zh-CN"/>
        </w:rPr>
        <w:t>8)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none"/>
        </w:rPr>
        <w:t>, and subcutaneous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none"/>
          <w:lang w:val="en-US" w:eastAsia="zh-CN"/>
        </w:rPr>
        <w:t xml:space="preserve"> (n</w:t>
      </w:r>
      <w:r>
        <w:rPr>
          <w:rFonts w:hint="eastAsia" w:eastAsia="宋体" w:cs="Times New Roman"/>
          <w:b w:val="0"/>
          <w:bCs w:val="0"/>
          <w:sz w:val="21"/>
          <w:szCs w:val="21"/>
          <w:u w:val="none"/>
          <w:lang w:val="en-US" w:eastAsia="zh-CN"/>
        </w:rPr>
        <w:t xml:space="preserve"> = 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none"/>
          <w:lang w:val="en-US" w:eastAsia="zh-CN"/>
        </w:rPr>
        <w:t>8)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none"/>
        </w:rPr>
        <w:t xml:space="preserve"> infection models.</w:t>
      </w:r>
    </w:p>
    <w:p w14:paraId="530CF96A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07766"/>
    <w:rsid w:val="73F312FF"/>
    <w:rsid w:val="7E20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rPr>
      <w:rFonts w:ascii="Times New Roman" w:hAnsi="Times New Roman" w:cs="Times New Roman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tiff"/><Relationship Id="rId8" Type="http://schemas.openxmlformats.org/officeDocument/2006/relationships/image" Target="media/image3.tiff"/><Relationship Id="rId7" Type="http://schemas.openxmlformats.org/officeDocument/2006/relationships/image" Target="media/image2.tiff"/><Relationship Id="rId6" Type="http://schemas.openxmlformats.org/officeDocument/2006/relationships/image" Target="media/image1.tif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584</Words>
  <Characters>2686</Characters>
  <Lines>0</Lines>
  <Paragraphs>0</Paragraphs>
  <TotalTime>31</TotalTime>
  <ScaleCrop>false</ScaleCrop>
  <LinksUpToDate>false</LinksUpToDate>
  <CharactersWithSpaces>3219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2025-04-19T06:21:00Z</dcterms:created>
  <dc:creator>铣笛底穆狗</dc:creator>
  <cp:lastModifiedBy>铣笛底穆狗</cp:lastModifiedBy>
  <dcterms:modified xsi:type="dcterms:W3CDTF">2025-04-19T08:12:45Z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6F259351A09046019038400478E77509_11</vt:lpwstr>
  </property>
  <property fmtid="{D5CDD505-2E9C-101B-9397-08002B2CF9AE}" pid="4" name="KSOTemplateDocerSaveRecord">
    <vt:lpwstr>eyJoZGlkIjoiOTlmNGJmMzUzNWQ1ZTBlZWU0N2E1YTc0MTFkZTVjOGQiLCJ1c2VySWQiOiIxNjcwMDE1NDEwIn0=</vt:lpwstr>
  </property>
</Properties>
</file>