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Supplement 1. ICD-10 and CPT Codes Used for Patient Identification and Study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Category</w:t>
            </w:r>
          </w:p>
        </w:tc>
        <w:tc>
          <w:tcPr>
            <w:tcW w:type="dxa" w:w="1728"/>
          </w:tcPr>
          <w:p>
            <w:r>
              <w:t>Condition/Procedure</w:t>
            </w:r>
          </w:p>
        </w:tc>
        <w:tc>
          <w:tcPr>
            <w:tcW w:type="dxa" w:w="1728"/>
          </w:tcPr>
          <w:p>
            <w:r>
              <w:t>Code Type</w:t>
            </w:r>
          </w:p>
        </w:tc>
        <w:tc>
          <w:tcPr>
            <w:tcW w:type="dxa" w:w="1728"/>
          </w:tcPr>
          <w:p>
            <w:r>
              <w:t>Code</w:t>
            </w:r>
          </w:p>
        </w:tc>
        <w:tc>
          <w:tcPr>
            <w:tcW w:type="dxa" w:w="1728"/>
          </w:tcPr>
          <w:p>
            <w:r>
              <w:t>Description</w:t>
            </w:r>
          </w:p>
        </w:tc>
      </w:tr>
      <w:tr>
        <w:tc>
          <w:tcPr>
            <w:tcW w:type="dxa" w:w="1728"/>
          </w:tcPr>
          <w:p>
            <w:r>
              <w:t>Inclusion Criteria</w:t>
            </w:r>
          </w:p>
        </w:tc>
        <w:tc>
          <w:tcPr>
            <w:tcW w:type="dxa" w:w="1728"/>
          </w:tcPr>
          <w:p>
            <w:r>
              <w:t>Budd-Chiari Syndrome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I82.0</w:t>
            </w:r>
          </w:p>
        </w:tc>
        <w:tc>
          <w:tcPr>
            <w:tcW w:type="dxa" w:w="1728"/>
          </w:tcPr>
          <w:p>
            <w:r>
              <w:t>Budd-Chiari syndrome</w:t>
            </w:r>
          </w:p>
        </w:tc>
      </w:tr>
      <w:tr>
        <w:tc>
          <w:tcPr>
            <w:tcW w:type="dxa" w:w="1728"/>
          </w:tcPr>
          <w:p>
            <w:r>
              <w:t>Inclusion Criteria</w:t>
            </w:r>
          </w:p>
        </w:tc>
        <w:tc>
          <w:tcPr>
            <w:tcW w:type="dxa" w:w="1728"/>
          </w:tcPr>
          <w:p>
            <w:r>
              <w:t>Age ≥18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Filter applied within TriNetX; no specific ICD-10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Deep Vein Thrombosis (DVT)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I82.4</w:t>
            </w:r>
          </w:p>
        </w:tc>
        <w:tc>
          <w:tcPr>
            <w:tcW w:type="dxa" w:w="1728"/>
          </w:tcPr>
          <w:p>
            <w:r>
              <w:t>Acute embolism and thrombosis of deep veins of lower extremity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Pulmonary Embolism (PE)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I26.9</w:t>
            </w:r>
          </w:p>
        </w:tc>
        <w:tc>
          <w:tcPr>
            <w:tcW w:type="dxa" w:w="1728"/>
          </w:tcPr>
          <w:p>
            <w:r>
              <w:t>Pulmonary embolism, unspecified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Other systemic thromboses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I81, I82.1, I82.2</w:t>
            </w:r>
          </w:p>
        </w:tc>
        <w:tc>
          <w:tcPr>
            <w:tcW w:type="dxa" w:w="1728"/>
          </w:tcPr>
          <w:p>
            <w:r>
              <w:t>Portal vein thrombosis, embolism and thrombosis of vena cava, renal vein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Platelet count &lt;50,000/µL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Lab filter in TriNetX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Positive β-hCG &gt;25 mIU/mL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Lab filter in TriNetX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End Stage Renal Disease (ESRD)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N18.6</w:t>
            </w:r>
          </w:p>
        </w:tc>
        <w:tc>
          <w:tcPr>
            <w:tcW w:type="dxa" w:w="1728"/>
          </w:tcPr>
          <w:p>
            <w:r>
              <w:t>End stage renal disease</w:t>
            </w:r>
          </w:p>
        </w:tc>
      </w:tr>
      <w:tr>
        <w:tc>
          <w:tcPr>
            <w:tcW w:type="dxa" w:w="1728"/>
          </w:tcPr>
          <w:p>
            <w:r>
              <w:t>Exclusion Criteria</w:t>
            </w:r>
          </w:p>
        </w:tc>
        <w:tc>
          <w:tcPr>
            <w:tcW w:type="dxa" w:w="1728"/>
          </w:tcPr>
          <w:p>
            <w:r>
              <w:t>Hepatobiliary cancer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C22.0, C22.1, C23, C24</w:t>
            </w:r>
          </w:p>
        </w:tc>
        <w:tc>
          <w:tcPr>
            <w:tcW w:type="dxa" w:w="1728"/>
          </w:tcPr>
          <w:p>
            <w:r>
              <w:t>Liver cell carcinoma, intrahepatic bile duct carcinoma, gallbladder, and biliary tract cancers</w:t>
            </w:r>
          </w:p>
        </w:tc>
      </w:tr>
      <w:tr>
        <w:tc>
          <w:tcPr>
            <w:tcW w:type="dxa" w:w="1728"/>
          </w:tcPr>
          <w:p>
            <w:r>
              <w:t>Exposure Criteria</w:t>
            </w:r>
          </w:p>
        </w:tc>
        <w:tc>
          <w:tcPr>
            <w:tcW w:type="dxa" w:w="1728"/>
          </w:tcPr>
          <w:p>
            <w:r>
              <w:t>Warfarin use</w:t>
            </w:r>
          </w:p>
        </w:tc>
        <w:tc>
          <w:tcPr>
            <w:tcW w:type="dxa" w:w="1728"/>
          </w:tcPr>
          <w:p>
            <w:r>
              <w:t>RXNORM/Drug Code</w:t>
            </w:r>
          </w:p>
        </w:tc>
        <w:tc>
          <w:tcPr>
            <w:tcW w:type="dxa" w:w="1728"/>
          </w:tcPr>
          <w:p>
            <w:r>
              <w:t>11289</w:t>
            </w:r>
          </w:p>
        </w:tc>
        <w:tc>
          <w:tcPr>
            <w:tcW w:type="dxa" w:w="1728"/>
          </w:tcPr>
          <w:p>
            <w:r>
              <w:t>Warfarin sodium</w:t>
            </w:r>
          </w:p>
        </w:tc>
      </w:tr>
      <w:tr>
        <w:tc>
          <w:tcPr>
            <w:tcW w:type="dxa" w:w="1728"/>
          </w:tcPr>
          <w:p>
            <w:r>
              <w:t>Exposure Criteria</w:t>
            </w:r>
          </w:p>
        </w:tc>
        <w:tc>
          <w:tcPr>
            <w:tcW w:type="dxa" w:w="1728"/>
          </w:tcPr>
          <w:p>
            <w:r>
              <w:t>DOACs (Apixaban)</w:t>
            </w:r>
          </w:p>
        </w:tc>
        <w:tc>
          <w:tcPr>
            <w:tcW w:type="dxa" w:w="1728"/>
          </w:tcPr>
          <w:p>
            <w:r>
              <w:t>RXNORM/Drug Code</w:t>
            </w:r>
          </w:p>
        </w:tc>
        <w:tc>
          <w:tcPr>
            <w:tcW w:type="dxa" w:w="1728"/>
          </w:tcPr>
          <w:p>
            <w:r>
              <w:t>1367383</w:t>
            </w:r>
          </w:p>
        </w:tc>
        <w:tc>
          <w:tcPr>
            <w:tcW w:type="dxa" w:w="1728"/>
          </w:tcPr>
          <w:p>
            <w:r>
              <w:t>Apixaban</w:t>
            </w:r>
          </w:p>
        </w:tc>
      </w:tr>
      <w:tr>
        <w:tc>
          <w:tcPr>
            <w:tcW w:type="dxa" w:w="1728"/>
          </w:tcPr>
          <w:p>
            <w:r>
              <w:t>Exposure Criteria</w:t>
            </w:r>
          </w:p>
        </w:tc>
        <w:tc>
          <w:tcPr>
            <w:tcW w:type="dxa" w:w="1728"/>
          </w:tcPr>
          <w:p>
            <w:r>
              <w:t>DOACs (Rivaroxaban)</w:t>
            </w:r>
          </w:p>
        </w:tc>
        <w:tc>
          <w:tcPr>
            <w:tcW w:type="dxa" w:w="1728"/>
          </w:tcPr>
          <w:p>
            <w:r>
              <w:t>RXNORM/Drug Code</w:t>
            </w:r>
          </w:p>
        </w:tc>
        <w:tc>
          <w:tcPr>
            <w:tcW w:type="dxa" w:w="1728"/>
          </w:tcPr>
          <w:p>
            <w:r>
              <w:t>1116458</w:t>
            </w:r>
          </w:p>
        </w:tc>
        <w:tc>
          <w:tcPr>
            <w:tcW w:type="dxa" w:w="1728"/>
          </w:tcPr>
          <w:p>
            <w:r>
              <w:t>Rivaroxaban</w:t>
            </w:r>
          </w:p>
        </w:tc>
      </w:tr>
      <w:tr>
        <w:tc>
          <w:tcPr>
            <w:tcW w:type="dxa" w:w="1728"/>
          </w:tcPr>
          <w:p>
            <w:r>
              <w:t>Exposure Criteria</w:t>
            </w:r>
          </w:p>
        </w:tc>
        <w:tc>
          <w:tcPr>
            <w:tcW w:type="dxa" w:w="1728"/>
          </w:tcPr>
          <w:p>
            <w:r>
              <w:t>DOACs (Dabigatran)</w:t>
            </w:r>
          </w:p>
        </w:tc>
        <w:tc>
          <w:tcPr>
            <w:tcW w:type="dxa" w:w="1728"/>
          </w:tcPr>
          <w:p>
            <w:r>
              <w:t>RXNORM/Drug Code</w:t>
            </w:r>
          </w:p>
        </w:tc>
        <w:tc>
          <w:tcPr>
            <w:tcW w:type="dxa" w:w="1728"/>
          </w:tcPr>
          <w:p>
            <w:r>
              <w:t>1049630</w:t>
            </w:r>
          </w:p>
        </w:tc>
        <w:tc>
          <w:tcPr>
            <w:tcW w:type="dxa" w:w="1728"/>
          </w:tcPr>
          <w:p>
            <w:r>
              <w:t>Dabigatran etexilate</w:t>
            </w:r>
          </w:p>
        </w:tc>
      </w:tr>
      <w:tr>
        <w:tc>
          <w:tcPr>
            <w:tcW w:type="dxa" w:w="1728"/>
          </w:tcPr>
          <w:p>
            <w:r>
              <w:t>Exposure Criteria</w:t>
            </w:r>
          </w:p>
        </w:tc>
        <w:tc>
          <w:tcPr>
            <w:tcW w:type="dxa" w:w="1728"/>
          </w:tcPr>
          <w:p>
            <w:r>
              <w:t>DOACs (Edoxaban)</w:t>
            </w:r>
          </w:p>
        </w:tc>
        <w:tc>
          <w:tcPr>
            <w:tcW w:type="dxa" w:w="1728"/>
          </w:tcPr>
          <w:p>
            <w:r>
              <w:t>RXNORM/Drug Code</w:t>
            </w:r>
          </w:p>
        </w:tc>
        <w:tc>
          <w:tcPr>
            <w:tcW w:type="dxa" w:w="1728"/>
          </w:tcPr>
          <w:p>
            <w:r>
              <w:t>1508222</w:t>
            </w:r>
          </w:p>
        </w:tc>
        <w:tc>
          <w:tcPr>
            <w:tcW w:type="dxa" w:w="1728"/>
          </w:tcPr>
          <w:p>
            <w:r>
              <w:t>Edoxaban tosylate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Hypertension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I10</w:t>
            </w:r>
          </w:p>
        </w:tc>
        <w:tc>
          <w:tcPr>
            <w:tcW w:type="dxa" w:w="1728"/>
          </w:tcPr>
          <w:p>
            <w:r>
              <w:t>Essential (primary) hypertension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Diabetes Mellitus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E11</w:t>
            </w:r>
          </w:p>
        </w:tc>
        <w:tc>
          <w:tcPr>
            <w:tcW w:type="dxa" w:w="1728"/>
          </w:tcPr>
          <w:p>
            <w:r>
              <w:t>Type 2 diabetes mellitus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Heart Failure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I50</w:t>
            </w:r>
          </w:p>
        </w:tc>
        <w:tc>
          <w:tcPr>
            <w:tcW w:type="dxa" w:w="1728"/>
          </w:tcPr>
          <w:p>
            <w:r>
              <w:t>Heart failure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COPD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J44.9</w:t>
            </w:r>
          </w:p>
        </w:tc>
        <w:tc>
          <w:tcPr>
            <w:tcW w:type="dxa" w:w="1728"/>
          </w:tcPr>
          <w:p>
            <w:r>
              <w:t>Chronic obstructive pulmonary disease, unspecified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Coronary Artery Disease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I25.10</w:t>
            </w:r>
          </w:p>
        </w:tc>
        <w:tc>
          <w:tcPr>
            <w:tcW w:type="dxa" w:w="1728"/>
          </w:tcPr>
          <w:p>
            <w:r>
              <w:t>Atherosclerotic heart disease of native coronary artery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Alcohol Use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F10.10</w:t>
            </w:r>
          </w:p>
        </w:tc>
        <w:tc>
          <w:tcPr>
            <w:tcW w:type="dxa" w:w="1728"/>
          </w:tcPr>
          <w:p>
            <w:r>
              <w:t>Alcohol abuse, uncomplicated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Tobacco Use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Z72.0</w:t>
            </w:r>
          </w:p>
        </w:tc>
        <w:tc>
          <w:tcPr>
            <w:tcW w:type="dxa" w:w="1728"/>
          </w:tcPr>
          <w:p>
            <w:r>
              <w:t>Tobacco use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Aspirin use</w:t>
            </w:r>
          </w:p>
        </w:tc>
        <w:tc>
          <w:tcPr>
            <w:tcW w:type="dxa" w:w="1728"/>
          </w:tcPr>
          <w:p>
            <w:r>
              <w:t>RXNORM</w:t>
            </w:r>
          </w:p>
        </w:tc>
        <w:tc>
          <w:tcPr>
            <w:tcW w:type="dxa" w:w="1728"/>
          </w:tcPr>
          <w:p>
            <w:r>
              <w:t>1191</w:t>
            </w:r>
          </w:p>
        </w:tc>
        <w:tc>
          <w:tcPr>
            <w:tcW w:type="dxa" w:w="1728"/>
          </w:tcPr>
          <w:p>
            <w:r>
              <w:t>Aspirin</w:t>
            </w:r>
          </w:p>
        </w:tc>
      </w:tr>
      <w:tr>
        <w:tc>
          <w:tcPr>
            <w:tcW w:type="dxa" w:w="1728"/>
          </w:tcPr>
          <w:p>
            <w:r>
              <w:t>Covariates for Matching</w:t>
            </w:r>
          </w:p>
        </w:tc>
        <w:tc>
          <w:tcPr>
            <w:tcW w:type="dxa" w:w="1728"/>
          </w:tcPr>
          <w:p>
            <w:r>
              <w:t>Clopidogrel use</w:t>
            </w:r>
          </w:p>
        </w:tc>
        <w:tc>
          <w:tcPr>
            <w:tcW w:type="dxa" w:w="1728"/>
          </w:tcPr>
          <w:p>
            <w:r>
              <w:t>RXNORM</w:t>
            </w:r>
          </w:p>
        </w:tc>
        <w:tc>
          <w:tcPr>
            <w:tcW w:type="dxa" w:w="1728"/>
          </w:tcPr>
          <w:p>
            <w:r>
              <w:t>855332</w:t>
            </w:r>
          </w:p>
        </w:tc>
        <w:tc>
          <w:tcPr>
            <w:tcW w:type="dxa" w:w="1728"/>
          </w:tcPr>
          <w:p>
            <w:r>
              <w:t>Clopidogrel</w:t>
            </w:r>
          </w:p>
        </w:tc>
      </w:tr>
      <w:tr>
        <w:tc>
          <w:tcPr>
            <w:tcW w:type="dxa" w:w="1728"/>
          </w:tcPr>
          <w:p>
            <w:r>
              <w:t>Outcomes</w:t>
            </w:r>
          </w:p>
        </w:tc>
        <w:tc>
          <w:tcPr>
            <w:tcW w:type="dxa" w:w="1728"/>
          </w:tcPr>
          <w:p>
            <w:r>
              <w:t>GI Bleeding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K92.2</w:t>
            </w:r>
          </w:p>
        </w:tc>
        <w:tc>
          <w:tcPr>
            <w:tcW w:type="dxa" w:w="1728"/>
          </w:tcPr>
          <w:p>
            <w:r>
              <w:t>Gastrointestinal hemorrhage, unspecified</w:t>
            </w:r>
          </w:p>
        </w:tc>
      </w:tr>
      <w:tr>
        <w:tc>
          <w:tcPr>
            <w:tcW w:type="dxa" w:w="1728"/>
          </w:tcPr>
          <w:p>
            <w:r>
              <w:t>Outcomes</w:t>
            </w:r>
          </w:p>
        </w:tc>
        <w:tc>
          <w:tcPr>
            <w:tcW w:type="dxa" w:w="1728"/>
          </w:tcPr>
          <w:p>
            <w:r>
              <w:t>Esophageal Bleeding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I85.01</w:t>
            </w:r>
          </w:p>
        </w:tc>
        <w:tc>
          <w:tcPr>
            <w:tcW w:type="dxa" w:w="1728"/>
          </w:tcPr>
          <w:p>
            <w:r>
              <w:t>Bleeding esophageal varices with bleeding</w:t>
            </w:r>
          </w:p>
        </w:tc>
      </w:tr>
      <w:tr>
        <w:tc>
          <w:tcPr>
            <w:tcW w:type="dxa" w:w="1728"/>
          </w:tcPr>
          <w:p>
            <w:r>
              <w:t>Outcomes</w:t>
            </w:r>
          </w:p>
        </w:tc>
        <w:tc>
          <w:tcPr>
            <w:tcW w:type="dxa" w:w="1728"/>
          </w:tcPr>
          <w:p>
            <w:r>
              <w:t>Intracranial Hemorrhage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I61.9</w:t>
            </w:r>
          </w:p>
        </w:tc>
        <w:tc>
          <w:tcPr>
            <w:tcW w:type="dxa" w:w="1728"/>
          </w:tcPr>
          <w:p>
            <w:r>
              <w:t>Intracerebral hemorrhage, unspecified</w:t>
            </w:r>
          </w:p>
        </w:tc>
      </w:tr>
      <w:tr>
        <w:tc>
          <w:tcPr>
            <w:tcW w:type="dxa" w:w="1728"/>
          </w:tcPr>
          <w:p>
            <w:r>
              <w:t>Outcomes</w:t>
            </w:r>
          </w:p>
        </w:tc>
        <w:tc>
          <w:tcPr>
            <w:tcW w:type="dxa" w:w="1728"/>
          </w:tcPr>
          <w:p>
            <w:r>
              <w:t>SBP</w:t>
            </w:r>
          </w:p>
        </w:tc>
        <w:tc>
          <w:tcPr>
            <w:tcW w:type="dxa" w:w="1728"/>
          </w:tcPr>
          <w:p>
            <w:r>
              <w:t>ICD-10</w:t>
            </w:r>
          </w:p>
        </w:tc>
        <w:tc>
          <w:tcPr>
            <w:tcW w:type="dxa" w:w="1728"/>
          </w:tcPr>
          <w:p>
            <w:r>
              <w:t>K65.2</w:t>
            </w:r>
          </w:p>
        </w:tc>
        <w:tc>
          <w:tcPr>
            <w:tcW w:type="dxa" w:w="1728"/>
          </w:tcPr>
          <w:p>
            <w:r>
              <w:t>Spontaneous bacterial peritonitis</w:t>
            </w:r>
          </w:p>
        </w:tc>
      </w:tr>
      <w:tr>
        <w:tc>
          <w:tcPr>
            <w:tcW w:type="dxa" w:w="1728"/>
          </w:tcPr>
          <w:p>
            <w:r>
              <w:t>Outcomes</w:t>
            </w:r>
          </w:p>
        </w:tc>
        <w:tc>
          <w:tcPr>
            <w:tcW w:type="dxa" w:w="1728"/>
          </w:tcPr>
          <w:p>
            <w:r>
              <w:t>TIPS procedure</w:t>
            </w:r>
          </w:p>
        </w:tc>
        <w:tc>
          <w:tcPr>
            <w:tcW w:type="dxa" w:w="1728"/>
          </w:tcPr>
          <w:p>
            <w:r>
              <w:t>CPT</w:t>
            </w:r>
          </w:p>
        </w:tc>
        <w:tc>
          <w:tcPr>
            <w:tcW w:type="dxa" w:w="1728"/>
          </w:tcPr>
          <w:p>
            <w:r>
              <w:t>37182</w:t>
            </w:r>
          </w:p>
        </w:tc>
        <w:tc>
          <w:tcPr>
            <w:tcW w:type="dxa" w:w="1728"/>
          </w:tcPr>
          <w:p>
            <w:r>
              <w:t>Transjugular intrahepatic portosystemic shunt (TIPS)</w:t>
            </w:r>
          </w:p>
        </w:tc>
      </w:tr>
      <w:tr>
        <w:tc>
          <w:tcPr>
            <w:tcW w:type="dxa" w:w="1728"/>
          </w:tcPr>
          <w:p>
            <w:r>
              <w:t>Outcomes</w:t>
            </w:r>
          </w:p>
        </w:tc>
        <w:tc>
          <w:tcPr>
            <w:tcW w:type="dxa" w:w="1728"/>
          </w:tcPr>
          <w:p>
            <w:r>
              <w:t>Mortality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–</w:t>
            </w:r>
          </w:p>
        </w:tc>
        <w:tc>
          <w:tcPr>
            <w:tcW w:type="dxa" w:w="1728"/>
          </w:tcPr>
          <w:p>
            <w:r>
              <w:t>Derived outcome from EMR mortality data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