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21332" w14:textId="18477F7A" w:rsidR="008448EA" w:rsidRPr="00A57C85" w:rsidRDefault="001B1810">
      <w:pPr>
        <w:rPr>
          <w:rFonts w:ascii="Arial" w:hAnsi="Arial" w:cs="Arial"/>
          <w:b/>
          <w:bCs/>
        </w:rPr>
      </w:pPr>
      <w:r w:rsidRPr="00A57C85">
        <w:rPr>
          <w:rFonts w:ascii="Arial" w:hAnsi="Arial" w:cs="Arial"/>
          <w:b/>
          <w:bCs/>
        </w:rPr>
        <w:t>Supplementary Fi</w:t>
      </w:r>
      <w:r w:rsidR="00FF2D57" w:rsidRPr="00A57C85">
        <w:rPr>
          <w:rFonts w:ascii="Arial" w:hAnsi="Arial" w:cs="Arial"/>
          <w:b/>
          <w:bCs/>
        </w:rPr>
        <w:t>gures</w:t>
      </w:r>
    </w:p>
    <w:p w14:paraId="2827352B" w14:textId="77777777" w:rsidR="00FF2D57" w:rsidRDefault="00FF2D57" w:rsidP="00FF2D5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E5548C5" wp14:editId="38D57CEB">
            <wp:extent cx="5943600" cy="2148840"/>
            <wp:effectExtent l="0" t="0" r="0" b="0"/>
            <wp:docPr id="13507746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774669" name="Picture 1350774669"/>
                    <pic:cNvPicPr/>
                  </pic:nvPicPr>
                  <pic:blipFill rotWithShape="1">
                    <a:blip r:embed="rId4"/>
                    <a:srcRect b="72063"/>
                    <a:stretch/>
                  </pic:blipFill>
                  <pic:spPr bwMode="auto">
                    <a:xfrm>
                      <a:off x="0" y="0"/>
                      <a:ext cx="594360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F72D7" w14:textId="77777777" w:rsidR="00FF2D57" w:rsidRDefault="00FF2D57" w:rsidP="00FF2D5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Supplementary Figure 1. </w:t>
      </w:r>
      <w:r w:rsidRPr="00F22BE2">
        <w:rPr>
          <w:rFonts w:ascii="Arial" w:hAnsi="Arial" w:cs="Arial"/>
          <w:b/>
          <w:bCs/>
        </w:rPr>
        <w:t>Cisplatin-resistant ovarian cancer cells have high glutamine levels</w:t>
      </w:r>
      <w:r>
        <w:rPr>
          <w:rFonts w:ascii="Arial" w:hAnsi="Arial" w:cs="Arial"/>
          <w:b/>
          <w:bCs/>
        </w:rPr>
        <w:t xml:space="preserve"> compared to their parental cells</w:t>
      </w:r>
      <w:r w:rsidRPr="00F22BE2">
        <w:rPr>
          <w:rFonts w:ascii="Arial" w:hAnsi="Arial" w:cs="Arial"/>
          <w:b/>
          <w:bCs/>
        </w:rPr>
        <w:t>.</w:t>
      </w:r>
      <w:r>
        <w:rPr>
          <w:rFonts w:ascii="Arial" w:hAnsi="Arial" w:cs="Arial"/>
        </w:rPr>
        <w:t xml:space="preserve"> Untargeted metabolomics analysis of cisplatin-resistant (CP5) OVCAR8 and OVCAR3 cells compared to their parental (CP0) cells. Error bars represent standard deviation. </w:t>
      </w:r>
      <w:r w:rsidRPr="00230DB5">
        <w:rPr>
          <w:rFonts w:ascii="Arial" w:hAnsi="Arial" w:cs="Arial"/>
        </w:rPr>
        <w:t>Arg = arginine, His = histidine, Lys = lysine, Asp = aspartic acid, Glu = glutamic acid, Ser = serine, Thr = threonine, Asn = asparagine, Gln = glutamine, Ala = alanine, Vall = valine, Ile = isoleucine, Met = methionine, Phe = phenylalanine, Tyr = Tyrosine.</w:t>
      </w:r>
    </w:p>
    <w:p w14:paraId="2C64899C" w14:textId="27FFE3B7" w:rsidR="001B1810" w:rsidRDefault="00FF2D5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3F6838D" w14:textId="77777777" w:rsidR="00FF2D57" w:rsidRDefault="00FF2D57" w:rsidP="00FF2D5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EDE0895" wp14:editId="66FC0B54">
            <wp:extent cx="5943600" cy="2880360"/>
            <wp:effectExtent l="0" t="0" r="0" b="0"/>
            <wp:docPr id="12834049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04950" name="Picture 1283404950"/>
                    <pic:cNvPicPr/>
                  </pic:nvPicPr>
                  <pic:blipFill rotWithShape="1">
                    <a:blip r:embed="rId5"/>
                    <a:srcRect b="62553"/>
                    <a:stretch/>
                  </pic:blipFill>
                  <pic:spPr bwMode="auto"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1B309" w14:textId="77777777" w:rsidR="00FF2D57" w:rsidRDefault="00FF2D57" w:rsidP="00FF2D5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Supplementary Figure 2. Differential expression of enzymes involved in glutaminolysis. </w:t>
      </w:r>
      <w:r>
        <w:rPr>
          <w:rFonts w:ascii="Arial" w:hAnsi="Arial" w:cs="Arial"/>
        </w:rPr>
        <w:t>(A) qPCR and western blot were performed on OVCAR3-CP0 and OVCAR3-CP5 to determine the mRNA and protein levels of GPT2. (B-C) qPCR was performed on (B) OVCAR3-CP0, OVCAR3-CP5, and (C) OVCAR8-CP0, and OVCAR8-CP5 to determine the mRNA levels of enzymes involved in glutaminolysis pathways such as glutamate-oxaloacetate transaminase 2 (</w:t>
      </w:r>
      <w:r w:rsidRPr="00F22BE2">
        <w:rPr>
          <w:rFonts w:ascii="Arial" w:hAnsi="Arial" w:cs="Arial"/>
          <w:i/>
          <w:iCs/>
        </w:rPr>
        <w:t>GOT2</w:t>
      </w:r>
      <w:r>
        <w:rPr>
          <w:rFonts w:ascii="Arial" w:hAnsi="Arial" w:cs="Arial"/>
        </w:rPr>
        <w:t>) and glutaminase (</w:t>
      </w:r>
      <w:r w:rsidRPr="00F22BE2">
        <w:rPr>
          <w:rFonts w:ascii="Arial" w:hAnsi="Arial" w:cs="Arial"/>
          <w:i/>
          <w:iCs/>
        </w:rPr>
        <w:t>GLS</w:t>
      </w:r>
      <w:r>
        <w:rPr>
          <w:rFonts w:ascii="Arial" w:hAnsi="Arial" w:cs="Arial"/>
        </w:rPr>
        <w:t>). N = 4 or 5 individual experiments as indicated by each dot, t-test, ns = not significant, * p &lt; 0.05, **** p &lt; 0.0001</w:t>
      </w:r>
    </w:p>
    <w:p w14:paraId="130939AE" w14:textId="77777777" w:rsidR="00FF2D57" w:rsidRDefault="00FF2D57">
      <w:pPr>
        <w:rPr>
          <w:rFonts w:ascii="Arial" w:hAnsi="Arial" w:cs="Arial"/>
        </w:rPr>
      </w:pPr>
    </w:p>
    <w:p w14:paraId="30AAC74C" w14:textId="77777777" w:rsidR="00FF2D57" w:rsidRDefault="00FF2D57" w:rsidP="00FF2D5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691F5AF" w14:textId="6570BA5F" w:rsidR="00FF2D57" w:rsidRDefault="00FF2D57" w:rsidP="00FF2D5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62B8B44" wp14:editId="06018DCE">
            <wp:extent cx="4849547" cy="5835227"/>
            <wp:effectExtent l="0" t="0" r="1905" b="0"/>
            <wp:docPr id="10426910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91037" name="Picture 1042691037"/>
                    <pic:cNvPicPr/>
                  </pic:nvPicPr>
                  <pic:blipFill rotWithShape="1">
                    <a:blip r:embed="rId6"/>
                    <a:srcRect r="5385" b="12029"/>
                    <a:stretch/>
                  </pic:blipFill>
                  <pic:spPr bwMode="auto">
                    <a:xfrm>
                      <a:off x="0" y="0"/>
                      <a:ext cx="4853669" cy="584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AF6D0" w14:textId="77777777" w:rsidR="00FF2D57" w:rsidRPr="00640D39" w:rsidRDefault="00FF2D57" w:rsidP="00FF2D5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Supplementary Figure 3. Differential expression of enzymes involved in TCA cycle. </w:t>
      </w:r>
      <w:r>
        <w:rPr>
          <w:rFonts w:ascii="Arial" w:hAnsi="Arial" w:cs="Arial"/>
        </w:rPr>
        <w:t>(A-B) qPCR was performed on (A) OVCAR8 lines (OVCAR8-CP0 andOVCAR8-CP5) and (B) OVCAR3 lines (OVCAR3-CP0 and OVCAR3-CP5) to determine the mRNA levels of enzymes involved in tricarboxylic acid (TCA) cycle such as p</w:t>
      </w:r>
      <w:r w:rsidRPr="00DF12E4">
        <w:rPr>
          <w:rFonts w:ascii="Arial" w:hAnsi="Arial" w:cs="Arial"/>
        </w:rPr>
        <w:t>yruvate dehydrogenase α1</w:t>
      </w:r>
      <w:r>
        <w:rPr>
          <w:rFonts w:ascii="Arial" w:hAnsi="Arial" w:cs="Arial"/>
        </w:rPr>
        <w:t xml:space="preserve"> (</w:t>
      </w:r>
      <w:r w:rsidRPr="00F22BE2">
        <w:rPr>
          <w:rFonts w:ascii="Arial" w:hAnsi="Arial" w:cs="Arial"/>
          <w:i/>
          <w:iCs/>
        </w:rPr>
        <w:t>PDHA1</w:t>
      </w:r>
      <w:r>
        <w:rPr>
          <w:rFonts w:ascii="Arial" w:hAnsi="Arial" w:cs="Arial"/>
        </w:rPr>
        <w:t>), c</w:t>
      </w:r>
      <w:r w:rsidRPr="00DF12E4">
        <w:rPr>
          <w:rFonts w:ascii="Arial" w:hAnsi="Arial" w:cs="Arial"/>
        </w:rPr>
        <w:t>itrate synthase</w:t>
      </w:r>
      <w:r>
        <w:rPr>
          <w:rFonts w:ascii="Arial" w:hAnsi="Arial" w:cs="Arial"/>
        </w:rPr>
        <w:t xml:space="preserve"> (</w:t>
      </w:r>
      <w:r w:rsidRPr="00F22BE2">
        <w:rPr>
          <w:rFonts w:ascii="Arial" w:hAnsi="Arial" w:cs="Arial"/>
          <w:i/>
          <w:iCs/>
        </w:rPr>
        <w:t>CS</w:t>
      </w:r>
      <w:r>
        <w:rPr>
          <w:rFonts w:ascii="Arial" w:hAnsi="Arial" w:cs="Arial"/>
        </w:rPr>
        <w:t>), a</w:t>
      </w:r>
      <w:r w:rsidRPr="00EE24D8">
        <w:rPr>
          <w:rFonts w:ascii="Arial" w:hAnsi="Arial" w:cs="Arial"/>
        </w:rPr>
        <w:t>conitase 2</w:t>
      </w:r>
      <w:r>
        <w:rPr>
          <w:rFonts w:ascii="Arial" w:hAnsi="Arial" w:cs="Arial"/>
        </w:rPr>
        <w:t xml:space="preserve"> (</w:t>
      </w:r>
      <w:r w:rsidRPr="00F22BE2">
        <w:rPr>
          <w:rFonts w:ascii="Arial" w:hAnsi="Arial" w:cs="Arial"/>
          <w:i/>
          <w:iCs/>
        </w:rPr>
        <w:t>ACO2</w:t>
      </w:r>
      <w:r>
        <w:rPr>
          <w:rFonts w:ascii="Arial" w:hAnsi="Arial" w:cs="Arial"/>
        </w:rPr>
        <w:t>), i</w:t>
      </w:r>
      <w:r w:rsidRPr="00EE24D8">
        <w:rPr>
          <w:rFonts w:ascii="Arial" w:hAnsi="Arial" w:cs="Arial"/>
        </w:rPr>
        <w:t>socitrate dehydrogenase 2</w:t>
      </w:r>
      <w:r>
        <w:rPr>
          <w:rFonts w:ascii="Arial" w:hAnsi="Arial" w:cs="Arial"/>
        </w:rPr>
        <w:t xml:space="preserve"> (</w:t>
      </w:r>
      <w:r w:rsidRPr="00F22BE2">
        <w:rPr>
          <w:rFonts w:ascii="Arial" w:hAnsi="Arial" w:cs="Arial"/>
          <w:i/>
          <w:iCs/>
        </w:rPr>
        <w:t>IDH2</w:t>
      </w:r>
      <w:r>
        <w:rPr>
          <w:rFonts w:ascii="Arial" w:hAnsi="Arial" w:cs="Arial"/>
        </w:rPr>
        <w:t>), o</w:t>
      </w:r>
      <w:r w:rsidRPr="00EE4B1C">
        <w:rPr>
          <w:rFonts w:ascii="Arial" w:hAnsi="Arial" w:cs="Arial"/>
        </w:rPr>
        <w:t>xoglutarate (</w:t>
      </w:r>
      <w:r w:rsidRPr="006C1AA2">
        <w:rPr>
          <w:rFonts w:ascii="Arial" w:hAnsi="Arial" w:cs="Arial"/>
        </w:rPr>
        <w:t>α</w:t>
      </w:r>
      <w:r w:rsidRPr="00EE4B1C">
        <w:rPr>
          <w:rFonts w:ascii="Arial" w:hAnsi="Arial" w:cs="Arial"/>
        </w:rPr>
        <w:t>-ketoglutarate) dehydrogenase</w:t>
      </w:r>
      <w:r>
        <w:rPr>
          <w:rFonts w:ascii="Arial" w:hAnsi="Arial" w:cs="Arial"/>
        </w:rPr>
        <w:t xml:space="preserve"> (</w:t>
      </w:r>
      <w:r w:rsidRPr="00F22BE2">
        <w:rPr>
          <w:rFonts w:ascii="Arial" w:hAnsi="Arial" w:cs="Arial"/>
          <w:i/>
          <w:iCs/>
        </w:rPr>
        <w:t>OGDH</w:t>
      </w:r>
      <w:r>
        <w:rPr>
          <w:rFonts w:ascii="Arial" w:hAnsi="Arial" w:cs="Arial"/>
        </w:rPr>
        <w:t>), d</w:t>
      </w:r>
      <w:r w:rsidRPr="00EE4B1C">
        <w:rPr>
          <w:rFonts w:ascii="Arial" w:hAnsi="Arial" w:cs="Arial"/>
        </w:rPr>
        <w:t>ihydrolipoamide S-succinyltransferase</w:t>
      </w:r>
      <w:r>
        <w:rPr>
          <w:rFonts w:ascii="Arial" w:hAnsi="Arial" w:cs="Arial"/>
        </w:rPr>
        <w:t xml:space="preserve"> (</w:t>
      </w:r>
      <w:r w:rsidRPr="00F22BE2">
        <w:rPr>
          <w:rFonts w:ascii="Arial" w:hAnsi="Arial" w:cs="Arial"/>
          <w:i/>
          <w:iCs/>
        </w:rPr>
        <w:t>DLST</w:t>
      </w:r>
      <w:r>
        <w:rPr>
          <w:rFonts w:ascii="Arial" w:hAnsi="Arial" w:cs="Arial"/>
        </w:rPr>
        <w:t>), s</w:t>
      </w:r>
      <w:r w:rsidRPr="00EE4B1C">
        <w:rPr>
          <w:rFonts w:ascii="Arial" w:hAnsi="Arial" w:cs="Arial"/>
        </w:rPr>
        <w:t xml:space="preserve">uccinate-CoA ligase GDP-forming subunit </w:t>
      </w:r>
      <w:r w:rsidRPr="006C1AA2">
        <w:rPr>
          <w:rFonts w:ascii="Arial" w:hAnsi="Arial" w:cs="Arial"/>
        </w:rPr>
        <w:t>β</w:t>
      </w:r>
      <w:r>
        <w:rPr>
          <w:rFonts w:ascii="Arial" w:hAnsi="Arial" w:cs="Arial"/>
        </w:rPr>
        <w:t xml:space="preserve"> (</w:t>
      </w:r>
      <w:r w:rsidRPr="00F22BE2">
        <w:rPr>
          <w:rFonts w:ascii="Arial" w:hAnsi="Arial" w:cs="Arial"/>
          <w:i/>
          <w:iCs/>
        </w:rPr>
        <w:t>SUCLG2</w:t>
      </w:r>
      <w:r>
        <w:rPr>
          <w:rFonts w:ascii="Arial" w:hAnsi="Arial" w:cs="Arial"/>
        </w:rPr>
        <w:t>), s</w:t>
      </w:r>
      <w:r w:rsidRPr="0063141A">
        <w:rPr>
          <w:rFonts w:ascii="Arial" w:hAnsi="Arial" w:cs="Arial"/>
        </w:rPr>
        <w:t>uccinate dehydrogenase complex subunit C</w:t>
      </w:r>
      <w:r>
        <w:rPr>
          <w:rFonts w:ascii="Arial" w:hAnsi="Arial" w:cs="Arial"/>
        </w:rPr>
        <w:t xml:space="preserve"> (</w:t>
      </w:r>
      <w:r w:rsidRPr="00F22BE2">
        <w:rPr>
          <w:rFonts w:ascii="Arial" w:hAnsi="Arial" w:cs="Arial"/>
          <w:i/>
          <w:iCs/>
        </w:rPr>
        <w:t>SDH2</w:t>
      </w:r>
      <w:r>
        <w:rPr>
          <w:rFonts w:ascii="Arial" w:hAnsi="Arial" w:cs="Arial"/>
        </w:rPr>
        <w:t>), f</w:t>
      </w:r>
      <w:r w:rsidRPr="0063141A">
        <w:rPr>
          <w:rFonts w:ascii="Arial" w:hAnsi="Arial" w:cs="Arial"/>
        </w:rPr>
        <w:t>umarate hydratase</w:t>
      </w:r>
      <w:r>
        <w:rPr>
          <w:rFonts w:ascii="Arial" w:hAnsi="Arial" w:cs="Arial"/>
        </w:rPr>
        <w:t xml:space="preserve"> (</w:t>
      </w:r>
      <w:r w:rsidRPr="00F22BE2">
        <w:rPr>
          <w:rFonts w:ascii="Arial" w:hAnsi="Arial" w:cs="Arial"/>
          <w:i/>
          <w:iCs/>
        </w:rPr>
        <w:t>FH</w:t>
      </w:r>
      <w:r>
        <w:rPr>
          <w:rFonts w:ascii="Arial" w:hAnsi="Arial" w:cs="Arial"/>
        </w:rPr>
        <w:t>), and m</w:t>
      </w:r>
      <w:r w:rsidRPr="00640D39">
        <w:rPr>
          <w:rFonts w:ascii="Arial" w:hAnsi="Arial" w:cs="Arial"/>
        </w:rPr>
        <w:t>alate dehydrogenase 2</w:t>
      </w:r>
      <w:r>
        <w:rPr>
          <w:rFonts w:ascii="Arial" w:hAnsi="Arial" w:cs="Arial"/>
        </w:rPr>
        <w:t xml:space="preserve"> (</w:t>
      </w:r>
      <w:r w:rsidRPr="00F22BE2">
        <w:rPr>
          <w:rFonts w:ascii="Arial" w:hAnsi="Arial" w:cs="Arial"/>
          <w:i/>
          <w:iCs/>
        </w:rPr>
        <w:t>MDH2</w:t>
      </w:r>
      <w:r>
        <w:rPr>
          <w:rFonts w:ascii="Arial" w:hAnsi="Arial" w:cs="Arial"/>
        </w:rPr>
        <w:t>). N = 3 individual experiments as indicated by each dot, t-test, ns = not significant, * p &lt; 0.05, ** p &lt; 0.01, *** p &lt; 0.001, and **** p &lt; 0.0001.</w:t>
      </w:r>
    </w:p>
    <w:p w14:paraId="6208FF4D" w14:textId="3D63AC23" w:rsidR="00A57C85" w:rsidRPr="00A57C85" w:rsidRDefault="00A57C8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Images of the whole blot</w:t>
      </w:r>
    </w:p>
    <w:p w14:paraId="5769F2BC" w14:textId="10532D99" w:rsidR="00FF2D57" w:rsidRPr="001B1810" w:rsidRDefault="00A57C8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FF45C5" wp14:editId="3F79E6A0">
            <wp:extent cx="5943600" cy="4910667"/>
            <wp:effectExtent l="0" t="0" r="0" b="0"/>
            <wp:docPr id="726788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88001" name="Picture 726788001"/>
                    <pic:cNvPicPr/>
                  </pic:nvPicPr>
                  <pic:blipFill rotWithShape="1">
                    <a:blip r:embed="rId7"/>
                    <a:srcRect b="36157"/>
                    <a:stretch/>
                  </pic:blipFill>
                  <pic:spPr bwMode="auto">
                    <a:xfrm>
                      <a:off x="0" y="0"/>
                      <a:ext cx="5943600" cy="4910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2D57" w:rsidRPr="001B18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810"/>
    <w:rsid w:val="00000605"/>
    <w:rsid w:val="00041B24"/>
    <w:rsid w:val="00051203"/>
    <w:rsid w:val="000761C5"/>
    <w:rsid w:val="000815D5"/>
    <w:rsid w:val="00090A2F"/>
    <w:rsid w:val="000919AE"/>
    <w:rsid w:val="000A4CDD"/>
    <w:rsid w:val="000B6F88"/>
    <w:rsid w:val="000C70AA"/>
    <w:rsid w:val="000D2B59"/>
    <w:rsid w:val="00114421"/>
    <w:rsid w:val="00151B1F"/>
    <w:rsid w:val="001554F4"/>
    <w:rsid w:val="00161DC9"/>
    <w:rsid w:val="001765F8"/>
    <w:rsid w:val="001B1810"/>
    <w:rsid w:val="001C1FDB"/>
    <w:rsid w:val="001C22F7"/>
    <w:rsid w:val="001D5A5A"/>
    <w:rsid w:val="002631C4"/>
    <w:rsid w:val="00265CF0"/>
    <w:rsid w:val="00292E01"/>
    <w:rsid w:val="002A5338"/>
    <w:rsid w:val="002C0AF0"/>
    <w:rsid w:val="002C6301"/>
    <w:rsid w:val="002E096A"/>
    <w:rsid w:val="002E1157"/>
    <w:rsid w:val="003952D0"/>
    <w:rsid w:val="003A4F43"/>
    <w:rsid w:val="003B438C"/>
    <w:rsid w:val="003B70D5"/>
    <w:rsid w:val="003D6CF8"/>
    <w:rsid w:val="003F3DD3"/>
    <w:rsid w:val="00441135"/>
    <w:rsid w:val="00443D19"/>
    <w:rsid w:val="00443F34"/>
    <w:rsid w:val="0049441F"/>
    <w:rsid w:val="004A65F5"/>
    <w:rsid w:val="004C274F"/>
    <w:rsid w:val="004E007B"/>
    <w:rsid w:val="004E3D61"/>
    <w:rsid w:val="00517F99"/>
    <w:rsid w:val="00550C69"/>
    <w:rsid w:val="005C2C09"/>
    <w:rsid w:val="005E0E71"/>
    <w:rsid w:val="006036BA"/>
    <w:rsid w:val="00630E5B"/>
    <w:rsid w:val="00631312"/>
    <w:rsid w:val="00645C8C"/>
    <w:rsid w:val="00684134"/>
    <w:rsid w:val="006D767C"/>
    <w:rsid w:val="006F01D6"/>
    <w:rsid w:val="006F0893"/>
    <w:rsid w:val="007361DC"/>
    <w:rsid w:val="00751435"/>
    <w:rsid w:val="00764F78"/>
    <w:rsid w:val="00791E91"/>
    <w:rsid w:val="007D4CF3"/>
    <w:rsid w:val="007E34AC"/>
    <w:rsid w:val="007F61DB"/>
    <w:rsid w:val="00811948"/>
    <w:rsid w:val="008448EA"/>
    <w:rsid w:val="00863CEA"/>
    <w:rsid w:val="00883AA4"/>
    <w:rsid w:val="008A3D37"/>
    <w:rsid w:val="008C2E1F"/>
    <w:rsid w:val="008C5CC5"/>
    <w:rsid w:val="00963A91"/>
    <w:rsid w:val="009B036B"/>
    <w:rsid w:val="009D3ED6"/>
    <w:rsid w:val="009D5359"/>
    <w:rsid w:val="00A00C9C"/>
    <w:rsid w:val="00A132CC"/>
    <w:rsid w:val="00A57C85"/>
    <w:rsid w:val="00AA40DE"/>
    <w:rsid w:val="00AC090A"/>
    <w:rsid w:val="00AD3AA5"/>
    <w:rsid w:val="00AE6A08"/>
    <w:rsid w:val="00AF5532"/>
    <w:rsid w:val="00B10A5F"/>
    <w:rsid w:val="00B47E3A"/>
    <w:rsid w:val="00B8121A"/>
    <w:rsid w:val="00C01BF4"/>
    <w:rsid w:val="00C30511"/>
    <w:rsid w:val="00C3603C"/>
    <w:rsid w:val="00C7414B"/>
    <w:rsid w:val="00C87460"/>
    <w:rsid w:val="00D0038F"/>
    <w:rsid w:val="00D070A8"/>
    <w:rsid w:val="00D4703B"/>
    <w:rsid w:val="00D91D44"/>
    <w:rsid w:val="00D96029"/>
    <w:rsid w:val="00DB5897"/>
    <w:rsid w:val="00DD5684"/>
    <w:rsid w:val="00DD6178"/>
    <w:rsid w:val="00E02F77"/>
    <w:rsid w:val="00E32605"/>
    <w:rsid w:val="00E43B2E"/>
    <w:rsid w:val="00E476A3"/>
    <w:rsid w:val="00E84A63"/>
    <w:rsid w:val="00E91ED6"/>
    <w:rsid w:val="00EA71B5"/>
    <w:rsid w:val="00EC6EE8"/>
    <w:rsid w:val="00ED0F72"/>
    <w:rsid w:val="00EE2E4F"/>
    <w:rsid w:val="00EE7372"/>
    <w:rsid w:val="00EF68DA"/>
    <w:rsid w:val="00F07AEF"/>
    <w:rsid w:val="00F13A19"/>
    <w:rsid w:val="00F327E1"/>
    <w:rsid w:val="00F3323A"/>
    <w:rsid w:val="00F37647"/>
    <w:rsid w:val="00F463A5"/>
    <w:rsid w:val="00F56FDA"/>
    <w:rsid w:val="00F639BD"/>
    <w:rsid w:val="00F70356"/>
    <w:rsid w:val="00FA7B04"/>
    <w:rsid w:val="00FC5A9F"/>
    <w:rsid w:val="00FD0005"/>
    <w:rsid w:val="00FE145B"/>
    <w:rsid w:val="00FE19EB"/>
    <w:rsid w:val="00FF2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9591F4"/>
  <w15:chartTrackingRefBased/>
  <w15:docId w15:val="{E7737574-766E-204F-A17B-493B6506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18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18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18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18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18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18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18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18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18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18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18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18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18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18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18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18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18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18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18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18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18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18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18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18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18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18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18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18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18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297</Words>
  <Characters>1698</Characters>
  <Application>Microsoft Office Word</Application>
  <DocSecurity>0</DocSecurity>
  <Lines>14</Lines>
  <Paragraphs>3</Paragraphs>
  <ScaleCrop>false</ScaleCrop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Horibata, Sachi</dc:creator>
  <cp:keywords/>
  <dc:description/>
  <cp:lastModifiedBy>Horibata, Sachi</cp:lastModifiedBy>
  <cp:revision>3</cp:revision>
  <dcterms:created xsi:type="dcterms:W3CDTF">2025-04-28T16:07:00Z</dcterms:created>
  <dcterms:modified xsi:type="dcterms:W3CDTF">2025-04-28T16:56:00Z</dcterms:modified>
</cp:coreProperties>
</file>