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5CEDE" w14:textId="77777777" w:rsidR="00F94DCB" w:rsidRDefault="00F94DCB">
      <w:pPr>
        <w:spacing w:after="160" w:line="259" w:lineRule="auto"/>
        <w:rPr>
          <w:rFonts w:ascii="Arial" w:hAnsi="Arial" w:cs="Arial"/>
        </w:rPr>
      </w:pPr>
      <w:r>
        <w:rPr>
          <w:rFonts w:ascii="Arial" w:hAnsi="Arial" w:cs="Arial"/>
        </w:rPr>
        <w:br w:type="page"/>
      </w:r>
    </w:p>
    <w:p w14:paraId="3244043D" w14:textId="555AEFDA" w:rsidR="00F94DCB" w:rsidRDefault="00ED68E5" w:rsidP="00F94DCB">
      <w:pPr>
        <w:spacing w:after="160" w:line="259" w:lineRule="auto"/>
        <w:jc w:val="both"/>
        <w:rPr>
          <w:rFonts w:ascii="Arial" w:hAnsi="Arial" w:cs="Arial"/>
        </w:rPr>
      </w:pPr>
      <w:r w:rsidRPr="00ED68E5">
        <w:rPr>
          <w:rFonts w:ascii="Arial" w:hAnsi="Arial" w:cs="Arial"/>
          <w:noProof/>
        </w:rPr>
        <w:lastRenderedPageBreak/>
        <w:drawing>
          <wp:inline distT="0" distB="0" distL="0" distR="0" wp14:anchorId="1CB063F3" wp14:editId="5B98620D">
            <wp:extent cx="5943600" cy="5553710"/>
            <wp:effectExtent l="0" t="0" r="0" b="0"/>
            <wp:docPr id="425273058"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273058" name="Picture 1" descr="A screenshot of a computer screen&#10;&#10;Description automatically generated"/>
                    <pic:cNvPicPr/>
                  </pic:nvPicPr>
                  <pic:blipFill>
                    <a:blip r:embed="rId8"/>
                    <a:stretch>
                      <a:fillRect/>
                    </a:stretch>
                  </pic:blipFill>
                  <pic:spPr>
                    <a:xfrm>
                      <a:off x="0" y="0"/>
                      <a:ext cx="5943600" cy="5553710"/>
                    </a:xfrm>
                    <a:prstGeom prst="rect">
                      <a:avLst/>
                    </a:prstGeom>
                  </pic:spPr>
                </pic:pic>
              </a:graphicData>
            </a:graphic>
          </wp:inline>
        </w:drawing>
      </w:r>
    </w:p>
    <w:p w14:paraId="2DE521A9" w14:textId="77777777" w:rsidR="00F94DCB" w:rsidRDefault="00F94DCB" w:rsidP="00F94DCB">
      <w:pPr>
        <w:spacing w:after="160" w:line="259" w:lineRule="auto"/>
        <w:jc w:val="both"/>
        <w:rPr>
          <w:rFonts w:ascii="Arial" w:hAnsi="Arial" w:cs="Arial"/>
        </w:rPr>
      </w:pPr>
      <w:r w:rsidRPr="00D11A95">
        <w:rPr>
          <w:rFonts w:ascii="Arial" w:hAnsi="Arial" w:cs="Arial"/>
        </w:rPr>
        <w:t xml:space="preserve">Fig S1. Mouse peripheral blood monocyte transactivation in the Transimmune (TI) plate leads to their stimulation and differentiation to physiological dendritic cells (phDCs). (a) </w:t>
      </w:r>
      <w:r>
        <w:rPr>
          <w:rFonts w:ascii="Arial" w:hAnsi="Arial" w:cs="Arial"/>
        </w:rPr>
        <w:t>G</w:t>
      </w:r>
      <w:r w:rsidRPr="00D11A95">
        <w:rPr>
          <w:rFonts w:ascii="Arial" w:hAnsi="Arial" w:cs="Arial"/>
        </w:rPr>
        <w:t>ating strategy for dendritic cells and innate immune cell HD-FCM immunophenotyping. (b-d). Quantification of innate immune cell subset frequencies from CD45</w:t>
      </w:r>
      <w:r w:rsidRPr="00D061F2">
        <w:rPr>
          <w:rFonts w:ascii="Arial" w:hAnsi="Arial" w:cs="Arial"/>
          <w:vertAlign w:val="superscript"/>
        </w:rPr>
        <w:t>+</w:t>
      </w:r>
      <w:r w:rsidRPr="00D11A95">
        <w:rPr>
          <w:rFonts w:ascii="Arial" w:hAnsi="Arial" w:cs="Arial"/>
        </w:rPr>
        <w:t xml:space="preserve"> cells (b) and total numbers (c) and total CD45</w:t>
      </w:r>
      <w:r w:rsidRPr="00D061F2">
        <w:rPr>
          <w:rFonts w:ascii="Arial" w:hAnsi="Arial" w:cs="Arial"/>
          <w:vertAlign w:val="superscript"/>
        </w:rPr>
        <w:t>+</w:t>
      </w:r>
      <w:r w:rsidRPr="00D11A95">
        <w:rPr>
          <w:rFonts w:ascii="Arial" w:hAnsi="Arial" w:cs="Arial"/>
        </w:rPr>
        <w:t xml:space="preserve"> numbers (d) in PBMC, pre-phDC, phDC and splenocytes analyzed by HD-FCM (a). * p &lt; 0.05, ** p &lt; 0.005, *** pv&lt; 0.0005. N = 3 for PBMC and pre-phDC, 6 for phDC, and 5 for splenocytes.</w:t>
      </w:r>
    </w:p>
    <w:p w14:paraId="3EBAAABE" w14:textId="77777777" w:rsidR="00F94DCB" w:rsidRDefault="00F94DCB" w:rsidP="00F94DCB">
      <w:pPr>
        <w:spacing w:after="160" w:line="259" w:lineRule="auto"/>
        <w:jc w:val="both"/>
        <w:rPr>
          <w:rFonts w:ascii="Arial" w:hAnsi="Arial" w:cs="Arial"/>
        </w:rPr>
      </w:pPr>
    </w:p>
    <w:p w14:paraId="182FBE74" w14:textId="3BF1EC0F" w:rsidR="00F94DCB" w:rsidRDefault="00F94DCB">
      <w:pPr>
        <w:spacing w:after="160" w:line="259" w:lineRule="auto"/>
        <w:rPr>
          <w:b/>
          <w:bCs/>
        </w:rPr>
      </w:pPr>
      <w:r>
        <w:rPr>
          <w:b/>
          <w:bCs/>
        </w:rPr>
        <w:br w:type="page"/>
      </w:r>
    </w:p>
    <w:p w14:paraId="4AF9E147" w14:textId="639F2C7B" w:rsidR="00F94DCB" w:rsidRDefault="00ED68E5" w:rsidP="48EA8152">
      <w:pPr>
        <w:rPr>
          <w:b/>
          <w:bCs/>
        </w:rPr>
      </w:pPr>
      <w:r w:rsidRPr="00ED68E5">
        <w:rPr>
          <w:b/>
          <w:bCs/>
          <w:noProof/>
        </w:rPr>
        <w:lastRenderedPageBreak/>
        <w:drawing>
          <wp:inline distT="0" distB="0" distL="0" distR="0" wp14:anchorId="6C7A60B1" wp14:editId="5DA36BD5">
            <wp:extent cx="5943600" cy="3958590"/>
            <wp:effectExtent l="0" t="0" r="0" b="0"/>
            <wp:docPr id="867230936"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230936" name="Picture 1" descr="A screenshot of a computer screen&#10;&#10;Description automatically generated"/>
                    <pic:cNvPicPr/>
                  </pic:nvPicPr>
                  <pic:blipFill>
                    <a:blip r:embed="rId9"/>
                    <a:stretch>
                      <a:fillRect/>
                    </a:stretch>
                  </pic:blipFill>
                  <pic:spPr>
                    <a:xfrm>
                      <a:off x="0" y="0"/>
                      <a:ext cx="5943600" cy="3958590"/>
                    </a:xfrm>
                    <a:prstGeom prst="rect">
                      <a:avLst/>
                    </a:prstGeom>
                  </pic:spPr>
                </pic:pic>
              </a:graphicData>
            </a:graphic>
          </wp:inline>
        </w:drawing>
      </w:r>
    </w:p>
    <w:p w14:paraId="54357A93" w14:textId="77777777" w:rsidR="00F94DCB" w:rsidRDefault="00F94DCB" w:rsidP="48EA8152">
      <w:pPr>
        <w:rPr>
          <w:b/>
          <w:bCs/>
        </w:rPr>
      </w:pPr>
    </w:p>
    <w:p w14:paraId="574E82B1" w14:textId="77777777" w:rsidR="00F94DCB" w:rsidRDefault="00F94DCB" w:rsidP="00F94DCB">
      <w:pPr>
        <w:spacing w:after="160" w:line="259" w:lineRule="auto"/>
        <w:jc w:val="both"/>
        <w:rPr>
          <w:rFonts w:ascii="Arial" w:hAnsi="Arial" w:cs="Arial"/>
        </w:rPr>
      </w:pPr>
      <w:r>
        <w:rPr>
          <w:rFonts w:ascii="Arial" w:hAnsi="Arial" w:cs="Arial"/>
        </w:rPr>
        <w:t xml:space="preserve">Fig S2. </w:t>
      </w:r>
      <w:r w:rsidRPr="00C035C6">
        <w:rPr>
          <w:rFonts w:ascii="Arial" w:hAnsi="Arial" w:cs="Arial"/>
        </w:rPr>
        <w:t>Gating strategy to identify murine phDC</w:t>
      </w:r>
      <w:r>
        <w:rPr>
          <w:rFonts w:ascii="Arial" w:hAnsi="Arial" w:cs="Arial"/>
        </w:rPr>
        <w:t>s for subsequent analysis</w:t>
      </w:r>
      <w:r w:rsidRPr="00C035C6">
        <w:rPr>
          <w:rFonts w:ascii="Arial" w:hAnsi="Arial" w:cs="Arial"/>
        </w:rPr>
        <w:t xml:space="preserve">.  FACs analysis of PBMC that were plate-passed via TI plate.  PhDC, which differentiate from circulating monocytes, are identified by gating out neutrophils (Ly6G+) and plasmacytoid DC (B220+) from the PBMC.  PhDC are predominantly positive for CD11b+.      </w:t>
      </w:r>
    </w:p>
    <w:p w14:paraId="6FB592ED" w14:textId="77777777" w:rsidR="00F94DCB" w:rsidRDefault="00F94DCB" w:rsidP="48EA8152">
      <w:pPr>
        <w:rPr>
          <w:b/>
          <w:bCs/>
        </w:rPr>
      </w:pPr>
    </w:p>
    <w:p w14:paraId="44CA5624" w14:textId="337AFE96" w:rsidR="00F94DCB" w:rsidRDefault="00F94DCB">
      <w:pPr>
        <w:spacing w:after="160" w:line="259" w:lineRule="auto"/>
        <w:rPr>
          <w:b/>
          <w:bCs/>
        </w:rPr>
      </w:pPr>
      <w:r>
        <w:rPr>
          <w:b/>
          <w:bCs/>
        </w:rPr>
        <w:br w:type="page"/>
      </w:r>
    </w:p>
    <w:p w14:paraId="108588BA" w14:textId="3780801C" w:rsidR="00F94DCB" w:rsidRDefault="00ED68E5" w:rsidP="48EA8152">
      <w:pPr>
        <w:rPr>
          <w:b/>
          <w:bCs/>
        </w:rPr>
      </w:pPr>
      <w:r w:rsidRPr="00ED68E5">
        <w:rPr>
          <w:b/>
          <w:bCs/>
          <w:noProof/>
        </w:rPr>
        <w:lastRenderedPageBreak/>
        <w:drawing>
          <wp:inline distT="0" distB="0" distL="0" distR="0" wp14:anchorId="57BF80EC" wp14:editId="428CC673">
            <wp:extent cx="5943600" cy="1656715"/>
            <wp:effectExtent l="0" t="0" r="0" b="0"/>
            <wp:docPr id="1438545866" name="Picture 1" descr="A black and white image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545866" name="Picture 1" descr="A black and white image of a graph&#10;&#10;Description automatically generated"/>
                    <pic:cNvPicPr/>
                  </pic:nvPicPr>
                  <pic:blipFill>
                    <a:blip r:embed="rId10"/>
                    <a:stretch>
                      <a:fillRect/>
                    </a:stretch>
                  </pic:blipFill>
                  <pic:spPr>
                    <a:xfrm>
                      <a:off x="0" y="0"/>
                      <a:ext cx="5943600" cy="1656715"/>
                    </a:xfrm>
                    <a:prstGeom prst="rect">
                      <a:avLst/>
                    </a:prstGeom>
                  </pic:spPr>
                </pic:pic>
              </a:graphicData>
            </a:graphic>
          </wp:inline>
        </w:drawing>
      </w:r>
    </w:p>
    <w:p w14:paraId="656E6FFB" w14:textId="77777777" w:rsidR="00F94DCB" w:rsidRDefault="00F94DCB" w:rsidP="48EA8152">
      <w:pPr>
        <w:rPr>
          <w:b/>
          <w:bCs/>
        </w:rPr>
      </w:pPr>
    </w:p>
    <w:p w14:paraId="275A3E3C" w14:textId="77777777" w:rsidR="00F94DCB" w:rsidRDefault="00F94DCB" w:rsidP="00F94DCB">
      <w:pPr>
        <w:spacing w:after="160" w:line="259" w:lineRule="auto"/>
        <w:jc w:val="both"/>
        <w:rPr>
          <w:rFonts w:ascii="Arial" w:hAnsi="Arial" w:cs="Arial"/>
        </w:rPr>
      </w:pPr>
      <w:r w:rsidRPr="00D11A95">
        <w:rPr>
          <w:rFonts w:ascii="Arial" w:hAnsi="Arial" w:cs="Arial"/>
        </w:rPr>
        <w:t>Fig S</w:t>
      </w:r>
      <w:r>
        <w:rPr>
          <w:rFonts w:ascii="Arial" w:hAnsi="Arial" w:cs="Arial"/>
        </w:rPr>
        <w:t>3</w:t>
      </w:r>
      <w:r w:rsidRPr="00D11A95">
        <w:rPr>
          <w:rFonts w:ascii="Arial" w:hAnsi="Arial" w:cs="Arial"/>
        </w:rPr>
        <w:t>.</w:t>
      </w:r>
      <w:r>
        <w:rPr>
          <w:rFonts w:ascii="Arial" w:hAnsi="Arial" w:cs="Arial"/>
        </w:rPr>
        <w:t xml:space="preserve"> </w:t>
      </w:r>
      <w:r w:rsidRPr="00D11A95">
        <w:rPr>
          <w:rFonts w:ascii="Arial" w:hAnsi="Arial" w:cs="Arial"/>
        </w:rPr>
        <w:t>a, Evaluating the capacity of the LNP[OVA]-phDC to stimulate OVA specific CD4</w:t>
      </w:r>
      <w:r w:rsidRPr="00D061F2">
        <w:rPr>
          <w:rFonts w:ascii="Arial" w:hAnsi="Arial" w:cs="Arial"/>
          <w:vertAlign w:val="superscript"/>
        </w:rPr>
        <w:t>+</w:t>
      </w:r>
      <w:r w:rsidRPr="00D11A95">
        <w:rPr>
          <w:rFonts w:ascii="Arial" w:hAnsi="Arial" w:cs="Arial"/>
        </w:rPr>
        <w:t xml:space="preserve"> T cells via OT-II in vitro stimulation assay.  Similarly to the OT-I assay, phDC transfected with LNP[OVA] were co-incubated with CFSE labeled OT-II cells (splenic CD4</w:t>
      </w:r>
      <w:r w:rsidRPr="00D061F2">
        <w:rPr>
          <w:rFonts w:ascii="Arial" w:hAnsi="Arial" w:cs="Arial"/>
          <w:vertAlign w:val="superscript"/>
        </w:rPr>
        <w:t>+</w:t>
      </w:r>
      <w:r w:rsidRPr="00D11A95">
        <w:rPr>
          <w:rFonts w:ascii="Arial" w:hAnsi="Arial" w:cs="Arial"/>
        </w:rPr>
        <w:t xml:space="preserve"> T cells isolated from OT-II mice), which were then analyzed via FACs for cell proliferation activity via CFSE diminution level on the CD4</w:t>
      </w:r>
      <w:r w:rsidRPr="00D061F2">
        <w:rPr>
          <w:rFonts w:ascii="Arial" w:hAnsi="Arial" w:cs="Arial"/>
          <w:vertAlign w:val="superscript"/>
        </w:rPr>
        <w:t>+</w:t>
      </w:r>
      <w:r w:rsidRPr="00D11A95">
        <w:rPr>
          <w:rFonts w:ascii="Arial" w:hAnsi="Arial" w:cs="Arial"/>
        </w:rPr>
        <w:t xml:space="preserve"> OT-II cells.  b, Comparison of OT-I stimulation level between phDC and cytokine derived BMDC that were pulsed with LNP[OVA].  Bar graph comparing the percentage of OT-I T cells with CFSE diminution. (n=3-4, one-way ANOVA or student’s t-test analysis, mean ± s.d.).</w:t>
      </w:r>
    </w:p>
    <w:p w14:paraId="678DDADE" w14:textId="77777777" w:rsidR="00F94DCB" w:rsidRDefault="00F94DCB" w:rsidP="48EA8152">
      <w:pPr>
        <w:rPr>
          <w:b/>
          <w:bCs/>
        </w:rPr>
      </w:pPr>
    </w:p>
    <w:p w14:paraId="181FEE7D" w14:textId="4BA78175" w:rsidR="00F94DCB" w:rsidRDefault="00F94DCB">
      <w:pPr>
        <w:spacing w:after="160" w:line="259" w:lineRule="auto"/>
        <w:rPr>
          <w:b/>
          <w:bCs/>
        </w:rPr>
      </w:pPr>
      <w:r>
        <w:rPr>
          <w:b/>
          <w:bCs/>
        </w:rPr>
        <w:br w:type="page"/>
      </w:r>
    </w:p>
    <w:p w14:paraId="741E54B2" w14:textId="2CCD5585" w:rsidR="00F94DCB" w:rsidRDefault="00ED68E5" w:rsidP="48EA8152">
      <w:pPr>
        <w:rPr>
          <w:b/>
          <w:bCs/>
        </w:rPr>
      </w:pPr>
      <w:r w:rsidRPr="00ED68E5">
        <w:rPr>
          <w:b/>
          <w:bCs/>
          <w:noProof/>
        </w:rPr>
        <w:lastRenderedPageBreak/>
        <w:drawing>
          <wp:inline distT="0" distB="0" distL="0" distR="0" wp14:anchorId="5C569E84" wp14:editId="7BC8936F">
            <wp:extent cx="5943600" cy="1877695"/>
            <wp:effectExtent l="0" t="0" r="0" b="1905"/>
            <wp:docPr id="28767710" name="Picture 1" descr="A blue and white squar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67710" name="Picture 1" descr="A blue and white square with a black background&#10;&#10;Description automatically generated"/>
                    <pic:cNvPicPr/>
                  </pic:nvPicPr>
                  <pic:blipFill>
                    <a:blip r:embed="rId11"/>
                    <a:stretch>
                      <a:fillRect/>
                    </a:stretch>
                  </pic:blipFill>
                  <pic:spPr>
                    <a:xfrm>
                      <a:off x="0" y="0"/>
                      <a:ext cx="5943600" cy="1877695"/>
                    </a:xfrm>
                    <a:prstGeom prst="rect">
                      <a:avLst/>
                    </a:prstGeom>
                  </pic:spPr>
                </pic:pic>
              </a:graphicData>
            </a:graphic>
          </wp:inline>
        </w:drawing>
      </w:r>
    </w:p>
    <w:p w14:paraId="3D6D73ED" w14:textId="77777777" w:rsidR="00F94DCB" w:rsidRDefault="00F94DCB" w:rsidP="48EA8152">
      <w:pPr>
        <w:rPr>
          <w:b/>
          <w:bCs/>
        </w:rPr>
      </w:pPr>
    </w:p>
    <w:p w14:paraId="10449E41" w14:textId="77777777" w:rsidR="00F94DCB" w:rsidRDefault="00F94DCB" w:rsidP="00F94DCB">
      <w:pPr>
        <w:spacing w:after="160" w:line="259" w:lineRule="auto"/>
        <w:jc w:val="both"/>
        <w:rPr>
          <w:rFonts w:ascii="Arial" w:hAnsi="Arial" w:cs="Arial"/>
        </w:rPr>
      </w:pPr>
      <w:r w:rsidRPr="00D11A95">
        <w:rPr>
          <w:rFonts w:ascii="Arial" w:hAnsi="Arial" w:cs="Arial"/>
        </w:rPr>
        <w:t>Fig S</w:t>
      </w:r>
      <w:r>
        <w:rPr>
          <w:rFonts w:ascii="Arial" w:hAnsi="Arial" w:cs="Arial"/>
        </w:rPr>
        <w:t>4</w:t>
      </w:r>
      <w:r w:rsidRPr="00D11A95">
        <w:rPr>
          <w:rFonts w:ascii="Arial" w:hAnsi="Arial" w:cs="Arial"/>
        </w:rPr>
        <w:t>.</w:t>
      </w:r>
      <w:r>
        <w:rPr>
          <w:rFonts w:ascii="Arial" w:hAnsi="Arial" w:cs="Arial"/>
        </w:rPr>
        <w:t xml:space="preserve"> </w:t>
      </w:r>
      <w:r w:rsidRPr="00D11A95">
        <w:rPr>
          <w:rFonts w:ascii="Arial" w:hAnsi="Arial" w:cs="Arial"/>
        </w:rPr>
        <w:t>a, PhDC generated from human PBMC were transfected over-night with LNP[NLuc].  Subsequently, luciferase substrate was added to the cells for detecting luminescence signal. Bar graph showing signal comparison to phDC that were transfected with LNP[mock] or received no LNP[mRNA] (1 ug/ml of mRNA used for NLuc and mock). b, Signal observed in phDC that were transfected over-night with ranging LNP[mRNA] dose (0.01-1 ug/ml). c, Signal observed in phDC transfected with LNP[NLuc] (1 ug/ml) at ranging incubation period (1.3 hr to 18 hr). (a-c, n=12 from 4 donors for each group, one-way ANOVA mean ± s.d).</w:t>
      </w:r>
      <w:r>
        <w:rPr>
          <w:rFonts w:ascii="Arial" w:hAnsi="Arial" w:cs="Arial"/>
        </w:rPr>
        <w:t xml:space="preserve"> </w:t>
      </w:r>
      <w:r w:rsidRPr="00D11A95">
        <w:rPr>
          <w:rFonts w:ascii="Arial" w:hAnsi="Arial" w:cs="Arial"/>
        </w:rPr>
        <w:t>d, Surface expression of ELAGIGILTV bound MHC-I was detected on phDCs transfected with MART-1 peptide (ELAGIGILTV) mRNA encapsulating LNP (LNP[MART-1]) using TCR like antibody.  PhDC was generated from 3 separate HLA-A2 donors. Signal comparison on phDC (CD14</w:t>
      </w:r>
      <w:r w:rsidRPr="00D061F2">
        <w:rPr>
          <w:rFonts w:ascii="Arial" w:hAnsi="Arial" w:cs="Arial"/>
          <w:vertAlign w:val="superscript"/>
        </w:rPr>
        <w:t>+</w:t>
      </w:r>
      <w:r w:rsidRPr="00D11A95">
        <w:rPr>
          <w:rFonts w:ascii="Arial" w:hAnsi="Arial" w:cs="Arial"/>
        </w:rPr>
        <w:t xml:space="preserve"> subset) that were transfected with LNP[mock] is shown in histograms and line graph (MFI, 3 donors, one-way ANOVA mean ± s.d).</w:t>
      </w:r>
    </w:p>
    <w:p w14:paraId="589FA98F" w14:textId="77777777" w:rsidR="00F94DCB" w:rsidRDefault="00F94DCB" w:rsidP="48EA8152">
      <w:pPr>
        <w:rPr>
          <w:b/>
          <w:bCs/>
        </w:rPr>
      </w:pPr>
    </w:p>
    <w:p w14:paraId="7EF84FD8" w14:textId="514F74AB" w:rsidR="00F94DCB" w:rsidRDefault="00F94DCB">
      <w:pPr>
        <w:spacing w:after="160" w:line="259" w:lineRule="auto"/>
        <w:rPr>
          <w:b/>
          <w:bCs/>
        </w:rPr>
      </w:pPr>
      <w:r>
        <w:rPr>
          <w:b/>
          <w:bCs/>
        </w:rPr>
        <w:br w:type="page"/>
      </w:r>
    </w:p>
    <w:p w14:paraId="703BAEE4" w14:textId="47B3BB68" w:rsidR="00F94DCB" w:rsidRDefault="00ED68E5" w:rsidP="48EA8152">
      <w:pPr>
        <w:rPr>
          <w:b/>
          <w:bCs/>
        </w:rPr>
      </w:pPr>
      <w:r w:rsidRPr="00ED68E5">
        <w:rPr>
          <w:b/>
          <w:bCs/>
          <w:noProof/>
        </w:rPr>
        <w:lastRenderedPageBreak/>
        <w:drawing>
          <wp:inline distT="0" distB="0" distL="0" distR="0" wp14:anchorId="552970D4" wp14:editId="321EF944">
            <wp:extent cx="5943600" cy="2021840"/>
            <wp:effectExtent l="0" t="0" r="0" b="0"/>
            <wp:docPr id="1485566371" name="Picture 1" descr="A screen 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566371" name="Picture 1" descr="A screen shot of a game&#10;&#10;Description automatically generated"/>
                    <pic:cNvPicPr/>
                  </pic:nvPicPr>
                  <pic:blipFill>
                    <a:blip r:embed="rId12"/>
                    <a:stretch>
                      <a:fillRect/>
                    </a:stretch>
                  </pic:blipFill>
                  <pic:spPr>
                    <a:xfrm>
                      <a:off x="0" y="0"/>
                      <a:ext cx="5943600" cy="2021840"/>
                    </a:xfrm>
                    <a:prstGeom prst="rect">
                      <a:avLst/>
                    </a:prstGeom>
                  </pic:spPr>
                </pic:pic>
              </a:graphicData>
            </a:graphic>
          </wp:inline>
        </w:drawing>
      </w:r>
    </w:p>
    <w:p w14:paraId="2EFAA06E" w14:textId="77777777" w:rsidR="00F94DCB" w:rsidRDefault="00F94DCB" w:rsidP="48EA8152">
      <w:pPr>
        <w:rPr>
          <w:b/>
          <w:bCs/>
        </w:rPr>
      </w:pPr>
    </w:p>
    <w:p w14:paraId="7312F72F" w14:textId="77777777" w:rsidR="00F94DCB" w:rsidRDefault="00F94DCB" w:rsidP="48EA8152">
      <w:pPr>
        <w:rPr>
          <w:b/>
          <w:bCs/>
        </w:rPr>
      </w:pPr>
    </w:p>
    <w:p w14:paraId="24BC0297" w14:textId="77777777" w:rsidR="00F94DCB" w:rsidRDefault="00F94DCB" w:rsidP="00F94DCB">
      <w:pPr>
        <w:spacing w:after="160" w:line="259" w:lineRule="auto"/>
        <w:jc w:val="both"/>
        <w:rPr>
          <w:rFonts w:ascii="Arial" w:hAnsi="Arial" w:cs="Arial"/>
        </w:rPr>
      </w:pPr>
      <w:r w:rsidRPr="00D11A95">
        <w:rPr>
          <w:rFonts w:ascii="Arial" w:hAnsi="Arial" w:cs="Arial"/>
        </w:rPr>
        <w:t>Fig S</w:t>
      </w:r>
      <w:r>
        <w:rPr>
          <w:rFonts w:ascii="Arial" w:hAnsi="Arial" w:cs="Arial"/>
        </w:rPr>
        <w:t>5</w:t>
      </w:r>
      <w:r w:rsidRPr="00D11A95">
        <w:rPr>
          <w:rFonts w:ascii="Arial" w:hAnsi="Arial" w:cs="Arial"/>
        </w:rPr>
        <w:t>. a, Schematic description of CD3</w:t>
      </w:r>
      <w:r w:rsidRPr="00D061F2">
        <w:rPr>
          <w:rFonts w:ascii="Arial" w:hAnsi="Arial" w:cs="Arial"/>
          <w:vertAlign w:val="superscript"/>
        </w:rPr>
        <w:t>+</w:t>
      </w:r>
      <w:r w:rsidRPr="00D11A95">
        <w:rPr>
          <w:rFonts w:ascii="Arial" w:hAnsi="Arial" w:cs="Arial"/>
        </w:rPr>
        <w:t xml:space="preserve"> T cell adoptive transfer assay using mice vaccinated with LNP[OVA]-phDC or LNP[OVA]-i.m. as is injection.  CD3</w:t>
      </w:r>
      <w:r w:rsidRPr="00D061F2">
        <w:rPr>
          <w:rFonts w:ascii="Arial" w:hAnsi="Arial" w:cs="Arial"/>
          <w:vertAlign w:val="superscript"/>
        </w:rPr>
        <w:t>+</w:t>
      </w:r>
      <w:r w:rsidRPr="00D11A95">
        <w:rPr>
          <w:rFonts w:ascii="Arial" w:hAnsi="Arial" w:cs="Arial"/>
        </w:rPr>
        <w:t xml:space="preserve"> splenocytes isolated from respective groups are transferred into naïve mice that are freshly implanted with EG.7 tumor cells (s.c.).  b, Tumor size kinetics between the two groups. (n=5-20 mice, student’s t-test analysis, mean ± s.e.m.).</w:t>
      </w:r>
    </w:p>
    <w:p w14:paraId="1D691737" w14:textId="77777777" w:rsidR="00F94DCB" w:rsidRDefault="00F94DCB" w:rsidP="48EA8152">
      <w:pPr>
        <w:rPr>
          <w:b/>
          <w:bCs/>
        </w:rPr>
      </w:pPr>
    </w:p>
    <w:p w14:paraId="1017F12C" w14:textId="0F96DF00" w:rsidR="00F94DCB" w:rsidRDefault="00F94DCB">
      <w:pPr>
        <w:spacing w:after="160" w:line="259" w:lineRule="auto"/>
        <w:rPr>
          <w:b/>
          <w:bCs/>
        </w:rPr>
      </w:pPr>
      <w:r>
        <w:rPr>
          <w:b/>
          <w:bCs/>
        </w:rPr>
        <w:br w:type="page"/>
      </w:r>
    </w:p>
    <w:p w14:paraId="29F5B667" w14:textId="6901DDC7" w:rsidR="00F94DCB" w:rsidRDefault="00ED68E5" w:rsidP="48EA8152">
      <w:pPr>
        <w:rPr>
          <w:b/>
          <w:bCs/>
        </w:rPr>
      </w:pPr>
      <w:r w:rsidRPr="00ED68E5">
        <w:rPr>
          <w:b/>
          <w:bCs/>
          <w:noProof/>
        </w:rPr>
        <w:lastRenderedPageBreak/>
        <w:drawing>
          <wp:inline distT="0" distB="0" distL="0" distR="0" wp14:anchorId="07A6089E" wp14:editId="4DD60A63">
            <wp:extent cx="5943600" cy="2484755"/>
            <wp:effectExtent l="0" t="0" r="0" b="0"/>
            <wp:docPr id="685644465"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644465" name="Picture 1" descr="A screenshot of a computer screen&#10;&#10;Description automatically generated"/>
                    <pic:cNvPicPr/>
                  </pic:nvPicPr>
                  <pic:blipFill>
                    <a:blip r:embed="rId13"/>
                    <a:stretch>
                      <a:fillRect/>
                    </a:stretch>
                  </pic:blipFill>
                  <pic:spPr>
                    <a:xfrm>
                      <a:off x="0" y="0"/>
                      <a:ext cx="5943600" cy="2484755"/>
                    </a:xfrm>
                    <a:prstGeom prst="rect">
                      <a:avLst/>
                    </a:prstGeom>
                  </pic:spPr>
                </pic:pic>
              </a:graphicData>
            </a:graphic>
          </wp:inline>
        </w:drawing>
      </w:r>
    </w:p>
    <w:p w14:paraId="4B1EDAA3" w14:textId="77777777" w:rsidR="00F94DCB" w:rsidRDefault="00F94DCB" w:rsidP="48EA8152">
      <w:pPr>
        <w:rPr>
          <w:b/>
          <w:bCs/>
        </w:rPr>
      </w:pPr>
    </w:p>
    <w:p w14:paraId="788E9B2E" w14:textId="77777777" w:rsidR="00ED68E5" w:rsidRDefault="00ED68E5" w:rsidP="00F94DCB">
      <w:pPr>
        <w:spacing w:after="160" w:line="259" w:lineRule="auto"/>
        <w:jc w:val="both"/>
        <w:rPr>
          <w:rFonts w:ascii="Arial" w:hAnsi="Arial" w:cs="Arial"/>
        </w:rPr>
      </w:pPr>
    </w:p>
    <w:p w14:paraId="0BCA039B" w14:textId="77777777" w:rsidR="00ED68E5" w:rsidRDefault="00ED68E5" w:rsidP="00ED68E5">
      <w:pPr>
        <w:spacing w:after="160" w:line="259" w:lineRule="auto"/>
        <w:jc w:val="both"/>
        <w:rPr>
          <w:rFonts w:ascii="Arial" w:hAnsi="Arial" w:cs="Arial"/>
        </w:rPr>
      </w:pPr>
      <w:r w:rsidRPr="00D11A95">
        <w:rPr>
          <w:rFonts w:ascii="Arial" w:hAnsi="Arial" w:cs="Arial"/>
        </w:rPr>
        <w:t>Fig S</w:t>
      </w:r>
      <w:r>
        <w:rPr>
          <w:rFonts w:ascii="Arial" w:hAnsi="Arial" w:cs="Arial"/>
        </w:rPr>
        <w:t>6</w:t>
      </w:r>
      <w:r w:rsidRPr="00D11A95">
        <w:rPr>
          <w:rFonts w:ascii="Arial" w:hAnsi="Arial" w:cs="Arial"/>
        </w:rPr>
        <w:t>. Phenotypic profile of the OT-I T cells after in vitro co-incubation with phDC.  a, FACs plot showing CD44 and CD62L expression level on the CD8</w:t>
      </w:r>
      <w:r w:rsidRPr="00D061F2">
        <w:rPr>
          <w:rFonts w:ascii="Arial" w:hAnsi="Arial" w:cs="Arial"/>
          <w:vertAlign w:val="superscript"/>
        </w:rPr>
        <w:t>+</w:t>
      </w:r>
      <w:r w:rsidRPr="00D11A95">
        <w:rPr>
          <w:rFonts w:ascii="Arial" w:hAnsi="Arial" w:cs="Arial"/>
        </w:rPr>
        <w:t xml:space="preserve"> OT-I T cells after 3-day incubation without phDC, phDC without LNP-mRNA transfection, phDC transfected with LNP[mock] or phDC transfected with LNP[OVA].  Bar graph comparing the percentage of CD44</w:t>
      </w:r>
      <w:r w:rsidRPr="00D061F2">
        <w:rPr>
          <w:rFonts w:ascii="Arial" w:hAnsi="Arial" w:cs="Arial"/>
          <w:vertAlign w:val="superscript"/>
        </w:rPr>
        <w:t>+</w:t>
      </w:r>
      <w:r w:rsidRPr="00D11A95">
        <w:rPr>
          <w:rFonts w:ascii="Arial" w:hAnsi="Arial" w:cs="Arial"/>
        </w:rPr>
        <w:t>CD62L</w:t>
      </w:r>
      <w:r w:rsidRPr="00D061F2">
        <w:rPr>
          <w:rFonts w:ascii="Arial" w:hAnsi="Arial" w:cs="Arial"/>
          <w:vertAlign w:val="superscript"/>
        </w:rPr>
        <w:t>+</w:t>
      </w:r>
      <w:r w:rsidRPr="00D11A95">
        <w:rPr>
          <w:rFonts w:ascii="Arial" w:hAnsi="Arial" w:cs="Arial"/>
        </w:rPr>
        <w:t xml:space="preserve"> (central memory phenotype) in the CD8</w:t>
      </w:r>
      <w:r w:rsidRPr="00D061F2">
        <w:rPr>
          <w:rFonts w:ascii="Arial" w:hAnsi="Arial" w:cs="Arial"/>
          <w:vertAlign w:val="superscript"/>
        </w:rPr>
        <w:t>+</w:t>
      </w:r>
      <w:r w:rsidRPr="00D11A95">
        <w:rPr>
          <w:rFonts w:ascii="Arial" w:hAnsi="Arial" w:cs="Arial"/>
        </w:rPr>
        <w:t xml:space="preserve"> subset.  b, FACs plot and bar graph of IL7R and Sca-1 expression level on the CD8</w:t>
      </w:r>
      <w:r w:rsidRPr="00D061F2">
        <w:rPr>
          <w:rFonts w:ascii="Arial" w:hAnsi="Arial" w:cs="Arial"/>
          <w:vertAlign w:val="superscript"/>
        </w:rPr>
        <w:t>+</w:t>
      </w:r>
      <w:r w:rsidRPr="00D11A95">
        <w:rPr>
          <w:rFonts w:ascii="Arial" w:hAnsi="Arial" w:cs="Arial"/>
        </w:rPr>
        <w:t xml:space="preserve"> OT-I T cells after the 3-day co-incubation period. (n=3-4, one-way ANOVA analysis, mean ± s.d.).</w:t>
      </w:r>
    </w:p>
    <w:p w14:paraId="112BA1F5" w14:textId="77777777" w:rsidR="00F94DCB" w:rsidRDefault="00F94DCB" w:rsidP="48EA8152">
      <w:pPr>
        <w:rPr>
          <w:b/>
          <w:bCs/>
        </w:rPr>
      </w:pPr>
    </w:p>
    <w:p w14:paraId="45C08B62" w14:textId="77777777" w:rsidR="00F94DCB" w:rsidRDefault="00F94DCB" w:rsidP="48EA8152">
      <w:pPr>
        <w:rPr>
          <w:b/>
          <w:bCs/>
        </w:rPr>
      </w:pPr>
    </w:p>
    <w:p w14:paraId="4448209A" w14:textId="0C7046A9" w:rsidR="00F94DCB" w:rsidRDefault="00F94DCB">
      <w:pPr>
        <w:spacing w:after="160" w:line="259" w:lineRule="auto"/>
        <w:rPr>
          <w:b/>
          <w:bCs/>
        </w:rPr>
      </w:pPr>
      <w:r>
        <w:rPr>
          <w:b/>
          <w:bCs/>
        </w:rPr>
        <w:br w:type="page"/>
      </w:r>
    </w:p>
    <w:p w14:paraId="4A5384E8" w14:textId="20BCDBFB" w:rsidR="00F94DCB" w:rsidRDefault="00ED68E5" w:rsidP="48EA8152">
      <w:pPr>
        <w:rPr>
          <w:b/>
          <w:bCs/>
        </w:rPr>
      </w:pPr>
      <w:r w:rsidRPr="00ED68E5">
        <w:rPr>
          <w:b/>
          <w:bCs/>
          <w:noProof/>
        </w:rPr>
        <w:lastRenderedPageBreak/>
        <w:drawing>
          <wp:inline distT="0" distB="0" distL="0" distR="0" wp14:anchorId="084FEFFF" wp14:editId="066E552E">
            <wp:extent cx="5943600" cy="2411730"/>
            <wp:effectExtent l="0" t="0" r="0" b="1270"/>
            <wp:docPr id="618604621" name="Picture 1" descr="A close-up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604621" name="Picture 1" descr="A close-up of a black background&#10;&#10;Description automatically generated"/>
                    <pic:cNvPicPr/>
                  </pic:nvPicPr>
                  <pic:blipFill>
                    <a:blip r:embed="rId14"/>
                    <a:stretch>
                      <a:fillRect/>
                    </a:stretch>
                  </pic:blipFill>
                  <pic:spPr>
                    <a:xfrm>
                      <a:off x="0" y="0"/>
                      <a:ext cx="5943600" cy="2411730"/>
                    </a:xfrm>
                    <a:prstGeom prst="rect">
                      <a:avLst/>
                    </a:prstGeom>
                  </pic:spPr>
                </pic:pic>
              </a:graphicData>
            </a:graphic>
          </wp:inline>
        </w:drawing>
      </w:r>
    </w:p>
    <w:p w14:paraId="58EC2363" w14:textId="77777777" w:rsidR="00F94DCB" w:rsidRDefault="00F94DCB" w:rsidP="48EA8152">
      <w:pPr>
        <w:rPr>
          <w:b/>
          <w:bCs/>
        </w:rPr>
      </w:pPr>
    </w:p>
    <w:p w14:paraId="47EF2D87" w14:textId="77777777" w:rsidR="00F94DCB" w:rsidRDefault="00F94DCB" w:rsidP="00F94DCB">
      <w:pPr>
        <w:spacing w:after="160" w:line="259" w:lineRule="auto"/>
        <w:jc w:val="both"/>
        <w:rPr>
          <w:rFonts w:ascii="Arial" w:hAnsi="Arial" w:cs="Arial"/>
        </w:rPr>
      </w:pPr>
      <w:r w:rsidRPr="00D11A95">
        <w:rPr>
          <w:rFonts w:ascii="Arial" w:hAnsi="Arial" w:cs="Arial"/>
        </w:rPr>
        <w:t>Fig S</w:t>
      </w:r>
      <w:r>
        <w:rPr>
          <w:rFonts w:ascii="Arial" w:hAnsi="Arial" w:cs="Arial"/>
        </w:rPr>
        <w:t>7</w:t>
      </w:r>
      <w:r w:rsidRPr="00D11A95">
        <w:rPr>
          <w:rFonts w:ascii="Arial" w:hAnsi="Arial" w:cs="Arial"/>
        </w:rPr>
        <w:t>. CD8 T cells isolated from OT-1 mice were co-cultured with OVA mRNA LNP transfected phDC, with or without blocking antibody against IL-7 (Clone A7R34), IL-15 (Clone GRW15PLZ) or IL-21 (Clone 4A9) (at 1 ug/ml or 10 ug/ml).  After the 3-day co-incubation period, cells were analyzed via FACs for CD44/CD62L surface expression.  a, FACs plot showing CD44/CD62L expression on CD8</w:t>
      </w:r>
      <w:r w:rsidRPr="00D061F2">
        <w:rPr>
          <w:rFonts w:ascii="Arial" w:hAnsi="Arial" w:cs="Arial"/>
          <w:vertAlign w:val="superscript"/>
        </w:rPr>
        <w:t>+</w:t>
      </w:r>
      <w:r w:rsidRPr="00D11A95">
        <w:rPr>
          <w:rFonts w:ascii="Arial" w:hAnsi="Arial" w:cs="Arial"/>
        </w:rPr>
        <w:t xml:space="preserve"> OT-1 T cells.  b, Bar graph showing the frequency of CD44</w:t>
      </w:r>
      <w:r w:rsidRPr="00D061F2">
        <w:rPr>
          <w:rFonts w:ascii="Arial" w:hAnsi="Arial" w:cs="Arial"/>
          <w:vertAlign w:val="superscript"/>
        </w:rPr>
        <w:t>+</w:t>
      </w:r>
      <w:r w:rsidRPr="00D11A95">
        <w:rPr>
          <w:rFonts w:ascii="Arial" w:hAnsi="Arial" w:cs="Arial"/>
        </w:rPr>
        <w:t>CD62L</w:t>
      </w:r>
      <w:r w:rsidRPr="00D061F2">
        <w:rPr>
          <w:rFonts w:ascii="Arial" w:hAnsi="Arial" w:cs="Arial"/>
          <w:vertAlign w:val="superscript"/>
        </w:rPr>
        <w:t>+</w:t>
      </w:r>
      <w:r w:rsidRPr="00D11A95">
        <w:rPr>
          <w:rFonts w:ascii="Arial" w:hAnsi="Arial" w:cs="Arial"/>
        </w:rPr>
        <w:t xml:space="preserve"> population in each groups (no statistical differences, mean ± s.d.)</w:t>
      </w:r>
      <w:r>
        <w:rPr>
          <w:rFonts w:ascii="Arial" w:hAnsi="Arial" w:cs="Arial"/>
        </w:rPr>
        <w:t>.</w:t>
      </w:r>
    </w:p>
    <w:p w14:paraId="5A3B5D29" w14:textId="77777777" w:rsidR="00F94DCB" w:rsidRDefault="00F94DCB" w:rsidP="48EA8152">
      <w:pPr>
        <w:rPr>
          <w:b/>
          <w:bCs/>
        </w:rPr>
      </w:pPr>
    </w:p>
    <w:p w14:paraId="2CC29F7A" w14:textId="19A85B34" w:rsidR="00F94DCB" w:rsidRDefault="00F94DCB">
      <w:pPr>
        <w:spacing w:after="160" w:line="259" w:lineRule="auto"/>
        <w:rPr>
          <w:b/>
          <w:bCs/>
        </w:rPr>
      </w:pPr>
      <w:r>
        <w:rPr>
          <w:b/>
          <w:bCs/>
        </w:rPr>
        <w:br w:type="page"/>
      </w:r>
    </w:p>
    <w:p w14:paraId="6ABF9216" w14:textId="663BA48A" w:rsidR="00F94DCB" w:rsidRDefault="00ED68E5" w:rsidP="48EA8152">
      <w:pPr>
        <w:rPr>
          <w:b/>
          <w:bCs/>
        </w:rPr>
      </w:pPr>
      <w:r w:rsidRPr="00ED68E5">
        <w:rPr>
          <w:b/>
          <w:bCs/>
          <w:noProof/>
        </w:rPr>
        <w:lastRenderedPageBreak/>
        <w:drawing>
          <wp:inline distT="0" distB="0" distL="0" distR="0" wp14:anchorId="1924378C" wp14:editId="13EE810F">
            <wp:extent cx="5943600" cy="1985010"/>
            <wp:effectExtent l="0" t="0" r="0" b="0"/>
            <wp:docPr id="1936684149"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684149" name="Picture 1" descr="A black background with white text&#10;&#10;Description automatically generated"/>
                    <pic:cNvPicPr/>
                  </pic:nvPicPr>
                  <pic:blipFill>
                    <a:blip r:embed="rId15"/>
                    <a:stretch>
                      <a:fillRect/>
                    </a:stretch>
                  </pic:blipFill>
                  <pic:spPr>
                    <a:xfrm>
                      <a:off x="0" y="0"/>
                      <a:ext cx="5943600" cy="1985010"/>
                    </a:xfrm>
                    <a:prstGeom prst="rect">
                      <a:avLst/>
                    </a:prstGeom>
                  </pic:spPr>
                </pic:pic>
              </a:graphicData>
            </a:graphic>
          </wp:inline>
        </w:drawing>
      </w:r>
    </w:p>
    <w:p w14:paraId="752A96E0" w14:textId="77777777" w:rsidR="00F94DCB" w:rsidRDefault="00F94DCB" w:rsidP="48EA8152">
      <w:pPr>
        <w:rPr>
          <w:b/>
          <w:bCs/>
        </w:rPr>
      </w:pPr>
    </w:p>
    <w:p w14:paraId="4318112E" w14:textId="77777777" w:rsidR="00F94DCB" w:rsidRDefault="00F94DCB" w:rsidP="00F94DCB">
      <w:pPr>
        <w:spacing w:after="160" w:line="259" w:lineRule="auto"/>
        <w:jc w:val="both"/>
        <w:rPr>
          <w:rFonts w:ascii="Arial" w:hAnsi="Arial" w:cs="Arial"/>
        </w:rPr>
      </w:pPr>
      <w:r w:rsidRPr="00D11A95">
        <w:rPr>
          <w:rFonts w:ascii="Arial" w:hAnsi="Arial" w:cs="Arial"/>
        </w:rPr>
        <w:t>Fig S</w:t>
      </w:r>
      <w:r>
        <w:rPr>
          <w:rFonts w:ascii="Arial" w:hAnsi="Arial" w:cs="Arial"/>
        </w:rPr>
        <w:t>8</w:t>
      </w:r>
      <w:r w:rsidRPr="00D11A95">
        <w:rPr>
          <w:rFonts w:ascii="Arial" w:hAnsi="Arial" w:cs="Arial"/>
        </w:rPr>
        <w:t xml:space="preserve">. Evaluation of TCF-1 expression level in OT-I T cells that were stimulated in vitro with LNP[OVA]-phDC.  3 days post co-culture, cells were harvested and analyzed via FACs. a, Intracellular TCF-1 expression level in OT-I T cells stimulated by LNP[OVA]-phDC or non-transfected phDC.  b, Bar graph comparing the TCF-1 MFI level between the two groups (n=3, student t-test mean ± s.d.).  </w:t>
      </w:r>
    </w:p>
    <w:p w14:paraId="217423CF" w14:textId="77777777" w:rsidR="00F94DCB" w:rsidRDefault="00F94DCB" w:rsidP="48EA8152">
      <w:pPr>
        <w:rPr>
          <w:b/>
          <w:bCs/>
        </w:rPr>
      </w:pPr>
    </w:p>
    <w:p w14:paraId="0C72022C" w14:textId="21C168DF" w:rsidR="00F94DCB" w:rsidRDefault="00F94DCB">
      <w:pPr>
        <w:spacing w:after="160" w:line="259" w:lineRule="auto"/>
        <w:rPr>
          <w:b/>
          <w:bCs/>
        </w:rPr>
      </w:pPr>
      <w:r>
        <w:rPr>
          <w:b/>
          <w:bCs/>
        </w:rPr>
        <w:br w:type="page"/>
      </w:r>
    </w:p>
    <w:p w14:paraId="13E0E79D" w14:textId="5FEE3962" w:rsidR="00F94DCB" w:rsidRDefault="00ED68E5" w:rsidP="48EA8152">
      <w:pPr>
        <w:rPr>
          <w:b/>
          <w:bCs/>
        </w:rPr>
      </w:pPr>
      <w:r w:rsidRPr="00ED68E5">
        <w:rPr>
          <w:b/>
          <w:bCs/>
          <w:noProof/>
        </w:rPr>
        <w:lastRenderedPageBreak/>
        <w:drawing>
          <wp:inline distT="0" distB="0" distL="0" distR="0" wp14:anchorId="511C49E8" wp14:editId="63423C21">
            <wp:extent cx="5943600" cy="4469765"/>
            <wp:effectExtent l="0" t="0" r="0" b="635"/>
            <wp:docPr id="133787365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73653" name="Picture 1" descr="A screenshot of a computer&#10;&#10;Description automatically generated"/>
                    <pic:cNvPicPr/>
                  </pic:nvPicPr>
                  <pic:blipFill>
                    <a:blip r:embed="rId16"/>
                    <a:stretch>
                      <a:fillRect/>
                    </a:stretch>
                  </pic:blipFill>
                  <pic:spPr>
                    <a:xfrm>
                      <a:off x="0" y="0"/>
                      <a:ext cx="5943600" cy="4469765"/>
                    </a:xfrm>
                    <a:prstGeom prst="rect">
                      <a:avLst/>
                    </a:prstGeom>
                  </pic:spPr>
                </pic:pic>
              </a:graphicData>
            </a:graphic>
          </wp:inline>
        </w:drawing>
      </w:r>
    </w:p>
    <w:p w14:paraId="5F92E5EB" w14:textId="77777777" w:rsidR="009D5812" w:rsidRDefault="009D5812" w:rsidP="48EA8152">
      <w:pPr>
        <w:rPr>
          <w:b/>
          <w:bCs/>
        </w:rPr>
      </w:pPr>
    </w:p>
    <w:p w14:paraId="6AAB79F6" w14:textId="77777777" w:rsidR="009D5812" w:rsidRDefault="009D5812" w:rsidP="009D5812">
      <w:pPr>
        <w:spacing w:after="160" w:line="259" w:lineRule="auto"/>
        <w:jc w:val="both"/>
        <w:rPr>
          <w:rFonts w:ascii="Arial" w:hAnsi="Arial" w:cs="Arial"/>
        </w:rPr>
      </w:pPr>
      <w:r w:rsidRPr="00D11A95">
        <w:rPr>
          <w:rFonts w:ascii="Arial" w:hAnsi="Arial" w:cs="Arial"/>
        </w:rPr>
        <w:t>Fig S</w:t>
      </w:r>
      <w:r>
        <w:rPr>
          <w:rFonts w:ascii="Arial" w:hAnsi="Arial" w:cs="Arial"/>
        </w:rPr>
        <w:t>9</w:t>
      </w:r>
      <w:r w:rsidRPr="00D11A95">
        <w:rPr>
          <w:rFonts w:ascii="Arial" w:hAnsi="Arial" w:cs="Arial"/>
        </w:rPr>
        <w:t>. a, Murine phDC was transfected with LNP[aPD1] (mRNA encoding for anti-mouse PD1 antibody with human IgG Fc-backbone that includes GPI-anchor sequence) or LNP[naPD1] (mRNA that does not include the GPI-anchor sequence).  mRNA-LNP was used at either 50 ng/ml or 1ug/ml respectively.  Surface expression of human IgG was assessed on the CD11b</w:t>
      </w:r>
      <w:r w:rsidRPr="00D061F2">
        <w:rPr>
          <w:rFonts w:ascii="Arial" w:hAnsi="Arial" w:cs="Arial"/>
          <w:vertAlign w:val="superscript"/>
        </w:rPr>
        <w:t>+</w:t>
      </w:r>
      <w:r w:rsidRPr="00D11A95">
        <w:rPr>
          <w:rFonts w:ascii="Arial" w:hAnsi="Arial" w:cs="Arial"/>
        </w:rPr>
        <w:t xml:space="preserve"> murine phDC after over-night transfection.  Expression level on non-transfected phDC shown as control. b, Antibody production and detection of non-anchored and anchored forms of anti-mouse PD1 antibodies in culture supernatant of transfected cells. Antibodies were produced in Expi293F expression system and detected by ELISA directly in the supernatant, or after treatment with PLC to release GPI-anchored antibodies from the cell membrane</w:t>
      </w:r>
      <w:r>
        <w:rPr>
          <w:rFonts w:ascii="Arial" w:hAnsi="Arial" w:cs="Arial"/>
        </w:rPr>
        <w:t xml:space="preserve"> (n</w:t>
      </w:r>
      <w:r w:rsidRPr="00D11A95">
        <w:rPr>
          <w:rFonts w:ascii="Arial" w:hAnsi="Arial" w:cs="Arial"/>
        </w:rPr>
        <w:t>=3/group</w:t>
      </w:r>
      <w:r>
        <w:rPr>
          <w:rFonts w:ascii="Arial" w:hAnsi="Arial" w:cs="Arial"/>
        </w:rPr>
        <w:t>)</w:t>
      </w:r>
      <w:r w:rsidRPr="00D11A95">
        <w:rPr>
          <w:rFonts w:ascii="Arial" w:hAnsi="Arial" w:cs="Arial"/>
        </w:rPr>
        <w:t>.</w:t>
      </w:r>
    </w:p>
    <w:p w14:paraId="67636222" w14:textId="77777777" w:rsidR="009D5812" w:rsidRDefault="009D5812" w:rsidP="48EA8152">
      <w:pPr>
        <w:rPr>
          <w:b/>
          <w:bCs/>
        </w:rPr>
      </w:pPr>
    </w:p>
    <w:p w14:paraId="4E8D8503" w14:textId="77777777" w:rsidR="009D5812" w:rsidRDefault="009D5812" w:rsidP="48EA8152">
      <w:pPr>
        <w:rPr>
          <w:b/>
          <w:bCs/>
        </w:rPr>
      </w:pPr>
    </w:p>
    <w:p w14:paraId="10894075" w14:textId="102123A2" w:rsidR="009D5812" w:rsidRDefault="009D5812">
      <w:pPr>
        <w:spacing w:after="160" w:line="259" w:lineRule="auto"/>
        <w:rPr>
          <w:b/>
          <w:bCs/>
        </w:rPr>
      </w:pPr>
      <w:r>
        <w:rPr>
          <w:b/>
          <w:bCs/>
        </w:rPr>
        <w:br w:type="page"/>
      </w:r>
    </w:p>
    <w:p w14:paraId="6260C375" w14:textId="0C4592CF" w:rsidR="009D5812" w:rsidRDefault="00ED68E5" w:rsidP="48EA8152">
      <w:pPr>
        <w:rPr>
          <w:b/>
          <w:bCs/>
        </w:rPr>
      </w:pPr>
      <w:r w:rsidRPr="00ED68E5">
        <w:rPr>
          <w:b/>
          <w:bCs/>
          <w:noProof/>
        </w:rPr>
        <w:lastRenderedPageBreak/>
        <w:drawing>
          <wp:inline distT="0" distB="0" distL="0" distR="0" wp14:anchorId="641DD2DC" wp14:editId="42A2B6B9">
            <wp:extent cx="5943600" cy="2058035"/>
            <wp:effectExtent l="0" t="0" r="0" b="0"/>
            <wp:docPr id="1700196844" name="Picture 1" descr="A blue and purple line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196844" name="Picture 1" descr="A blue and purple lines on a black background&#10;&#10;Description automatically generated"/>
                    <pic:cNvPicPr/>
                  </pic:nvPicPr>
                  <pic:blipFill>
                    <a:blip r:embed="rId17"/>
                    <a:stretch>
                      <a:fillRect/>
                    </a:stretch>
                  </pic:blipFill>
                  <pic:spPr>
                    <a:xfrm>
                      <a:off x="0" y="0"/>
                      <a:ext cx="5943600" cy="2058035"/>
                    </a:xfrm>
                    <a:prstGeom prst="rect">
                      <a:avLst/>
                    </a:prstGeom>
                  </pic:spPr>
                </pic:pic>
              </a:graphicData>
            </a:graphic>
          </wp:inline>
        </w:drawing>
      </w:r>
    </w:p>
    <w:p w14:paraId="4AB7A243" w14:textId="77777777" w:rsidR="009D5812" w:rsidRDefault="009D5812" w:rsidP="48EA8152">
      <w:pPr>
        <w:rPr>
          <w:b/>
          <w:bCs/>
        </w:rPr>
      </w:pPr>
    </w:p>
    <w:p w14:paraId="295ECD03" w14:textId="77777777" w:rsidR="009D5812" w:rsidRDefault="009D5812" w:rsidP="009D5812">
      <w:pPr>
        <w:spacing w:after="160" w:line="259" w:lineRule="auto"/>
        <w:jc w:val="both"/>
        <w:rPr>
          <w:rFonts w:ascii="Arial" w:hAnsi="Arial" w:cs="Arial"/>
        </w:rPr>
      </w:pPr>
      <w:r w:rsidRPr="004D441E">
        <w:rPr>
          <w:rFonts w:ascii="Arial" w:hAnsi="Arial" w:cs="Arial"/>
        </w:rPr>
        <w:t xml:space="preserve">Fig S10. </w:t>
      </w:r>
      <w:r>
        <w:rPr>
          <w:rFonts w:ascii="Arial" w:hAnsi="Arial" w:cs="Arial"/>
        </w:rPr>
        <w:t xml:space="preserve">a, </w:t>
      </w:r>
      <w:r w:rsidRPr="004D441E">
        <w:rPr>
          <w:rFonts w:ascii="Arial" w:hAnsi="Arial" w:cs="Arial"/>
        </w:rPr>
        <w:t xml:space="preserve">NOD mice were treated with anti-mouse PD1 antibody (RMP 1-14, 200 ug/mouse) or LNP[aPD1]-phDC (200 ng/mouse) 2 times a week for total of 6 treatments. Diagnosis of diabetes was made upon two-consecutive measurements of hyperglycemia (250 mg/dl).  Long-term observation study of &gt;200 days post treatment.  (n=5-7 mice per group).   </w:t>
      </w:r>
    </w:p>
    <w:p w14:paraId="6DCCEFE8" w14:textId="77777777" w:rsidR="009D5812" w:rsidRDefault="009D5812" w:rsidP="48EA8152">
      <w:pPr>
        <w:rPr>
          <w:b/>
          <w:bCs/>
        </w:rPr>
      </w:pPr>
    </w:p>
    <w:sectPr w:rsidR="009D58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42E5E" w14:textId="77777777" w:rsidR="00FA789B" w:rsidRDefault="00FA789B" w:rsidP="00CC15D4">
      <w:r>
        <w:separator/>
      </w:r>
    </w:p>
  </w:endnote>
  <w:endnote w:type="continuationSeparator" w:id="0">
    <w:p w14:paraId="7BC58323" w14:textId="77777777" w:rsidR="00FA789B" w:rsidRDefault="00FA789B" w:rsidP="00CC1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475C3" w14:textId="77777777" w:rsidR="00FA789B" w:rsidRDefault="00FA789B" w:rsidP="00CC15D4">
      <w:r>
        <w:separator/>
      </w:r>
    </w:p>
  </w:footnote>
  <w:footnote w:type="continuationSeparator" w:id="0">
    <w:p w14:paraId="6FEF88EC" w14:textId="77777777" w:rsidR="00FA789B" w:rsidRDefault="00FA789B" w:rsidP="00CC15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BBB7D2"/>
    <w:multiLevelType w:val="hybridMultilevel"/>
    <w:tmpl w:val="BA6C3A96"/>
    <w:lvl w:ilvl="0" w:tplc="D53E4752">
      <w:start w:val="1"/>
      <w:numFmt w:val="bullet"/>
      <w:lvlText w:val=""/>
      <w:lvlJc w:val="left"/>
      <w:pPr>
        <w:ind w:left="720" w:hanging="360"/>
      </w:pPr>
      <w:rPr>
        <w:rFonts w:ascii="Symbol" w:hAnsi="Symbol" w:hint="default"/>
      </w:rPr>
    </w:lvl>
    <w:lvl w:ilvl="1" w:tplc="7132F880">
      <w:start w:val="1"/>
      <w:numFmt w:val="bullet"/>
      <w:lvlText w:val="o"/>
      <w:lvlJc w:val="left"/>
      <w:pPr>
        <w:ind w:left="1440" w:hanging="360"/>
      </w:pPr>
      <w:rPr>
        <w:rFonts w:ascii="Courier New" w:hAnsi="Courier New" w:hint="default"/>
      </w:rPr>
    </w:lvl>
    <w:lvl w:ilvl="2" w:tplc="FE42F28A">
      <w:start w:val="1"/>
      <w:numFmt w:val="bullet"/>
      <w:lvlText w:val=""/>
      <w:lvlJc w:val="left"/>
      <w:pPr>
        <w:ind w:left="2160" w:hanging="360"/>
      </w:pPr>
      <w:rPr>
        <w:rFonts w:ascii="Wingdings" w:hAnsi="Wingdings" w:hint="default"/>
      </w:rPr>
    </w:lvl>
    <w:lvl w:ilvl="3" w:tplc="33DE4264">
      <w:start w:val="1"/>
      <w:numFmt w:val="bullet"/>
      <w:lvlText w:val=""/>
      <w:lvlJc w:val="left"/>
      <w:pPr>
        <w:ind w:left="2880" w:hanging="360"/>
      </w:pPr>
      <w:rPr>
        <w:rFonts w:ascii="Symbol" w:hAnsi="Symbol" w:hint="default"/>
      </w:rPr>
    </w:lvl>
    <w:lvl w:ilvl="4" w:tplc="743A4D56">
      <w:start w:val="1"/>
      <w:numFmt w:val="bullet"/>
      <w:lvlText w:val="o"/>
      <w:lvlJc w:val="left"/>
      <w:pPr>
        <w:ind w:left="3600" w:hanging="360"/>
      </w:pPr>
      <w:rPr>
        <w:rFonts w:ascii="Courier New" w:hAnsi="Courier New" w:hint="default"/>
      </w:rPr>
    </w:lvl>
    <w:lvl w:ilvl="5" w:tplc="409039E2">
      <w:start w:val="1"/>
      <w:numFmt w:val="bullet"/>
      <w:lvlText w:val=""/>
      <w:lvlJc w:val="left"/>
      <w:pPr>
        <w:ind w:left="4320" w:hanging="360"/>
      </w:pPr>
      <w:rPr>
        <w:rFonts w:ascii="Wingdings" w:hAnsi="Wingdings" w:hint="default"/>
      </w:rPr>
    </w:lvl>
    <w:lvl w:ilvl="6" w:tplc="FD7E76F0">
      <w:start w:val="1"/>
      <w:numFmt w:val="bullet"/>
      <w:lvlText w:val=""/>
      <w:lvlJc w:val="left"/>
      <w:pPr>
        <w:ind w:left="5040" w:hanging="360"/>
      </w:pPr>
      <w:rPr>
        <w:rFonts w:ascii="Symbol" w:hAnsi="Symbol" w:hint="default"/>
      </w:rPr>
    </w:lvl>
    <w:lvl w:ilvl="7" w:tplc="4476EC42">
      <w:start w:val="1"/>
      <w:numFmt w:val="bullet"/>
      <w:lvlText w:val="o"/>
      <w:lvlJc w:val="left"/>
      <w:pPr>
        <w:ind w:left="5760" w:hanging="360"/>
      </w:pPr>
      <w:rPr>
        <w:rFonts w:ascii="Courier New" w:hAnsi="Courier New" w:hint="default"/>
      </w:rPr>
    </w:lvl>
    <w:lvl w:ilvl="8" w:tplc="41E66F32">
      <w:start w:val="1"/>
      <w:numFmt w:val="bullet"/>
      <w:lvlText w:val=""/>
      <w:lvlJc w:val="left"/>
      <w:pPr>
        <w:ind w:left="6480" w:hanging="360"/>
      </w:pPr>
      <w:rPr>
        <w:rFonts w:ascii="Wingdings" w:hAnsi="Wingdings" w:hint="default"/>
      </w:rPr>
    </w:lvl>
  </w:abstractNum>
  <w:abstractNum w:abstractNumId="1" w15:restartNumberingAfterBreak="0">
    <w:nsid w:val="365A61F4"/>
    <w:multiLevelType w:val="hybridMultilevel"/>
    <w:tmpl w:val="371C9D22"/>
    <w:lvl w:ilvl="0" w:tplc="B1904DF6">
      <w:start w:val="4"/>
      <w:numFmt w:val="bullet"/>
      <w:lvlText w:val=""/>
      <w:lvlJc w:val="left"/>
      <w:pPr>
        <w:ind w:left="720" w:hanging="360"/>
      </w:pPr>
      <w:rPr>
        <w:rFonts w:ascii="Symbol" w:eastAsia="Aptos" w:hAnsi="Symbol"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5CC023"/>
    <w:multiLevelType w:val="hybridMultilevel"/>
    <w:tmpl w:val="F6048ECA"/>
    <w:lvl w:ilvl="0" w:tplc="88C428CA">
      <w:start w:val="1"/>
      <w:numFmt w:val="bullet"/>
      <w:lvlText w:val=""/>
      <w:lvlJc w:val="left"/>
      <w:pPr>
        <w:ind w:left="720" w:hanging="360"/>
      </w:pPr>
      <w:rPr>
        <w:rFonts w:ascii="Symbol" w:hAnsi="Symbol" w:hint="default"/>
      </w:rPr>
    </w:lvl>
    <w:lvl w:ilvl="1" w:tplc="34701C12">
      <w:start w:val="1"/>
      <w:numFmt w:val="bullet"/>
      <w:lvlText w:val="o"/>
      <w:lvlJc w:val="left"/>
      <w:pPr>
        <w:ind w:left="1440" w:hanging="360"/>
      </w:pPr>
      <w:rPr>
        <w:rFonts w:ascii="Courier New" w:hAnsi="Courier New" w:hint="default"/>
      </w:rPr>
    </w:lvl>
    <w:lvl w:ilvl="2" w:tplc="3A0C463A">
      <w:start w:val="1"/>
      <w:numFmt w:val="bullet"/>
      <w:lvlText w:val=""/>
      <w:lvlJc w:val="left"/>
      <w:pPr>
        <w:ind w:left="2160" w:hanging="360"/>
      </w:pPr>
      <w:rPr>
        <w:rFonts w:ascii="Wingdings" w:hAnsi="Wingdings" w:hint="default"/>
      </w:rPr>
    </w:lvl>
    <w:lvl w:ilvl="3" w:tplc="75FCC06A">
      <w:start w:val="1"/>
      <w:numFmt w:val="bullet"/>
      <w:lvlText w:val=""/>
      <w:lvlJc w:val="left"/>
      <w:pPr>
        <w:ind w:left="2880" w:hanging="360"/>
      </w:pPr>
      <w:rPr>
        <w:rFonts w:ascii="Symbol" w:hAnsi="Symbol" w:hint="default"/>
      </w:rPr>
    </w:lvl>
    <w:lvl w:ilvl="4" w:tplc="545A8892">
      <w:start w:val="1"/>
      <w:numFmt w:val="bullet"/>
      <w:lvlText w:val="o"/>
      <w:lvlJc w:val="left"/>
      <w:pPr>
        <w:ind w:left="3600" w:hanging="360"/>
      </w:pPr>
      <w:rPr>
        <w:rFonts w:ascii="Courier New" w:hAnsi="Courier New" w:hint="default"/>
      </w:rPr>
    </w:lvl>
    <w:lvl w:ilvl="5" w:tplc="DDC20D94">
      <w:start w:val="1"/>
      <w:numFmt w:val="bullet"/>
      <w:lvlText w:val=""/>
      <w:lvlJc w:val="left"/>
      <w:pPr>
        <w:ind w:left="4320" w:hanging="360"/>
      </w:pPr>
      <w:rPr>
        <w:rFonts w:ascii="Wingdings" w:hAnsi="Wingdings" w:hint="default"/>
      </w:rPr>
    </w:lvl>
    <w:lvl w:ilvl="6" w:tplc="469C2F0E">
      <w:start w:val="1"/>
      <w:numFmt w:val="bullet"/>
      <w:lvlText w:val=""/>
      <w:lvlJc w:val="left"/>
      <w:pPr>
        <w:ind w:left="5040" w:hanging="360"/>
      </w:pPr>
      <w:rPr>
        <w:rFonts w:ascii="Symbol" w:hAnsi="Symbol" w:hint="default"/>
      </w:rPr>
    </w:lvl>
    <w:lvl w:ilvl="7" w:tplc="957C38A6">
      <w:start w:val="1"/>
      <w:numFmt w:val="bullet"/>
      <w:lvlText w:val="o"/>
      <w:lvlJc w:val="left"/>
      <w:pPr>
        <w:ind w:left="5760" w:hanging="360"/>
      </w:pPr>
      <w:rPr>
        <w:rFonts w:ascii="Courier New" w:hAnsi="Courier New" w:hint="default"/>
      </w:rPr>
    </w:lvl>
    <w:lvl w:ilvl="8" w:tplc="A874D8B0">
      <w:start w:val="1"/>
      <w:numFmt w:val="bullet"/>
      <w:lvlText w:val=""/>
      <w:lvlJc w:val="left"/>
      <w:pPr>
        <w:ind w:left="6480" w:hanging="360"/>
      </w:pPr>
      <w:rPr>
        <w:rFonts w:ascii="Wingdings" w:hAnsi="Wingdings" w:hint="default"/>
      </w:rPr>
    </w:lvl>
  </w:abstractNum>
  <w:abstractNum w:abstractNumId="3" w15:restartNumberingAfterBreak="0">
    <w:nsid w:val="5E9F5537"/>
    <w:multiLevelType w:val="hybridMultilevel"/>
    <w:tmpl w:val="D098D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202F48"/>
    <w:multiLevelType w:val="hybridMultilevel"/>
    <w:tmpl w:val="39DE7E3A"/>
    <w:lvl w:ilvl="0" w:tplc="F1A253F4">
      <w:start w:val="4"/>
      <w:numFmt w:val="bullet"/>
      <w:lvlText w:val=""/>
      <w:lvlJc w:val="left"/>
      <w:pPr>
        <w:ind w:left="720" w:hanging="360"/>
      </w:pPr>
      <w:rPr>
        <w:rFonts w:ascii="Symbol" w:eastAsia="Aptos" w:hAnsi="Symbol"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1803638">
    <w:abstractNumId w:val="2"/>
  </w:num>
  <w:num w:numId="2" w16cid:durableId="78184530">
    <w:abstractNumId w:val="0"/>
  </w:num>
  <w:num w:numId="3" w16cid:durableId="1634795606">
    <w:abstractNumId w:val="3"/>
  </w:num>
  <w:num w:numId="4" w16cid:durableId="431249078">
    <w:abstractNumId w:val="1"/>
  </w:num>
  <w:num w:numId="5" w16cid:durableId="13946207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tefw5sxf29pret0t152zrqe9f2s2wrdxxp&quot;&gt;Endnote kazuki 2023&lt;record-ids&gt;&lt;item&gt;3&lt;/item&gt;&lt;item&gt;19&lt;/item&gt;&lt;item&gt;21&lt;/item&gt;&lt;item&gt;33&lt;/item&gt;&lt;item&gt;44&lt;/item&gt;&lt;item&gt;46&lt;/item&gt;&lt;item&gt;48&lt;/item&gt;&lt;item&gt;52&lt;/item&gt;&lt;item&gt;62&lt;/item&gt;&lt;item&gt;67&lt;/item&gt;&lt;item&gt;69&lt;/item&gt;&lt;item&gt;70&lt;/item&gt;&lt;item&gt;75&lt;/item&gt;&lt;item&gt;76&lt;/item&gt;&lt;item&gt;77&lt;/item&gt;&lt;item&gt;82&lt;/item&gt;&lt;item&gt;83&lt;/item&gt;&lt;item&gt;84&lt;/item&gt;&lt;item&gt;85&lt;/item&gt;&lt;item&gt;86&lt;/item&gt;&lt;item&gt;87&lt;/item&gt;&lt;item&gt;88&lt;/item&gt;&lt;item&gt;91&lt;/item&gt;&lt;item&gt;93&lt;/item&gt;&lt;item&gt;96&lt;/item&gt;&lt;item&gt;97&lt;/item&gt;&lt;item&gt;100&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2&lt;/item&gt;&lt;item&gt;143&lt;/item&gt;&lt;item&gt;144&lt;/item&gt;&lt;item&gt;145&lt;/item&gt;&lt;item&gt;146&lt;/item&gt;&lt;item&gt;148&lt;/item&gt;&lt;item&gt;149&lt;/item&gt;&lt;item&gt;150&lt;/item&gt;&lt;item&gt;151&lt;/item&gt;&lt;item&gt;152&lt;/item&gt;&lt;item&gt;153&lt;/item&gt;&lt;item&gt;154&lt;/item&gt;&lt;item&gt;155&lt;/item&gt;&lt;item&gt;156&lt;/item&gt;&lt;item&gt;157&lt;/item&gt;&lt;item&gt;158&lt;/item&gt;&lt;item&gt;159&lt;/item&gt;&lt;item&gt;160&lt;/item&gt;&lt;item&gt;161&lt;/item&gt;&lt;item&gt;162&lt;/item&gt;&lt;item&gt;163&lt;/item&gt;&lt;item&gt;164&lt;/item&gt;&lt;/record-ids&gt;&lt;/item&gt;&lt;/Libraries&gt;"/>
  </w:docVars>
  <w:rsids>
    <w:rsidRoot w:val="00C43F8B"/>
    <w:rsid w:val="000023AD"/>
    <w:rsid w:val="00003089"/>
    <w:rsid w:val="00005C70"/>
    <w:rsid w:val="00006EEC"/>
    <w:rsid w:val="0001024F"/>
    <w:rsid w:val="00012E34"/>
    <w:rsid w:val="00013A38"/>
    <w:rsid w:val="00013FB1"/>
    <w:rsid w:val="00017A2D"/>
    <w:rsid w:val="000205C5"/>
    <w:rsid w:val="000209CE"/>
    <w:rsid w:val="00021F3D"/>
    <w:rsid w:val="0002241E"/>
    <w:rsid w:val="00022A7C"/>
    <w:rsid w:val="0002722F"/>
    <w:rsid w:val="00027CA1"/>
    <w:rsid w:val="00036ADE"/>
    <w:rsid w:val="00037E0A"/>
    <w:rsid w:val="00041E76"/>
    <w:rsid w:val="000473A7"/>
    <w:rsid w:val="000500CF"/>
    <w:rsid w:val="00071AC2"/>
    <w:rsid w:val="0007297B"/>
    <w:rsid w:val="000738D1"/>
    <w:rsid w:val="000759FB"/>
    <w:rsid w:val="00082CFF"/>
    <w:rsid w:val="00083F4F"/>
    <w:rsid w:val="00085FF4"/>
    <w:rsid w:val="00093958"/>
    <w:rsid w:val="00095B42"/>
    <w:rsid w:val="000A0B70"/>
    <w:rsid w:val="000A0F75"/>
    <w:rsid w:val="000A15A3"/>
    <w:rsid w:val="000A2890"/>
    <w:rsid w:val="000B72BF"/>
    <w:rsid w:val="000C2716"/>
    <w:rsid w:val="000C3012"/>
    <w:rsid w:val="000C521E"/>
    <w:rsid w:val="000C66F4"/>
    <w:rsid w:val="000C6CC5"/>
    <w:rsid w:val="000D4754"/>
    <w:rsid w:val="000DDA41"/>
    <w:rsid w:val="000E1563"/>
    <w:rsid w:val="000E3095"/>
    <w:rsid w:val="000F0A10"/>
    <w:rsid w:val="000F121F"/>
    <w:rsid w:val="000F1FBF"/>
    <w:rsid w:val="000F277A"/>
    <w:rsid w:val="000F48E7"/>
    <w:rsid w:val="000F63C1"/>
    <w:rsid w:val="000F6E13"/>
    <w:rsid w:val="00100B97"/>
    <w:rsid w:val="00105C0B"/>
    <w:rsid w:val="00106AC9"/>
    <w:rsid w:val="00107503"/>
    <w:rsid w:val="001100CB"/>
    <w:rsid w:val="00112E9F"/>
    <w:rsid w:val="0011577E"/>
    <w:rsid w:val="0011775E"/>
    <w:rsid w:val="00117F16"/>
    <w:rsid w:val="00121F74"/>
    <w:rsid w:val="00122A17"/>
    <w:rsid w:val="00126E48"/>
    <w:rsid w:val="00127B67"/>
    <w:rsid w:val="00130579"/>
    <w:rsid w:val="0013187B"/>
    <w:rsid w:val="001363D2"/>
    <w:rsid w:val="00140740"/>
    <w:rsid w:val="00141AA9"/>
    <w:rsid w:val="001423E6"/>
    <w:rsid w:val="0014457B"/>
    <w:rsid w:val="001508FA"/>
    <w:rsid w:val="00151AF5"/>
    <w:rsid w:val="001531FA"/>
    <w:rsid w:val="00155A32"/>
    <w:rsid w:val="00155ACA"/>
    <w:rsid w:val="00155DD0"/>
    <w:rsid w:val="00156396"/>
    <w:rsid w:val="001577AD"/>
    <w:rsid w:val="00166A43"/>
    <w:rsid w:val="001674FE"/>
    <w:rsid w:val="00182147"/>
    <w:rsid w:val="0018522D"/>
    <w:rsid w:val="0018615F"/>
    <w:rsid w:val="001877E9"/>
    <w:rsid w:val="001942D5"/>
    <w:rsid w:val="00194A27"/>
    <w:rsid w:val="001A2804"/>
    <w:rsid w:val="001A39EF"/>
    <w:rsid w:val="001A6173"/>
    <w:rsid w:val="001A6DE7"/>
    <w:rsid w:val="001C26FB"/>
    <w:rsid w:val="001C4C56"/>
    <w:rsid w:val="001C71FD"/>
    <w:rsid w:val="001D0508"/>
    <w:rsid w:val="001D0A4A"/>
    <w:rsid w:val="001D1C75"/>
    <w:rsid w:val="001D3172"/>
    <w:rsid w:val="001D453E"/>
    <w:rsid w:val="001E0BEA"/>
    <w:rsid w:val="001E1918"/>
    <w:rsid w:val="001E6981"/>
    <w:rsid w:val="001F1E51"/>
    <w:rsid w:val="001F3E97"/>
    <w:rsid w:val="001F6BD2"/>
    <w:rsid w:val="001F79BF"/>
    <w:rsid w:val="00202E98"/>
    <w:rsid w:val="00205D8E"/>
    <w:rsid w:val="0021065E"/>
    <w:rsid w:val="00211FA5"/>
    <w:rsid w:val="00215894"/>
    <w:rsid w:val="002175A9"/>
    <w:rsid w:val="00223FBA"/>
    <w:rsid w:val="0022428B"/>
    <w:rsid w:val="00224C2F"/>
    <w:rsid w:val="00225282"/>
    <w:rsid w:val="002270C8"/>
    <w:rsid w:val="00230D85"/>
    <w:rsid w:val="00232909"/>
    <w:rsid w:val="0023389B"/>
    <w:rsid w:val="00244796"/>
    <w:rsid w:val="00245E4B"/>
    <w:rsid w:val="0025057D"/>
    <w:rsid w:val="002514B7"/>
    <w:rsid w:val="00252CDF"/>
    <w:rsid w:val="00254A09"/>
    <w:rsid w:val="0026041D"/>
    <w:rsid w:val="0026076A"/>
    <w:rsid w:val="00261A3B"/>
    <w:rsid w:val="00263D11"/>
    <w:rsid w:val="00274662"/>
    <w:rsid w:val="002827F3"/>
    <w:rsid w:val="00282ED9"/>
    <w:rsid w:val="002851EF"/>
    <w:rsid w:val="0028608F"/>
    <w:rsid w:val="002914E3"/>
    <w:rsid w:val="00294A8F"/>
    <w:rsid w:val="002A10E1"/>
    <w:rsid w:val="002A37CD"/>
    <w:rsid w:val="002A5200"/>
    <w:rsid w:val="002A5C3A"/>
    <w:rsid w:val="002B2957"/>
    <w:rsid w:val="002B3800"/>
    <w:rsid w:val="002B4258"/>
    <w:rsid w:val="002B56F5"/>
    <w:rsid w:val="002B634E"/>
    <w:rsid w:val="002D2EC4"/>
    <w:rsid w:val="002D3908"/>
    <w:rsid w:val="002D4F2A"/>
    <w:rsid w:val="002E29AC"/>
    <w:rsid w:val="002E3B95"/>
    <w:rsid w:val="002E58FC"/>
    <w:rsid w:val="002E5F92"/>
    <w:rsid w:val="002F1A9D"/>
    <w:rsid w:val="0030184C"/>
    <w:rsid w:val="00312F75"/>
    <w:rsid w:val="00315CFA"/>
    <w:rsid w:val="003165F9"/>
    <w:rsid w:val="0032175F"/>
    <w:rsid w:val="00323AB7"/>
    <w:rsid w:val="00323F9D"/>
    <w:rsid w:val="00324067"/>
    <w:rsid w:val="00333F40"/>
    <w:rsid w:val="00337CFE"/>
    <w:rsid w:val="003403F6"/>
    <w:rsid w:val="00343065"/>
    <w:rsid w:val="00346B27"/>
    <w:rsid w:val="00355580"/>
    <w:rsid w:val="00356689"/>
    <w:rsid w:val="00356BB6"/>
    <w:rsid w:val="003610CA"/>
    <w:rsid w:val="00366A7B"/>
    <w:rsid w:val="00371357"/>
    <w:rsid w:val="003737BD"/>
    <w:rsid w:val="003748FF"/>
    <w:rsid w:val="00380752"/>
    <w:rsid w:val="0038138E"/>
    <w:rsid w:val="003922A3"/>
    <w:rsid w:val="00397C21"/>
    <w:rsid w:val="003A5F6D"/>
    <w:rsid w:val="003A6CEB"/>
    <w:rsid w:val="003B0335"/>
    <w:rsid w:val="003B279D"/>
    <w:rsid w:val="003B6AEF"/>
    <w:rsid w:val="003B7D00"/>
    <w:rsid w:val="003C3352"/>
    <w:rsid w:val="003C47B6"/>
    <w:rsid w:val="003D0FC7"/>
    <w:rsid w:val="003D5934"/>
    <w:rsid w:val="003D7783"/>
    <w:rsid w:val="003E65B6"/>
    <w:rsid w:val="003F660C"/>
    <w:rsid w:val="003F6998"/>
    <w:rsid w:val="003F6F9D"/>
    <w:rsid w:val="00402B34"/>
    <w:rsid w:val="004050B0"/>
    <w:rsid w:val="00414FB3"/>
    <w:rsid w:val="00431452"/>
    <w:rsid w:val="004326FA"/>
    <w:rsid w:val="00435CDF"/>
    <w:rsid w:val="00436E81"/>
    <w:rsid w:val="004421C3"/>
    <w:rsid w:val="00452DFD"/>
    <w:rsid w:val="00454AAD"/>
    <w:rsid w:val="004620D1"/>
    <w:rsid w:val="00477D7D"/>
    <w:rsid w:val="004801C1"/>
    <w:rsid w:val="00483B1C"/>
    <w:rsid w:val="00493484"/>
    <w:rsid w:val="004B31B7"/>
    <w:rsid w:val="004B391C"/>
    <w:rsid w:val="004B3BB4"/>
    <w:rsid w:val="004C291E"/>
    <w:rsid w:val="004C5DF6"/>
    <w:rsid w:val="004D441E"/>
    <w:rsid w:val="004E4B2E"/>
    <w:rsid w:val="004F36D3"/>
    <w:rsid w:val="004F455B"/>
    <w:rsid w:val="00507743"/>
    <w:rsid w:val="00513B62"/>
    <w:rsid w:val="00515956"/>
    <w:rsid w:val="00517948"/>
    <w:rsid w:val="00520479"/>
    <w:rsid w:val="0052075B"/>
    <w:rsid w:val="00522F1C"/>
    <w:rsid w:val="00522FC1"/>
    <w:rsid w:val="00532D1F"/>
    <w:rsid w:val="005335C6"/>
    <w:rsid w:val="005505D2"/>
    <w:rsid w:val="005543E5"/>
    <w:rsid w:val="00565760"/>
    <w:rsid w:val="00566166"/>
    <w:rsid w:val="005769F6"/>
    <w:rsid w:val="005771F9"/>
    <w:rsid w:val="00580591"/>
    <w:rsid w:val="0058242B"/>
    <w:rsid w:val="00584C8D"/>
    <w:rsid w:val="005955B8"/>
    <w:rsid w:val="005979B6"/>
    <w:rsid w:val="005A1EFE"/>
    <w:rsid w:val="005A33C4"/>
    <w:rsid w:val="005A51E3"/>
    <w:rsid w:val="005A71A0"/>
    <w:rsid w:val="005A76B0"/>
    <w:rsid w:val="005B5F98"/>
    <w:rsid w:val="005C07E0"/>
    <w:rsid w:val="005C3CB5"/>
    <w:rsid w:val="005D0140"/>
    <w:rsid w:val="005D18CB"/>
    <w:rsid w:val="005D27CC"/>
    <w:rsid w:val="005D4697"/>
    <w:rsid w:val="005D57B5"/>
    <w:rsid w:val="005D5D4F"/>
    <w:rsid w:val="005E01A6"/>
    <w:rsid w:val="005E034A"/>
    <w:rsid w:val="005E2D91"/>
    <w:rsid w:val="005E318A"/>
    <w:rsid w:val="005E740D"/>
    <w:rsid w:val="005F1479"/>
    <w:rsid w:val="005F168E"/>
    <w:rsid w:val="005F409E"/>
    <w:rsid w:val="005F638C"/>
    <w:rsid w:val="0060104C"/>
    <w:rsid w:val="00602538"/>
    <w:rsid w:val="00603C33"/>
    <w:rsid w:val="0060473A"/>
    <w:rsid w:val="006068ED"/>
    <w:rsid w:val="00610E55"/>
    <w:rsid w:val="00611241"/>
    <w:rsid w:val="00612A1F"/>
    <w:rsid w:val="00613F0B"/>
    <w:rsid w:val="00620ACF"/>
    <w:rsid w:val="00621D97"/>
    <w:rsid w:val="00624D50"/>
    <w:rsid w:val="00625A11"/>
    <w:rsid w:val="00627237"/>
    <w:rsid w:val="00634A22"/>
    <w:rsid w:val="00641E1E"/>
    <w:rsid w:val="00644633"/>
    <w:rsid w:val="00653AD8"/>
    <w:rsid w:val="00653DDC"/>
    <w:rsid w:val="00656A51"/>
    <w:rsid w:val="006579ED"/>
    <w:rsid w:val="00662717"/>
    <w:rsid w:val="00665863"/>
    <w:rsid w:val="00671875"/>
    <w:rsid w:val="00676B19"/>
    <w:rsid w:val="00677524"/>
    <w:rsid w:val="006802EF"/>
    <w:rsid w:val="00681F1F"/>
    <w:rsid w:val="00682265"/>
    <w:rsid w:val="0068260B"/>
    <w:rsid w:val="006873B1"/>
    <w:rsid w:val="00693A97"/>
    <w:rsid w:val="00694414"/>
    <w:rsid w:val="006954F0"/>
    <w:rsid w:val="0069688F"/>
    <w:rsid w:val="006A269D"/>
    <w:rsid w:val="006A375F"/>
    <w:rsid w:val="006A5095"/>
    <w:rsid w:val="006B0DD6"/>
    <w:rsid w:val="006B5945"/>
    <w:rsid w:val="006D0E58"/>
    <w:rsid w:val="006D3462"/>
    <w:rsid w:val="006D50E3"/>
    <w:rsid w:val="006E1F81"/>
    <w:rsid w:val="006E3FEB"/>
    <w:rsid w:val="006F1990"/>
    <w:rsid w:val="006F3AE7"/>
    <w:rsid w:val="006F3E49"/>
    <w:rsid w:val="006F60B2"/>
    <w:rsid w:val="006F76A0"/>
    <w:rsid w:val="007109A2"/>
    <w:rsid w:val="00712B0D"/>
    <w:rsid w:val="00716718"/>
    <w:rsid w:val="00720C5A"/>
    <w:rsid w:val="00732333"/>
    <w:rsid w:val="00732334"/>
    <w:rsid w:val="0073702E"/>
    <w:rsid w:val="00745B1F"/>
    <w:rsid w:val="00747914"/>
    <w:rsid w:val="00750700"/>
    <w:rsid w:val="00752C99"/>
    <w:rsid w:val="00755392"/>
    <w:rsid w:val="00757462"/>
    <w:rsid w:val="0076367A"/>
    <w:rsid w:val="00764144"/>
    <w:rsid w:val="00766D9F"/>
    <w:rsid w:val="00770BB9"/>
    <w:rsid w:val="0077135F"/>
    <w:rsid w:val="00774298"/>
    <w:rsid w:val="00775E4D"/>
    <w:rsid w:val="00776FFF"/>
    <w:rsid w:val="0078666A"/>
    <w:rsid w:val="00794209"/>
    <w:rsid w:val="00795C79"/>
    <w:rsid w:val="007A1EB6"/>
    <w:rsid w:val="007A2C3A"/>
    <w:rsid w:val="007A43BA"/>
    <w:rsid w:val="007A5C56"/>
    <w:rsid w:val="007B3624"/>
    <w:rsid w:val="007B654B"/>
    <w:rsid w:val="007C33F4"/>
    <w:rsid w:val="007C496C"/>
    <w:rsid w:val="007C5034"/>
    <w:rsid w:val="007D15F3"/>
    <w:rsid w:val="007D1730"/>
    <w:rsid w:val="007D2124"/>
    <w:rsid w:val="007D4C57"/>
    <w:rsid w:val="007D5677"/>
    <w:rsid w:val="007D74B4"/>
    <w:rsid w:val="007E458F"/>
    <w:rsid w:val="007E56F5"/>
    <w:rsid w:val="007E7E09"/>
    <w:rsid w:val="007F3862"/>
    <w:rsid w:val="008009DE"/>
    <w:rsid w:val="00803EEB"/>
    <w:rsid w:val="008057B6"/>
    <w:rsid w:val="00812646"/>
    <w:rsid w:val="00812D1F"/>
    <w:rsid w:val="00815082"/>
    <w:rsid w:val="00820AB4"/>
    <w:rsid w:val="0082262D"/>
    <w:rsid w:val="00822B02"/>
    <w:rsid w:val="008313F4"/>
    <w:rsid w:val="008337BA"/>
    <w:rsid w:val="00837E9B"/>
    <w:rsid w:val="0084430E"/>
    <w:rsid w:val="008470EC"/>
    <w:rsid w:val="00847D1C"/>
    <w:rsid w:val="008502FE"/>
    <w:rsid w:val="008567D4"/>
    <w:rsid w:val="008622EA"/>
    <w:rsid w:val="008668A3"/>
    <w:rsid w:val="00870FDC"/>
    <w:rsid w:val="00872749"/>
    <w:rsid w:val="00877046"/>
    <w:rsid w:val="00880061"/>
    <w:rsid w:val="0088187D"/>
    <w:rsid w:val="00885708"/>
    <w:rsid w:val="008869EF"/>
    <w:rsid w:val="00886D24"/>
    <w:rsid w:val="008901AB"/>
    <w:rsid w:val="008938C9"/>
    <w:rsid w:val="0089575E"/>
    <w:rsid w:val="008A2471"/>
    <w:rsid w:val="008A5D34"/>
    <w:rsid w:val="008B0D97"/>
    <w:rsid w:val="008B422A"/>
    <w:rsid w:val="008B4421"/>
    <w:rsid w:val="008B4D79"/>
    <w:rsid w:val="008C18D6"/>
    <w:rsid w:val="008C7B4D"/>
    <w:rsid w:val="008D0DB8"/>
    <w:rsid w:val="008D2A7C"/>
    <w:rsid w:val="008D7539"/>
    <w:rsid w:val="008E5534"/>
    <w:rsid w:val="008F3595"/>
    <w:rsid w:val="0090170D"/>
    <w:rsid w:val="0091360F"/>
    <w:rsid w:val="00916EAF"/>
    <w:rsid w:val="00927679"/>
    <w:rsid w:val="0093133B"/>
    <w:rsid w:val="009326FB"/>
    <w:rsid w:val="00933F8E"/>
    <w:rsid w:val="00935269"/>
    <w:rsid w:val="00935D59"/>
    <w:rsid w:val="00936EFF"/>
    <w:rsid w:val="00937692"/>
    <w:rsid w:val="009456FD"/>
    <w:rsid w:val="00946D13"/>
    <w:rsid w:val="009472E0"/>
    <w:rsid w:val="009558C6"/>
    <w:rsid w:val="00956679"/>
    <w:rsid w:val="00957CDF"/>
    <w:rsid w:val="00966F46"/>
    <w:rsid w:val="00972B66"/>
    <w:rsid w:val="009738C1"/>
    <w:rsid w:val="009751BF"/>
    <w:rsid w:val="00980A96"/>
    <w:rsid w:val="00984491"/>
    <w:rsid w:val="00986771"/>
    <w:rsid w:val="00986B55"/>
    <w:rsid w:val="0098771C"/>
    <w:rsid w:val="00987E95"/>
    <w:rsid w:val="00996859"/>
    <w:rsid w:val="009A0CE7"/>
    <w:rsid w:val="009A44D9"/>
    <w:rsid w:val="009A57EB"/>
    <w:rsid w:val="009B7F8E"/>
    <w:rsid w:val="009C178E"/>
    <w:rsid w:val="009C6346"/>
    <w:rsid w:val="009D5812"/>
    <w:rsid w:val="009E07D4"/>
    <w:rsid w:val="009E0FD2"/>
    <w:rsid w:val="009E20A6"/>
    <w:rsid w:val="009E2CFC"/>
    <w:rsid w:val="009E4C76"/>
    <w:rsid w:val="009E568C"/>
    <w:rsid w:val="009F0CFA"/>
    <w:rsid w:val="00A02B00"/>
    <w:rsid w:val="00A06C34"/>
    <w:rsid w:val="00A12120"/>
    <w:rsid w:val="00A14D6F"/>
    <w:rsid w:val="00A16FA5"/>
    <w:rsid w:val="00A20D3B"/>
    <w:rsid w:val="00A2113C"/>
    <w:rsid w:val="00A21216"/>
    <w:rsid w:val="00A23AE8"/>
    <w:rsid w:val="00A25B87"/>
    <w:rsid w:val="00A305BF"/>
    <w:rsid w:val="00A37F6A"/>
    <w:rsid w:val="00A40461"/>
    <w:rsid w:val="00A40776"/>
    <w:rsid w:val="00A4108B"/>
    <w:rsid w:val="00A413A8"/>
    <w:rsid w:val="00A41DBC"/>
    <w:rsid w:val="00A4223A"/>
    <w:rsid w:val="00A46C68"/>
    <w:rsid w:val="00A51577"/>
    <w:rsid w:val="00A515CE"/>
    <w:rsid w:val="00A55017"/>
    <w:rsid w:val="00A6362A"/>
    <w:rsid w:val="00A70718"/>
    <w:rsid w:val="00A72C4F"/>
    <w:rsid w:val="00A73E7E"/>
    <w:rsid w:val="00A823A5"/>
    <w:rsid w:val="00A82658"/>
    <w:rsid w:val="00A8675A"/>
    <w:rsid w:val="00A867EF"/>
    <w:rsid w:val="00A87191"/>
    <w:rsid w:val="00A8750E"/>
    <w:rsid w:val="00A90A1D"/>
    <w:rsid w:val="00AA1289"/>
    <w:rsid w:val="00AA27F1"/>
    <w:rsid w:val="00AA3D66"/>
    <w:rsid w:val="00AA49A6"/>
    <w:rsid w:val="00AA69C4"/>
    <w:rsid w:val="00AB48FD"/>
    <w:rsid w:val="00AB4D8A"/>
    <w:rsid w:val="00AB6B90"/>
    <w:rsid w:val="00AB7F74"/>
    <w:rsid w:val="00AC0C7E"/>
    <w:rsid w:val="00AC186A"/>
    <w:rsid w:val="00AC4A66"/>
    <w:rsid w:val="00AC7BEF"/>
    <w:rsid w:val="00AD20C3"/>
    <w:rsid w:val="00AE2423"/>
    <w:rsid w:val="00AF3254"/>
    <w:rsid w:val="00AF431C"/>
    <w:rsid w:val="00AF6AEE"/>
    <w:rsid w:val="00B021B1"/>
    <w:rsid w:val="00B0544E"/>
    <w:rsid w:val="00B1360B"/>
    <w:rsid w:val="00B14649"/>
    <w:rsid w:val="00B14B00"/>
    <w:rsid w:val="00B22E07"/>
    <w:rsid w:val="00B236F5"/>
    <w:rsid w:val="00B25250"/>
    <w:rsid w:val="00B25E50"/>
    <w:rsid w:val="00B2765D"/>
    <w:rsid w:val="00B3101F"/>
    <w:rsid w:val="00B322B9"/>
    <w:rsid w:val="00B33F9B"/>
    <w:rsid w:val="00B44152"/>
    <w:rsid w:val="00B44C7B"/>
    <w:rsid w:val="00B50D66"/>
    <w:rsid w:val="00B577F8"/>
    <w:rsid w:val="00B61C4C"/>
    <w:rsid w:val="00B62C50"/>
    <w:rsid w:val="00B66DB2"/>
    <w:rsid w:val="00B67CDA"/>
    <w:rsid w:val="00B71D10"/>
    <w:rsid w:val="00B73E1A"/>
    <w:rsid w:val="00B74B22"/>
    <w:rsid w:val="00B74ED3"/>
    <w:rsid w:val="00B770B7"/>
    <w:rsid w:val="00B808D4"/>
    <w:rsid w:val="00B823EA"/>
    <w:rsid w:val="00B84DE3"/>
    <w:rsid w:val="00B86582"/>
    <w:rsid w:val="00B95261"/>
    <w:rsid w:val="00BA0829"/>
    <w:rsid w:val="00BA27CF"/>
    <w:rsid w:val="00BA2E3D"/>
    <w:rsid w:val="00BA7315"/>
    <w:rsid w:val="00BB3AD6"/>
    <w:rsid w:val="00BB5B62"/>
    <w:rsid w:val="00BB6380"/>
    <w:rsid w:val="00BC3A3A"/>
    <w:rsid w:val="00BC4068"/>
    <w:rsid w:val="00BC45D0"/>
    <w:rsid w:val="00BC6894"/>
    <w:rsid w:val="00BD0418"/>
    <w:rsid w:val="00BD0616"/>
    <w:rsid w:val="00BE1705"/>
    <w:rsid w:val="00BF4643"/>
    <w:rsid w:val="00C02F7F"/>
    <w:rsid w:val="00C035C6"/>
    <w:rsid w:val="00C044D8"/>
    <w:rsid w:val="00C053F9"/>
    <w:rsid w:val="00C06BEE"/>
    <w:rsid w:val="00C1038C"/>
    <w:rsid w:val="00C11428"/>
    <w:rsid w:val="00C15DE3"/>
    <w:rsid w:val="00C20141"/>
    <w:rsid w:val="00C2093E"/>
    <w:rsid w:val="00C20FFF"/>
    <w:rsid w:val="00C22C59"/>
    <w:rsid w:val="00C2661C"/>
    <w:rsid w:val="00C30385"/>
    <w:rsid w:val="00C30DB5"/>
    <w:rsid w:val="00C33434"/>
    <w:rsid w:val="00C36921"/>
    <w:rsid w:val="00C370BB"/>
    <w:rsid w:val="00C37705"/>
    <w:rsid w:val="00C40BE9"/>
    <w:rsid w:val="00C420F4"/>
    <w:rsid w:val="00C42F49"/>
    <w:rsid w:val="00C43DF1"/>
    <w:rsid w:val="00C43F8B"/>
    <w:rsid w:val="00C44098"/>
    <w:rsid w:val="00C44348"/>
    <w:rsid w:val="00C448A9"/>
    <w:rsid w:val="00C45914"/>
    <w:rsid w:val="00C5240A"/>
    <w:rsid w:val="00C5413A"/>
    <w:rsid w:val="00C56161"/>
    <w:rsid w:val="00C56509"/>
    <w:rsid w:val="00C56CE1"/>
    <w:rsid w:val="00C62340"/>
    <w:rsid w:val="00C63B12"/>
    <w:rsid w:val="00C71407"/>
    <w:rsid w:val="00C7408D"/>
    <w:rsid w:val="00C80C86"/>
    <w:rsid w:val="00C81022"/>
    <w:rsid w:val="00C85BFE"/>
    <w:rsid w:val="00C94450"/>
    <w:rsid w:val="00C96F35"/>
    <w:rsid w:val="00CA3AF9"/>
    <w:rsid w:val="00CA4476"/>
    <w:rsid w:val="00CA7408"/>
    <w:rsid w:val="00CA7620"/>
    <w:rsid w:val="00CB16F3"/>
    <w:rsid w:val="00CB33C0"/>
    <w:rsid w:val="00CB3637"/>
    <w:rsid w:val="00CB6248"/>
    <w:rsid w:val="00CC150F"/>
    <w:rsid w:val="00CC15D4"/>
    <w:rsid w:val="00CC2987"/>
    <w:rsid w:val="00CD2C94"/>
    <w:rsid w:val="00CE044B"/>
    <w:rsid w:val="00CE10B5"/>
    <w:rsid w:val="00CE21BD"/>
    <w:rsid w:val="00CE2862"/>
    <w:rsid w:val="00CE392E"/>
    <w:rsid w:val="00CF1C94"/>
    <w:rsid w:val="00CF2C0B"/>
    <w:rsid w:val="00CF2C81"/>
    <w:rsid w:val="00CF6A0A"/>
    <w:rsid w:val="00D0276E"/>
    <w:rsid w:val="00D03DC1"/>
    <w:rsid w:val="00D04B49"/>
    <w:rsid w:val="00D059A3"/>
    <w:rsid w:val="00D06034"/>
    <w:rsid w:val="00D061F2"/>
    <w:rsid w:val="00D07F26"/>
    <w:rsid w:val="00D11A95"/>
    <w:rsid w:val="00D1215A"/>
    <w:rsid w:val="00D14565"/>
    <w:rsid w:val="00D16003"/>
    <w:rsid w:val="00D20D93"/>
    <w:rsid w:val="00D25B74"/>
    <w:rsid w:val="00D270DA"/>
    <w:rsid w:val="00D2746F"/>
    <w:rsid w:val="00D33193"/>
    <w:rsid w:val="00D3654E"/>
    <w:rsid w:val="00D411B9"/>
    <w:rsid w:val="00D43E95"/>
    <w:rsid w:val="00D45F32"/>
    <w:rsid w:val="00D46676"/>
    <w:rsid w:val="00D47401"/>
    <w:rsid w:val="00D54E9C"/>
    <w:rsid w:val="00D60840"/>
    <w:rsid w:val="00D609BC"/>
    <w:rsid w:val="00D67DBD"/>
    <w:rsid w:val="00D71CAF"/>
    <w:rsid w:val="00D73B81"/>
    <w:rsid w:val="00D73C71"/>
    <w:rsid w:val="00D775E2"/>
    <w:rsid w:val="00D915B9"/>
    <w:rsid w:val="00D953C2"/>
    <w:rsid w:val="00DA48C1"/>
    <w:rsid w:val="00DA567D"/>
    <w:rsid w:val="00DB2447"/>
    <w:rsid w:val="00DB65F2"/>
    <w:rsid w:val="00DB7415"/>
    <w:rsid w:val="00DB7D0C"/>
    <w:rsid w:val="00DC4215"/>
    <w:rsid w:val="00DC5602"/>
    <w:rsid w:val="00DC5BD8"/>
    <w:rsid w:val="00DC6311"/>
    <w:rsid w:val="00DD350A"/>
    <w:rsid w:val="00DD6115"/>
    <w:rsid w:val="00DE081D"/>
    <w:rsid w:val="00DE0B74"/>
    <w:rsid w:val="00DE1ABE"/>
    <w:rsid w:val="00DE3027"/>
    <w:rsid w:val="00DE3934"/>
    <w:rsid w:val="00DE5E40"/>
    <w:rsid w:val="00DE5EE5"/>
    <w:rsid w:val="00DF3941"/>
    <w:rsid w:val="00DF5B5D"/>
    <w:rsid w:val="00E0257F"/>
    <w:rsid w:val="00E0282A"/>
    <w:rsid w:val="00E0418F"/>
    <w:rsid w:val="00E142C0"/>
    <w:rsid w:val="00E22735"/>
    <w:rsid w:val="00E23B34"/>
    <w:rsid w:val="00E248DB"/>
    <w:rsid w:val="00E24F6C"/>
    <w:rsid w:val="00E2500C"/>
    <w:rsid w:val="00E25C69"/>
    <w:rsid w:val="00E2785A"/>
    <w:rsid w:val="00E34739"/>
    <w:rsid w:val="00E36979"/>
    <w:rsid w:val="00E37032"/>
    <w:rsid w:val="00E3741C"/>
    <w:rsid w:val="00E443A1"/>
    <w:rsid w:val="00E47CE7"/>
    <w:rsid w:val="00E5616B"/>
    <w:rsid w:val="00E5677D"/>
    <w:rsid w:val="00E56ADD"/>
    <w:rsid w:val="00E60915"/>
    <w:rsid w:val="00E62AD2"/>
    <w:rsid w:val="00E65A4C"/>
    <w:rsid w:val="00E7311E"/>
    <w:rsid w:val="00E757C0"/>
    <w:rsid w:val="00E835CB"/>
    <w:rsid w:val="00E84B95"/>
    <w:rsid w:val="00E873B9"/>
    <w:rsid w:val="00E91545"/>
    <w:rsid w:val="00E96A9F"/>
    <w:rsid w:val="00E97862"/>
    <w:rsid w:val="00E97BD1"/>
    <w:rsid w:val="00EA0B93"/>
    <w:rsid w:val="00EA6338"/>
    <w:rsid w:val="00EA6D5B"/>
    <w:rsid w:val="00EB1449"/>
    <w:rsid w:val="00EB6BA3"/>
    <w:rsid w:val="00EC08F2"/>
    <w:rsid w:val="00EC46C3"/>
    <w:rsid w:val="00EC4B42"/>
    <w:rsid w:val="00EC515C"/>
    <w:rsid w:val="00EC5D3E"/>
    <w:rsid w:val="00EC6EC5"/>
    <w:rsid w:val="00EC7A17"/>
    <w:rsid w:val="00ED25F9"/>
    <w:rsid w:val="00ED68E5"/>
    <w:rsid w:val="00EE11AA"/>
    <w:rsid w:val="00EE448E"/>
    <w:rsid w:val="00EE591D"/>
    <w:rsid w:val="00EF2BC1"/>
    <w:rsid w:val="00EF640B"/>
    <w:rsid w:val="00EF7529"/>
    <w:rsid w:val="00EFAFAB"/>
    <w:rsid w:val="00F00007"/>
    <w:rsid w:val="00F07258"/>
    <w:rsid w:val="00F13AF1"/>
    <w:rsid w:val="00F20F9E"/>
    <w:rsid w:val="00F24366"/>
    <w:rsid w:val="00F25D90"/>
    <w:rsid w:val="00F27697"/>
    <w:rsid w:val="00F3098E"/>
    <w:rsid w:val="00F331F8"/>
    <w:rsid w:val="00F360D0"/>
    <w:rsid w:val="00F365A2"/>
    <w:rsid w:val="00F4091F"/>
    <w:rsid w:val="00F42768"/>
    <w:rsid w:val="00F427E6"/>
    <w:rsid w:val="00F46831"/>
    <w:rsid w:val="00F51643"/>
    <w:rsid w:val="00F557A2"/>
    <w:rsid w:val="00F574B1"/>
    <w:rsid w:val="00F60041"/>
    <w:rsid w:val="00F62D39"/>
    <w:rsid w:val="00F63CF9"/>
    <w:rsid w:val="00F664C6"/>
    <w:rsid w:val="00F711B2"/>
    <w:rsid w:val="00F73208"/>
    <w:rsid w:val="00F73C44"/>
    <w:rsid w:val="00F7529B"/>
    <w:rsid w:val="00F83FBF"/>
    <w:rsid w:val="00F86A2A"/>
    <w:rsid w:val="00F94DCB"/>
    <w:rsid w:val="00FA67E1"/>
    <w:rsid w:val="00FA789B"/>
    <w:rsid w:val="00FB05A5"/>
    <w:rsid w:val="00FC1922"/>
    <w:rsid w:val="00FC20A2"/>
    <w:rsid w:val="00FC21DF"/>
    <w:rsid w:val="00FC4B18"/>
    <w:rsid w:val="00FC6DB6"/>
    <w:rsid w:val="00FC7F3C"/>
    <w:rsid w:val="00FD5870"/>
    <w:rsid w:val="00FD6971"/>
    <w:rsid w:val="00FE09D2"/>
    <w:rsid w:val="00FE18E8"/>
    <w:rsid w:val="00FE4B51"/>
    <w:rsid w:val="00FF233C"/>
    <w:rsid w:val="00FF6C6E"/>
    <w:rsid w:val="00FF6E2A"/>
    <w:rsid w:val="011B84B6"/>
    <w:rsid w:val="015A7150"/>
    <w:rsid w:val="04D74DEC"/>
    <w:rsid w:val="04E25E15"/>
    <w:rsid w:val="07CAA6EF"/>
    <w:rsid w:val="087620DD"/>
    <w:rsid w:val="0A3B1C0D"/>
    <w:rsid w:val="0A54A5B5"/>
    <w:rsid w:val="0AF1E3FA"/>
    <w:rsid w:val="0C644A29"/>
    <w:rsid w:val="0CF4710D"/>
    <w:rsid w:val="0D03B2FE"/>
    <w:rsid w:val="0D72E2D0"/>
    <w:rsid w:val="0E7A78B4"/>
    <w:rsid w:val="0FF58BB1"/>
    <w:rsid w:val="0FFC8B9C"/>
    <w:rsid w:val="10071075"/>
    <w:rsid w:val="110D0623"/>
    <w:rsid w:val="1206879F"/>
    <w:rsid w:val="12654636"/>
    <w:rsid w:val="12A9C874"/>
    <w:rsid w:val="13075A7D"/>
    <w:rsid w:val="13FBEC59"/>
    <w:rsid w:val="143E7644"/>
    <w:rsid w:val="148E4AFC"/>
    <w:rsid w:val="156C9157"/>
    <w:rsid w:val="159674EF"/>
    <w:rsid w:val="15D00746"/>
    <w:rsid w:val="1615BAA3"/>
    <w:rsid w:val="165B9593"/>
    <w:rsid w:val="1698DFBE"/>
    <w:rsid w:val="16A47F2A"/>
    <w:rsid w:val="171680C7"/>
    <w:rsid w:val="1751B971"/>
    <w:rsid w:val="17A5464B"/>
    <w:rsid w:val="18D84E23"/>
    <w:rsid w:val="18EF5411"/>
    <w:rsid w:val="199764B7"/>
    <w:rsid w:val="19ED0596"/>
    <w:rsid w:val="1A1C5654"/>
    <w:rsid w:val="1C583CC4"/>
    <w:rsid w:val="1C70FE37"/>
    <w:rsid w:val="1CC1DA16"/>
    <w:rsid w:val="1D711981"/>
    <w:rsid w:val="1DA54C80"/>
    <w:rsid w:val="1F119353"/>
    <w:rsid w:val="1FC8F71B"/>
    <w:rsid w:val="2009BEDD"/>
    <w:rsid w:val="2033630A"/>
    <w:rsid w:val="2130E275"/>
    <w:rsid w:val="21B4E7A7"/>
    <w:rsid w:val="22355687"/>
    <w:rsid w:val="235AB51B"/>
    <w:rsid w:val="23E808A8"/>
    <w:rsid w:val="24050D31"/>
    <w:rsid w:val="24E6FB1B"/>
    <w:rsid w:val="251E5835"/>
    <w:rsid w:val="2521BC37"/>
    <w:rsid w:val="266D7A7C"/>
    <w:rsid w:val="268F9CA1"/>
    <w:rsid w:val="273F7377"/>
    <w:rsid w:val="2796725C"/>
    <w:rsid w:val="2842DE88"/>
    <w:rsid w:val="29682AEB"/>
    <w:rsid w:val="2A3D55B0"/>
    <w:rsid w:val="2A7D1D3A"/>
    <w:rsid w:val="2AE10D9C"/>
    <w:rsid w:val="2AEC1D08"/>
    <w:rsid w:val="2B028364"/>
    <w:rsid w:val="2BF6E250"/>
    <w:rsid w:val="2E83B39D"/>
    <w:rsid w:val="2F70C02E"/>
    <w:rsid w:val="30A6050C"/>
    <w:rsid w:val="30C1C37A"/>
    <w:rsid w:val="31525E1B"/>
    <w:rsid w:val="3153DED2"/>
    <w:rsid w:val="34C41911"/>
    <w:rsid w:val="34D29699"/>
    <w:rsid w:val="35161E6D"/>
    <w:rsid w:val="35585878"/>
    <w:rsid w:val="35EBB38C"/>
    <w:rsid w:val="35FB93D3"/>
    <w:rsid w:val="3706398D"/>
    <w:rsid w:val="39536A3D"/>
    <w:rsid w:val="39655508"/>
    <w:rsid w:val="3A13CF0B"/>
    <w:rsid w:val="3B214FA3"/>
    <w:rsid w:val="3BC77875"/>
    <w:rsid w:val="3BF2C3FB"/>
    <w:rsid w:val="3D3818F1"/>
    <w:rsid w:val="3D81C4A8"/>
    <w:rsid w:val="3D95EE31"/>
    <w:rsid w:val="3F349C9A"/>
    <w:rsid w:val="405C9121"/>
    <w:rsid w:val="434E559A"/>
    <w:rsid w:val="43E5B96B"/>
    <w:rsid w:val="4435DAB3"/>
    <w:rsid w:val="44EFC56C"/>
    <w:rsid w:val="45818166"/>
    <w:rsid w:val="463B1988"/>
    <w:rsid w:val="4714BCEC"/>
    <w:rsid w:val="471717B8"/>
    <w:rsid w:val="48011D33"/>
    <w:rsid w:val="48438594"/>
    <w:rsid w:val="484615C2"/>
    <w:rsid w:val="48EA8152"/>
    <w:rsid w:val="49084FCC"/>
    <w:rsid w:val="492B61F0"/>
    <w:rsid w:val="4998A8F1"/>
    <w:rsid w:val="4A9D4218"/>
    <w:rsid w:val="4ABE1AEE"/>
    <w:rsid w:val="4AFBC869"/>
    <w:rsid w:val="4C5EE4D8"/>
    <w:rsid w:val="4CD73803"/>
    <w:rsid w:val="4D3AF15D"/>
    <w:rsid w:val="4D904B5D"/>
    <w:rsid w:val="4DEDC987"/>
    <w:rsid w:val="4ED5657B"/>
    <w:rsid w:val="4FCF7793"/>
    <w:rsid w:val="501C9AA1"/>
    <w:rsid w:val="50711F10"/>
    <w:rsid w:val="51AC0E4E"/>
    <w:rsid w:val="527B489E"/>
    <w:rsid w:val="53BD5B84"/>
    <w:rsid w:val="53FE4A5A"/>
    <w:rsid w:val="540CB629"/>
    <w:rsid w:val="54C92D25"/>
    <w:rsid w:val="55D9BB01"/>
    <w:rsid w:val="56BAC1B6"/>
    <w:rsid w:val="5784E5FF"/>
    <w:rsid w:val="584654C7"/>
    <w:rsid w:val="5855F513"/>
    <w:rsid w:val="59AE06AE"/>
    <w:rsid w:val="59C19A73"/>
    <w:rsid w:val="5AA8BBA8"/>
    <w:rsid w:val="5AF31860"/>
    <w:rsid w:val="5C1D7A17"/>
    <w:rsid w:val="5E652303"/>
    <w:rsid w:val="5EC9E4CB"/>
    <w:rsid w:val="5F072BD0"/>
    <w:rsid w:val="5F23A6DA"/>
    <w:rsid w:val="5F3C9163"/>
    <w:rsid w:val="5FFF6D2F"/>
    <w:rsid w:val="61714B37"/>
    <w:rsid w:val="61771B63"/>
    <w:rsid w:val="617B8E5E"/>
    <w:rsid w:val="621F3DEE"/>
    <w:rsid w:val="6280AB0E"/>
    <w:rsid w:val="62C3D201"/>
    <w:rsid w:val="63CDDBFC"/>
    <w:rsid w:val="649BD44B"/>
    <w:rsid w:val="65839F63"/>
    <w:rsid w:val="65CF28AE"/>
    <w:rsid w:val="66529ADC"/>
    <w:rsid w:val="66554465"/>
    <w:rsid w:val="665623F8"/>
    <w:rsid w:val="6740F228"/>
    <w:rsid w:val="680D298D"/>
    <w:rsid w:val="6840684C"/>
    <w:rsid w:val="68DD3B2D"/>
    <w:rsid w:val="68DE92E6"/>
    <w:rsid w:val="69D8D02B"/>
    <w:rsid w:val="69E061A1"/>
    <w:rsid w:val="6AE7DF93"/>
    <w:rsid w:val="6B1DD9E5"/>
    <w:rsid w:val="6BC356DD"/>
    <w:rsid w:val="6C393DD2"/>
    <w:rsid w:val="6ED7CC50"/>
    <w:rsid w:val="6F9F3C42"/>
    <w:rsid w:val="6FACAE49"/>
    <w:rsid w:val="7155869A"/>
    <w:rsid w:val="730D32C6"/>
    <w:rsid w:val="74645641"/>
    <w:rsid w:val="768D20D2"/>
    <w:rsid w:val="7737048B"/>
    <w:rsid w:val="7766182F"/>
    <w:rsid w:val="77BE5427"/>
    <w:rsid w:val="77D31473"/>
    <w:rsid w:val="78347816"/>
    <w:rsid w:val="7889ABF3"/>
    <w:rsid w:val="78F014F9"/>
    <w:rsid w:val="79B851B6"/>
    <w:rsid w:val="79E1633D"/>
    <w:rsid w:val="7A35DFED"/>
    <w:rsid w:val="7A8979A5"/>
    <w:rsid w:val="7AE6471C"/>
    <w:rsid w:val="7B62EC4C"/>
    <w:rsid w:val="7C7DDEB2"/>
    <w:rsid w:val="7D10D90D"/>
    <w:rsid w:val="7D715825"/>
    <w:rsid w:val="7D8B6BDC"/>
    <w:rsid w:val="7DAAF07E"/>
    <w:rsid w:val="7E3B3854"/>
    <w:rsid w:val="7F85E08F"/>
    <w:rsid w:val="7FAF58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FE90E5"/>
  <w15:chartTrackingRefBased/>
  <w15:docId w15:val="{73A4ED0B-B7B5-4CF4-97EB-FCA5CB68C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812"/>
    <w:pPr>
      <w:spacing w:after="0" w:line="240" w:lineRule="auto"/>
    </w:pPr>
    <w:rPr>
      <w:rFonts w:eastAsiaTheme="minorEastAsia"/>
      <w:sz w:val="24"/>
      <w:szCs w:val="24"/>
      <w:lang w:eastAsia="ja-JP"/>
    </w:rPr>
  </w:style>
  <w:style w:type="paragraph" w:styleId="Heading1">
    <w:name w:val="heading 1"/>
    <w:basedOn w:val="Normal"/>
    <w:next w:val="Normal"/>
    <w:link w:val="Heading1Char"/>
    <w:uiPriority w:val="9"/>
    <w:qFormat/>
    <w:rsid w:val="00C43F8B"/>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C43F8B"/>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unhideWhenUsed/>
    <w:qFormat/>
    <w:rsid w:val="00C43F8B"/>
    <w:pPr>
      <w:keepNext/>
      <w:keepLines/>
      <w:spacing w:before="160" w:after="80" w:line="259"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C43F8B"/>
    <w:pPr>
      <w:keepNext/>
      <w:keepLines/>
      <w:spacing w:before="80" w:after="40" w:line="259" w:lineRule="auto"/>
      <w:outlineLvl w:val="3"/>
    </w:pPr>
    <w:rPr>
      <w:rFonts w:eastAsiaTheme="majorEastAsia"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C43F8B"/>
    <w:pPr>
      <w:keepNext/>
      <w:keepLines/>
      <w:spacing w:before="80" w:after="40" w:line="259" w:lineRule="auto"/>
      <w:outlineLvl w:val="4"/>
    </w:pPr>
    <w:rPr>
      <w:rFonts w:eastAsiaTheme="majorEastAsia"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C43F8B"/>
    <w:pPr>
      <w:keepNext/>
      <w:keepLines/>
      <w:spacing w:before="40" w:line="259" w:lineRule="auto"/>
      <w:outlineLvl w:val="5"/>
    </w:pPr>
    <w:rPr>
      <w:rFonts w:eastAsiaTheme="majorEastAsia"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C43F8B"/>
    <w:pPr>
      <w:keepNext/>
      <w:keepLines/>
      <w:spacing w:before="40" w:line="259" w:lineRule="auto"/>
      <w:outlineLvl w:val="6"/>
    </w:pPr>
    <w:rPr>
      <w:rFonts w:eastAsiaTheme="majorEastAsia"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C43F8B"/>
    <w:pPr>
      <w:keepNext/>
      <w:keepLines/>
      <w:spacing w:line="259" w:lineRule="auto"/>
      <w:outlineLvl w:val="7"/>
    </w:pPr>
    <w:rPr>
      <w:rFonts w:eastAsiaTheme="majorEastAsia"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C43F8B"/>
    <w:pPr>
      <w:keepNext/>
      <w:keepLines/>
      <w:spacing w:line="259" w:lineRule="auto"/>
      <w:outlineLvl w:val="8"/>
    </w:pPr>
    <w:rPr>
      <w:rFonts w:eastAsiaTheme="majorEastAsia" w:cstheme="majorBidi"/>
      <w:color w:val="272727" w:themeColor="text1" w:themeTint="D8"/>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3F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3F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43F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3F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3F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3F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3F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3F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3F8B"/>
    <w:rPr>
      <w:rFonts w:eastAsiaTheme="majorEastAsia" w:cstheme="majorBidi"/>
      <w:color w:val="272727" w:themeColor="text1" w:themeTint="D8"/>
    </w:rPr>
  </w:style>
  <w:style w:type="paragraph" w:styleId="Title">
    <w:name w:val="Title"/>
    <w:basedOn w:val="Normal"/>
    <w:next w:val="Normal"/>
    <w:link w:val="TitleChar"/>
    <w:uiPriority w:val="10"/>
    <w:qFormat/>
    <w:rsid w:val="00C43F8B"/>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C43F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3F8B"/>
    <w:pPr>
      <w:numPr>
        <w:ilvl w:val="1"/>
      </w:numPr>
      <w:spacing w:after="160" w:line="259"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C43F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3F8B"/>
    <w:pPr>
      <w:spacing w:before="160" w:after="160" w:line="259" w:lineRule="auto"/>
      <w:jc w:val="center"/>
    </w:pPr>
    <w:rPr>
      <w:rFonts w:eastAsiaTheme="minorHAnsi"/>
      <w:i/>
      <w:iCs/>
      <w:color w:val="404040" w:themeColor="text1" w:themeTint="BF"/>
      <w:sz w:val="22"/>
      <w:szCs w:val="22"/>
      <w:lang w:eastAsia="en-US"/>
    </w:rPr>
  </w:style>
  <w:style w:type="character" w:customStyle="1" w:styleId="QuoteChar">
    <w:name w:val="Quote Char"/>
    <w:basedOn w:val="DefaultParagraphFont"/>
    <w:link w:val="Quote"/>
    <w:uiPriority w:val="29"/>
    <w:rsid w:val="00C43F8B"/>
    <w:rPr>
      <w:i/>
      <w:iCs/>
      <w:color w:val="404040" w:themeColor="text1" w:themeTint="BF"/>
    </w:rPr>
  </w:style>
  <w:style w:type="paragraph" w:styleId="ListParagraph">
    <w:name w:val="List Paragraph"/>
    <w:basedOn w:val="Normal"/>
    <w:uiPriority w:val="34"/>
    <w:qFormat/>
    <w:rsid w:val="00C43F8B"/>
    <w:pPr>
      <w:spacing w:after="160" w:line="259" w:lineRule="auto"/>
      <w:ind w:left="720"/>
      <w:contextualSpacing/>
    </w:pPr>
    <w:rPr>
      <w:rFonts w:eastAsiaTheme="minorHAnsi"/>
      <w:sz w:val="22"/>
      <w:szCs w:val="22"/>
      <w:lang w:eastAsia="en-US"/>
    </w:rPr>
  </w:style>
  <w:style w:type="character" w:styleId="IntenseEmphasis">
    <w:name w:val="Intense Emphasis"/>
    <w:basedOn w:val="DefaultParagraphFont"/>
    <w:uiPriority w:val="21"/>
    <w:qFormat/>
    <w:rsid w:val="00C43F8B"/>
    <w:rPr>
      <w:i/>
      <w:iCs/>
      <w:color w:val="0F4761" w:themeColor="accent1" w:themeShade="BF"/>
    </w:rPr>
  </w:style>
  <w:style w:type="paragraph" w:styleId="IntenseQuote">
    <w:name w:val="Intense Quote"/>
    <w:basedOn w:val="Normal"/>
    <w:next w:val="Normal"/>
    <w:link w:val="IntenseQuoteChar"/>
    <w:uiPriority w:val="30"/>
    <w:qFormat/>
    <w:rsid w:val="00C43F8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C43F8B"/>
    <w:rPr>
      <w:i/>
      <w:iCs/>
      <w:color w:val="0F4761" w:themeColor="accent1" w:themeShade="BF"/>
    </w:rPr>
  </w:style>
  <w:style w:type="character" w:styleId="IntenseReference">
    <w:name w:val="Intense Reference"/>
    <w:basedOn w:val="DefaultParagraphFont"/>
    <w:uiPriority w:val="32"/>
    <w:qFormat/>
    <w:rsid w:val="00C43F8B"/>
    <w:rPr>
      <w:b/>
      <w:bCs/>
      <w:smallCaps/>
      <w:color w:val="0F4761" w:themeColor="accent1" w:themeShade="BF"/>
      <w:spacing w:val="5"/>
    </w:rPr>
  </w:style>
  <w:style w:type="paragraph" w:styleId="Revision">
    <w:name w:val="Revision"/>
    <w:hidden/>
    <w:uiPriority w:val="99"/>
    <w:semiHidden/>
    <w:rsid w:val="008313F4"/>
    <w:pPr>
      <w:spacing w:after="0" w:line="240" w:lineRule="auto"/>
    </w:pPr>
    <w:rPr>
      <w:rFonts w:eastAsiaTheme="minorEastAsia"/>
      <w:sz w:val="24"/>
      <w:szCs w:val="24"/>
      <w:lang w:eastAsia="ja-JP"/>
    </w:rPr>
  </w:style>
  <w:style w:type="character" w:styleId="Hyperlink">
    <w:name w:val="Hyperlink"/>
    <w:basedOn w:val="DefaultParagraphFont"/>
    <w:uiPriority w:val="99"/>
    <w:unhideWhenUsed/>
    <w:rsid w:val="006579ED"/>
    <w:rPr>
      <w:color w:val="467886" w:themeColor="hyperlink"/>
      <w:u w:val="single"/>
    </w:rPr>
  </w:style>
  <w:style w:type="paragraph" w:customStyle="1" w:styleId="p1">
    <w:name w:val="p1"/>
    <w:basedOn w:val="Normal"/>
    <w:rsid w:val="00996859"/>
    <w:pPr>
      <w:spacing w:before="100" w:beforeAutospacing="1" w:after="100" w:afterAutospacing="1"/>
    </w:pPr>
    <w:rPr>
      <w:rFonts w:ascii="Times New Roman" w:hAnsi="Times New Roman" w:cs="Times New Roman"/>
      <w:kern w:val="0"/>
      <w:lang w:eastAsia="en-US"/>
      <w14:ligatures w14:val="none"/>
    </w:rPr>
  </w:style>
  <w:style w:type="character" w:customStyle="1" w:styleId="s1">
    <w:name w:val="s1"/>
    <w:basedOn w:val="DefaultParagraphFont"/>
    <w:rsid w:val="00996859"/>
  </w:style>
  <w:style w:type="character" w:customStyle="1" w:styleId="s2">
    <w:name w:val="s2"/>
    <w:basedOn w:val="DefaultParagraphFont"/>
    <w:rsid w:val="00996859"/>
  </w:style>
  <w:style w:type="paragraph" w:customStyle="1" w:styleId="p2">
    <w:name w:val="p2"/>
    <w:basedOn w:val="Normal"/>
    <w:rsid w:val="00996859"/>
    <w:pPr>
      <w:spacing w:before="100" w:beforeAutospacing="1" w:after="100" w:afterAutospacing="1"/>
    </w:pPr>
    <w:rPr>
      <w:rFonts w:ascii="Times New Roman" w:hAnsi="Times New Roman" w:cs="Times New Roman"/>
      <w:kern w:val="0"/>
      <w:lang w:eastAsia="en-US"/>
      <w14:ligatures w14:val="none"/>
    </w:rPr>
  </w:style>
  <w:style w:type="paragraph" w:customStyle="1" w:styleId="p3">
    <w:name w:val="p3"/>
    <w:basedOn w:val="Normal"/>
    <w:rsid w:val="00996859"/>
    <w:pPr>
      <w:spacing w:before="100" w:beforeAutospacing="1" w:after="100" w:afterAutospacing="1"/>
    </w:pPr>
    <w:rPr>
      <w:rFonts w:ascii="Times New Roman" w:hAnsi="Times New Roman" w:cs="Times New Roman"/>
      <w:kern w:val="0"/>
      <w:lang w:eastAsia="en-US"/>
      <w14:ligatures w14:val="none"/>
    </w:rPr>
  </w:style>
  <w:style w:type="character" w:customStyle="1" w:styleId="apple-tab-span">
    <w:name w:val="apple-tab-span"/>
    <w:basedOn w:val="DefaultParagraphFont"/>
    <w:rsid w:val="00996859"/>
  </w:style>
  <w:style w:type="paragraph" w:styleId="BalloonText">
    <w:name w:val="Balloon Text"/>
    <w:basedOn w:val="Normal"/>
    <w:link w:val="BalloonTextChar"/>
    <w:uiPriority w:val="99"/>
    <w:semiHidden/>
    <w:unhideWhenUsed/>
    <w:rsid w:val="00CA447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A4476"/>
    <w:rPr>
      <w:rFonts w:ascii="Times New Roman" w:eastAsiaTheme="minorEastAsia" w:hAnsi="Times New Roman" w:cs="Times New Roman"/>
      <w:sz w:val="18"/>
      <w:szCs w:val="18"/>
      <w:lang w:eastAsia="ja-JP"/>
    </w:rPr>
  </w:style>
  <w:style w:type="character" w:styleId="FollowedHyperlink">
    <w:name w:val="FollowedHyperlink"/>
    <w:basedOn w:val="DefaultParagraphFont"/>
    <w:uiPriority w:val="99"/>
    <w:semiHidden/>
    <w:unhideWhenUsed/>
    <w:rsid w:val="001D453E"/>
    <w:rPr>
      <w:color w:val="96607D" w:themeColor="followedHyperlink"/>
      <w:u w:val="single"/>
    </w:rPr>
  </w:style>
  <w:style w:type="character" w:styleId="UnresolvedMention">
    <w:name w:val="Unresolved Mention"/>
    <w:basedOn w:val="DefaultParagraphFont"/>
    <w:uiPriority w:val="99"/>
    <w:semiHidden/>
    <w:unhideWhenUsed/>
    <w:rsid w:val="005335C6"/>
    <w:rPr>
      <w:color w:val="605E5C"/>
      <w:shd w:val="clear" w:color="auto" w:fill="E1DFDD"/>
    </w:rPr>
  </w:style>
  <w:style w:type="character" w:customStyle="1" w:styleId="citation-doi">
    <w:name w:val="citation-doi"/>
    <w:basedOn w:val="DefaultParagraphFont"/>
    <w:rsid w:val="00D25B74"/>
  </w:style>
  <w:style w:type="paragraph" w:styleId="Header">
    <w:name w:val="header"/>
    <w:basedOn w:val="Normal"/>
    <w:link w:val="HeaderChar"/>
    <w:uiPriority w:val="99"/>
    <w:unhideWhenUsed/>
    <w:rsid w:val="00CC15D4"/>
    <w:pPr>
      <w:tabs>
        <w:tab w:val="center" w:pos="4680"/>
        <w:tab w:val="right" w:pos="9360"/>
      </w:tabs>
    </w:pPr>
  </w:style>
  <w:style w:type="character" w:customStyle="1" w:styleId="HeaderChar">
    <w:name w:val="Header Char"/>
    <w:basedOn w:val="DefaultParagraphFont"/>
    <w:link w:val="Header"/>
    <w:uiPriority w:val="99"/>
    <w:rsid w:val="00CC15D4"/>
    <w:rPr>
      <w:rFonts w:eastAsiaTheme="minorEastAsia"/>
      <w:sz w:val="24"/>
      <w:szCs w:val="24"/>
      <w:lang w:eastAsia="ja-JP"/>
    </w:rPr>
  </w:style>
  <w:style w:type="paragraph" w:styleId="Footer">
    <w:name w:val="footer"/>
    <w:basedOn w:val="Normal"/>
    <w:link w:val="FooterChar"/>
    <w:uiPriority w:val="99"/>
    <w:unhideWhenUsed/>
    <w:rsid w:val="00CC15D4"/>
    <w:pPr>
      <w:tabs>
        <w:tab w:val="center" w:pos="4680"/>
        <w:tab w:val="right" w:pos="9360"/>
      </w:tabs>
    </w:pPr>
  </w:style>
  <w:style w:type="character" w:customStyle="1" w:styleId="FooterChar">
    <w:name w:val="Footer Char"/>
    <w:basedOn w:val="DefaultParagraphFont"/>
    <w:link w:val="Footer"/>
    <w:uiPriority w:val="99"/>
    <w:rsid w:val="00CC15D4"/>
    <w:rPr>
      <w:rFonts w:eastAsiaTheme="minorEastAsia"/>
      <w:sz w:val="24"/>
      <w:szCs w:val="24"/>
      <w:lang w:eastAsia="ja-JP"/>
    </w:rPr>
  </w:style>
  <w:style w:type="character" w:styleId="CommentReference">
    <w:name w:val="annotation reference"/>
    <w:basedOn w:val="DefaultParagraphFont"/>
    <w:uiPriority w:val="99"/>
    <w:semiHidden/>
    <w:unhideWhenUsed/>
    <w:rsid w:val="00AC0C7E"/>
    <w:rPr>
      <w:sz w:val="16"/>
      <w:szCs w:val="16"/>
    </w:rPr>
  </w:style>
  <w:style w:type="paragraph" w:styleId="CommentText">
    <w:name w:val="annotation text"/>
    <w:basedOn w:val="Normal"/>
    <w:link w:val="CommentTextChar"/>
    <w:uiPriority w:val="99"/>
    <w:semiHidden/>
    <w:unhideWhenUsed/>
    <w:rsid w:val="00AC0C7E"/>
    <w:rPr>
      <w:sz w:val="20"/>
      <w:szCs w:val="20"/>
    </w:rPr>
  </w:style>
  <w:style w:type="character" w:customStyle="1" w:styleId="CommentTextChar">
    <w:name w:val="Comment Text Char"/>
    <w:basedOn w:val="DefaultParagraphFont"/>
    <w:link w:val="CommentText"/>
    <w:uiPriority w:val="99"/>
    <w:semiHidden/>
    <w:rsid w:val="00AC0C7E"/>
    <w:rPr>
      <w:rFonts w:eastAsiaTheme="minorEastAsia"/>
      <w:sz w:val="20"/>
      <w:szCs w:val="20"/>
      <w:lang w:eastAsia="ja-JP"/>
    </w:rPr>
  </w:style>
  <w:style w:type="paragraph" w:styleId="CommentSubject">
    <w:name w:val="annotation subject"/>
    <w:basedOn w:val="CommentText"/>
    <w:next w:val="CommentText"/>
    <w:link w:val="CommentSubjectChar"/>
    <w:uiPriority w:val="99"/>
    <w:semiHidden/>
    <w:unhideWhenUsed/>
    <w:rsid w:val="00AC0C7E"/>
    <w:rPr>
      <w:b/>
      <w:bCs/>
    </w:rPr>
  </w:style>
  <w:style w:type="character" w:customStyle="1" w:styleId="CommentSubjectChar">
    <w:name w:val="Comment Subject Char"/>
    <w:basedOn w:val="CommentTextChar"/>
    <w:link w:val="CommentSubject"/>
    <w:uiPriority w:val="99"/>
    <w:semiHidden/>
    <w:rsid w:val="00AC0C7E"/>
    <w:rPr>
      <w:rFonts w:eastAsiaTheme="minorEastAsia"/>
      <w:b/>
      <w:bCs/>
      <w:sz w:val="20"/>
      <w:szCs w:val="20"/>
      <w:lang w:eastAsia="ja-JP"/>
    </w:rPr>
  </w:style>
  <w:style w:type="paragraph" w:customStyle="1" w:styleId="EndNoteBibliographyTitle">
    <w:name w:val="EndNote Bibliography Title"/>
    <w:basedOn w:val="Normal"/>
    <w:link w:val="EndNoteBibliographyTitleChar"/>
    <w:rsid w:val="00127B67"/>
    <w:pPr>
      <w:jc w:val="center"/>
    </w:pPr>
    <w:rPr>
      <w:rFonts w:ascii="Aptos" w:hAnsi="Aptos"/>
    </w:rPr>
  </w:style>
  <w:style w:type="character" w:customStyle="1" w:styleId="EndNoteBibliographyTitleChar">
    <w:name w:val="EndNote Bibliography Title Char"/>
    <w:basedOn w:val="DefaultParagraphFont"/>
    <w:link w:val="EndNoteBibliographyTitle"/>
    <w:rsid w:val="00127B67"/>
    <w:rPr>
      <w:rFonts w:ascii="Aptos" w:eastAsiaTheme="minorEastAsia" w:hAnsi="Aptos"/>
      <w:sz w:val="24"/>
      <w:szCs w:val="24"/>
      <w:lang w:eastAsia="ja-JP"/>
    </w:rPr>
  </w:style>
  <w:style w:type="paragraph" w:customStyle="1" w:styleId="EndNoteBibliography">
    <w:name w:val="EndNote Bibliography"/>
    <w:basedOn w:val="Normal"/>
    <w:link w:val="EndNoteBibliographyChar"/>
    <w:rsid w:val="00127B67"/>
    <w:rPr>
      <w:rFonts w:ascii="Aptos" w:hAnsi="Aptos"/>
    </w:rPr>
  </w:style>
  <w:style w:type="character" w:customStyle="1" w:styleId="EndNoteBibliographyChar">
    <w:name w:val="EndNote Bibliography Char"/>
    <w:basedOn w:val="DefaultParagraphFont"/>
    <w:link w:val="EndNoteBibliography"/>
    <w:rsid w:val="00127B67"/>
    <w:rPr>
      <w:rFonts w:ascii="Aptos" w:eastAsiaTheme="minorEastAsia" w:hAnsi="Aptos"/>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115538">
      <w:bodyDiv w:val="1"/>
      <w:marLeft w:val="0"/>
      <w:marRight w:val="0"/>
      <w:marTop w:val="0"/>
      <w:marBottom w:val="0"/>
      <w:divBdr>
        <w:top w:val="none" w:sz="0" w:space="0" w:color="auto"/>
        <w:left w:val="none" w:sz="0" w:space="0" w:color="auto"/>
        <w:bottom w:val="none" w:sz="0" w:space="0" w:color="auto"/>
        <w:right w:val="none" w:sz="0" w:space="0" w:color="auto"/>
      </w:divBdr>
    </w:div>
    <w:div w:id="385567323">
      <w:bodyDiv w:val="1"/>
      <w:marLeft w:val="0"/>
      <w:marRight w:val="0"/>
      <w:marTop w:val="0"/>
      <w:marBottom w:val="0"/>
      <w:divBdr>
        <w:top w:val="none" w:sz="0" w:space="0" w:color="auto"/>
        <w:left w:val="none" w:sz="0" w:space="0" w:color="auto"/>
        <w:bottom w:val="none" w:sz="0" w:space="0" w:color="auto"/>
        <w:right w:val="none" w:sz="0" w:space="0" w:color="auto"/>
      </w:divBdr>
      <w:divsChild>
        <w:div w:id="2054764039">
          <w:marLeft w:val="0"/>
          <w:marRight w:val="0"/>
          <w:marTop w:val="0"/>
          <w:marBottom w:val="160"/>
          <w:divBdr>
            <w:top w:val="none" w:sz="0" w:space="0" w:color="auto"/>
            <w:left w:val="none" w:sz="0" w:space="0" w:color="auto"/>
            <w:bottom w:val="none" w:sz="0" w:space="0" w:color="auto"/>
            <w:right w:val="none" w:sz="0" w:space="0" w:color="auto"/>
          </w:divBdr>
        </w:div>
        <w:div w:id="814104602">
          <w:marLeft w:val="0"/>
          <w:marRight w:val="0"/>
          <w:marTop w:val="0"/>
          <w:marBottom w:val="160"/>
          <w:divBdr>
            <w:top w:val="none" w:sz="0" w:space="0" w:color="auto"/>
            <w:left w:val="none" w:sz="0" w:space="0" w:color="auto"/>
            <w:bottom w:val="none" w:sz="0" w:space="0" w:color="auto"/>
            <w:right w:val="none" w:sz="0" w:space="0" w:color="auto"/>
          </w:divBdr>
        </w:div>
        <w:div w:id="1033919648">
          <w:marLeft w:val="0"/>
          <w:marRight w:val="0"/>
          <w:marTop w:val="0"/>
          <w:marBottom w:val="160"/>
          <w:divBdr>
            <w:top w:val="none" w:sz="0" w:space="0" w:color="auto"/>
            <w:left w:val="none" w:sz="0" w:space="0" w:color="auto"/>
            <w:bottom w:val="none" w:sz="0" w:space="0" w:color="auto"/>
            <w:right w:val="none" w:sz="0" w:space="0" w:color="auto"/>
          </w:divBdr>
        </w:div>
        <w:div w:id="244581691">
          <w:marLeft w:val="0"/>
          <w:marRight w:val="0"/>
          <w:marTop w:val="0"/>
          <w:marBottom w:val="160"/>
          <w:divBdr>
            <w:top w:val="none" w:sz="0" w:space="0" w:color="auto"/>
            <w:left w:val="none" w:sz="0" w:space="0" w:color="auto"/>
            <w:bottom w:val="none" w:sz="0" w:space="0" w:color="auto"/>
            <w:right w:val="none" w:sz="0" w:space="0" w:color="auto"/>
          </w:divBdr>
        </w:div>
        <w:div w:id="646125619">
          <w:marLeft w:val="0"/>
          <w:marRight w:val="0"/>
          <w:marTop w:val="0"/>
          <w:marBottom w:val="160"/>
          <w:divBdr>
            <w:top w:val="none" w:sz="0" w:space="0" w:color="auto"/>
            <w:left w:val="none" w:sz="0" w:space="0" w:color="auto"/>
            <w:bottom w:val="none" w:sz="0" w:space="0" w:color="auto"/>
            <w:right w:val="none" w:sz="0" w:space="0" w:color="auto"/>
          </w:divBdr>
        </w:div>
        <w:div w:id="1819573904">
          <w:marLeft w:val="0"/>
          <w:marRight w:val="0"/>
          <w:marTop w:val="0"/>
          <w:marBottom w:val="160"/>
          <w:divBdr>
            <w:top w:val="none" w:sz="0" w:space="0" w:color="auto"/>
            <w:left w:val="none" w:sz="0" w:space="0" w:color="auto"/>
            <w:bottom w:val="none" w:sz="0" w:space="0" w:color="auto"/>
            <w:right w:val="none" w:sz="0" w:space="0" w:color="auto"/>
          </w:divBdr>
        </w:div>
      </w:divsChild>
    </w:div>
    <w:div w:id="410541591">
      <w:bodyDiv w:val="1"/>
      <w:marLeft w:val="0"/>
      <w:marRight w:val="0"/>
      <w:marTop w:val="0"/>
      <w:marBottom w:val="0"/>
      <w:divBdr>
        <w:top w:val="none" w:sz="0" w:space="0" w:color="auto"/>
        <w:left w:val="none" w:sz="0" w:space="0" w:color="auto"/>
        <w:bottom w:val="none" w:sz="0" w:space="0" w:color="auto"/>
        <w:right w:val="none" w:sz="0" w:space="0" w:color="auto"/>
      </w:divBdr>
      <w:divsChild>
        <w:div w:id="1720516745">
          <w:marLeft w:val="0"/>
          <w:marRight w:val="0"/>
          <w:marTop w:val="0"/>
          <w:marBottom w:val="0"/>
          <w:divBdr>
            <w:top w:val="none" w:sz="0" w:space="0" w:color="auto"/>
            <w:left w:val="none" w:sz="0" w:space="0" w:color="auto"/>
            <w:bottom w:val="none" w:sz="0" w:space="0" w:color="auto"/>
            <w:right w:val="none" w:sz="0" w:space="0" w:color="auto"/>
          </w:divBdr>
        </w:div>
      </w:divsChild>
    </w:div>
    <w:div w:id="521824357">
      <w:bodyDiv w:val="1"/>
      <w:marLeft w:val="0"/>
      <w:marRight w:val="0"/>
      <w:marTop w:val="0"/>
      <w:marBottom w:val="0"/>
      <w:divBdr>
        <w:top w:val="none" w:sz="0" w:space="0" w:color="auto"/>
        <w:left w:val="none" w:sz="0" w:space="0" w:color="auto"/>
        <w:bottom w:val="none" w:sz="0" w:space="0" w:color="auto"/>
        <w:right w:val="none" w:sz="0" w:space="0" w:color="auto"/>
      </w:divBdr>
    </w:div>
    <w:div w:id="1490100844">
      <w:bodyDiv w:val="1"/>
      <w:marLeft w:val="0"/>
      <w:marRight w:val="0"/>
      <w:marTop w:val="0"/>
      <w:marBottom w:val="0"/>
      <w:divBdr>
        <w:top w:val="none" w:sz="0" w:space="0" w:color="auto"/>
        <w:left w:val="none" w:sz="0" w:space="0" w:color="auto"/>
        <w:bottom w:val="none" w:sz="0" w:space="0" w:color="auto"/>
        <w:right w:val="none" w:sz="0" w:space="0" w:color="auto"/>
      </w:divBdr>
      <w:divsChild>
        <w:div w:id="929580251">
          <w:marLeft w:val="0"/>
          <w:marRight w:val="0"/>
          <w:marTop w:val="0"/>
          <w:marBottom w:val="160"/>
          <w:divBdr>
            <w:top w:val="none" w:sz="0" w:space="0" w:color="auto"/>
            <w:left w:val="none" w:sz="0" w:space="0" w:color="auto"/>
            <w:bottom w:val="none" w:sz="0" w:space="0" w:color="auto"/>
            <w:right w:val="none" w:sz="0" w:space="0" w:color="auto"/>
          </w:divBdr>
        </w:div>
        <w:div w:id="325673936">
          <w:marLeft w:val="0"/>
          <w:marRight w:val="0"/>
          <w:marTop w:val="0"/>
          <w:marBottom w:val="160"/>
          <w:divBdr>
            <w:top w:val="none" w:sz="0" w:space="0" w:color="auto"/>
            <w:left w:val="none" w:sz="0" w:space="0" w:color="auto"/>
            <w:bottom w:val="none" w:sz="0" w:space="0" w:color="auto"/>
            <w:right w:val="none" w:sz="0" w:space="0" w:color="auto"/>
          </w:divBdr>
        </w:div>
        <w:div w:id="1151796271">
          <w:marLeft w:val="0"/>
          <w:marRight w:val="0"/>
          <w:marTop w:val="0"/>
          <w:marBottom w:val="160"/>
          <w:divBdr>
            <w:top w:val="none" w:sz="0" w:space="0" w:color="auto"/>
            <w:left w:val="none" w:sz="0" w:space="0" w:color="auto"/>
            <w:bottom w:val="none" w:sz="0" w:space="0" w:color="auto"/>
            <w:right w:val="none" w:sz="0" w:space="0" w:color="auto"/>
          </w:divBdr>
        </w:div>
        <w:div w:id="2041200112">
          <w:marLeft w:val="0"/>
          <w:marRight w:val="0"/>
          <w:marTop w:val="0"/>
          <w:marBottom w:val="160"/>
          <w:divBdr>
            <w:top w:val="none" w:sz="0" w:space="0" w:color="auto"/>
            <w:left w:val="none" w:sz="0" w:space="0" w:color="auto"/>
            <w:bottom w:val="none" w:sz="0" w:space="0" w:color="auto"/>
            <w:right w:val="none" w:sz="0" w:space="0" w:color="auto"/>
          </w:divBdr>
        </w:div>
        <w:div w:id="938221099">
          <w:marLeft w:val="0"/>
          <w:marRight w:val="0"/>
          <w:marTop w:val="0"/>
          <w:marBottom w:val="160"/>
          <w:divBdr>
            <w:top w:val="none" w:sz="0" w:space="0" w:color="auto"/>
            <w:left w:val="none" w:sz="0" w:space="0" w:color="auto"/>
            <w:bottom w:val="none" w:sz="0" w:space="0" w:color="auto"/>
            <w:right w:val="none" w:sz="0" w:space="0" w:color="auto"/>
          </w:divBdr>
        </w:div>
      </w:divsChild>
    </w:div>
    <w:div w:id="1692297613">
      <w:bodyDiv w:val="1"/>
      <w:marLeft w:val="0"/>
      <w:marRight w:val="0"/>
      <w:marTop w:val="0"/>
      <w:marBottom w:val="0"/>
      <w:divBdr>
        <w:top w:val="none" w:sz="0" w:space="0" w:color="auto"/>
        <w:left w:val="none" w:sz="0" w:space="0" w:color="auto"/>
        <w:bottom w:val="none" w:sz="0" w:space="0" w:color="auto"/>
        <w:right w:val="none" w:sz="0" w:space="0" w:color="auto"/>
      </w:divBdr>
      <w:divsChild>
        <w:div w:id="474492230">
          <w:marLeft w:val="0"/>
          <w:marRight w:val="0"/>
          <w:marTop w:val="0"/>
          <w:marBottom w:val="0"/>
          <w:divBdr>
            <w:top w:val="none" w:sz="0" w:space="0" w:color="auto"/>
            <w:left w:val="none" w:sz="0" w:space="0" w:color="auto"/>
            <w:bottom w:val="none" w:sz="0" w:space="0" w:color="auto"/>
            <w:right w:val="none" w:sz="0" w:space="0" w:color="auto"/>
          </w:divBdr>
        </w:div>
      </w:divsChild>
    </w:div>
    <w:div w:id="1925869963">
      <w:bodyDiv w:val="1"/>
      <w:marLeft w:val="0"/>
      <w:marRight w:val="0"/>
      <w:marTop w:val="0"/>
      <w:marBottom w:val="0"/>
      <w:divBdr>
        <w:top w:val="none" w:sz="0" w:space="0" w:color="auto"/>
        <w:left w:val="none" w:sz="0" w:space="0" w:color="auto"/>
        <w:bottom w:val="none" w:sz="0" w:space="0" w:color="auto"/>
        <w:right w:val="none" w:sz="0" w:space="0" w:color="auto"/>
      </w:divBdr>
      <w:divsChild>
        <w:div w:id="130178611">
          <w:blockQuote w:val="1"/>
          <w:marLeft w:val="150"/>
          <w:marRight w:val="150"/>
          <w:marTop w:val="0"/>
          <w:marBottom w:val="0"/>
          <w:divBdr>
            <w:top w:val="none" w:sz="0" w:space="0" w:color="auto"/>
            <w:left w:val="none" w:sz="0" w:space="0" w:color="auto"/>
            <w:bottom w:val="none" w:sz="0" w:space="0" w:color="auto"/>
            <w:right w:val="none" w:sz="0" w:space="0" w:color="auto"/>
          </w:divBdr>
          <w:divsChild>
            <w:div w:id="270672788">
              <w:marLeft w:val="0"/>
              <w:marRight w:val="0"/>
              <w:marTop w:val="0"/>
              <w:marBottom w:val="0"/>
              <w:divBdr>
                <w:top w:val="none" w:sz="0" w:space="0" w:color="auto"/>
                <w:left w:val="none" w:sz="0" w:space="0" w:color="auto"/>
                <w:bottom w:val="none" w:sz="0" w:space="0" w:color="auto"/>
                <w:right w:val="none" w:sz="0" w:space="0" w:color="auto"/>
              </w:divBdr>
              <w:divsChild>
                <w:div w:id="21732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12469">
      <w:bodyDiv w:val="1"/>
      <w:marLeft w:val="0"/>
      <w:marRight w:val="0"/>
      <w:marTop w:val="0"/>
      <w:marBottom w:val="0"/>
      <w:divBdr>
        <w:top w:val="none" w:sz="0" w:space="0" w:color="auto"/>
        <w:left w:val="none" w:sz="0" w:space="0" w:color="auto"/>
        <w:bottom w:val="none" w:sz="0" w:space="0" w:color="auto"/>
        <w:right w:val="none" w:sz="0" w:space="0" w:color="auto"/>
      </w:divBdr>
    </w:div>
    <w:div w:id="202945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C521E-D45B-D341-8901-747C03DEB4D3}">
  <ds:schemaRefs>
    <ds:schemaRef ds:uri="http://schemas.openxmlformats.org/officeDocument/2006/bibliography"/>
  </ds:schemaRefs>
</ds:datastoreItem>
</file>

<file path=docMetadata/LabelInfo.xml><?xml version="1.0" encoding="utf-8"?>
<clbl:labelList xmlns:clbl="http://schemas.microsoft.com/office/2020/mipLabelMetadata">
  <clbl:label id="{dd8cbebb-2139-4df8-b411-4e3e87abeb5c}" enabled="0" method="" siteId="{dd8cbebb-2139-4df8-b411-4e3e87abeb5c}" removed="1"/>
</clbl:labelList>
</file>

<file path=docProps/app.xml><?xml version="1.0" encoding="utf-8"?>
<Properties xmlns="http://schemas.openxmlformats.org/officeDocument/2006/extended-properties" xmlns:vt="http://schemas.openxmlformats.org/officeDocument/2006/docPropsVTypes">
  <Template>Normal.dotm</Template>
  <TotalTime>23</TotalTime>
  <Pages>11</Pages>
  <Words>842</Words>
  <Characters>4805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Vassall, Aaron</dc:creator>
  <cp:keywords/>
  <dc:description/>
  <cp:lastModifiedBy>Trupti Sudge</cp:lastModifiedBy>
  <cp:revision>2</cp:revision>
  <cp:lastPrinted>2025-04-17T17:03:00Z</cp:lastPrinted>
  <dcterms:created xsi:type="dcterms:W3CDTF">2025-05-30T07:04:00Z</dcterms:created>
  <dcterms:modified xsi:type="dcterms:W3CDTF">2025-05-30T07:04:00Z</dcterms:modified>
</cp:coreProperties>
</file>