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4AB" w:rsidRPr="00C55E75" w:rsidRDefault="00CF64AB" w:rsidP="00CF64AB">
      <w:pPr>
        <w:spacing w:line="480" w:lineRule="auto"/>
        <w:rPr>
          <w:rFonts w:ascii="Times New Roman" w:hAnsi="Times New Roman" w:cs="Times New Roman"/>
          <w:b/>
          <w:bCs/>
          <w:color w:val="000000" w:themeColor="text1"/>
        </w:rPr>
      </w:pPr>
      <w:r w:rsidRPr="00C55E75">
        <w:rPr>
          <w:rFonts w:ascii="Times New Roman" w:hAnsi="Times New Roman" w:cs="Times New Roman"/>
          <w:b/>
          <w:bCs/>
          <w:color w:val="000000" w:themeColor="text1"/>
        </w:rPr>
        <w:t xml:space="preserve">Additional file 1: </w:t>
      </w:r>
      <w:r w:rsidRPr="000C40A2">
        <w:rPr>
          <w:rFonts w:ascii="Times New Roman" w:hAnsi="Times New Roman" w:cs="Times New Roman"/>
          <w:color w:val="000000" w:themeColor="text1"/>
        </w:rPr>
        <w:t xml:space="preserve">Supplementary Table S1 present the results of the </w:t>
      </w:r>
      <w:r w:rsidRPr="000C40A2">
        <w:rPr>
          <w:rFonts w:ascii="Times New Roman" w:hAnsi="Times New Roman" w:cs="Times New Roman"/>
        </w:rPr>
        <w:t>quality of RNA extracted from the orbital muscles. Table S2 depicts the raw data informing the reference gene selection and Table S3 the genes which were highly expressed in extraocular muscle and orbicular oculi muscles.</w:t>
      </w:r>
      <w:r>
        <w:rPr>
          <w:rFonts w:ascii="Times New Roman" w:hAnsi="Times New Roman" w:cs="Times New Roman"/>
          <w:b/>
          <w:bCs/>
          <w:color w:val="000000" w:themeColor="text1"/>
        </w:rPr>
        <w:t xml:space="preserve"> </w:t>
      </w:r>
      <w:r w:rsidRPr="000C40A2">
        <w:rPr>
          <w:rFonts w:ascii="Times New Roman" w:hAnsi="Times New Roman" w:cs="Times New Roman"/>
          <w:color w:val="000000" w:themeColor="text1"/>
        </w:rPr>
        <w:t>Supplementary</w:t>
      </w:r>
      <w:r w:rsidRPr="000C40A2">
        <w:rPr>
          <w:rFonts w:ascii="Times New Roman" w:hAnsi="Times New Roman" w:cs="Times New Roman"/>
        </w:rPr>
        <w:t xml:space="preserve"> Figure S1. Differentially co-expressed gene pairs between OP-MG and control orbicularis oculi muscle ranked by significance derived from Fisher’s Z test. Figure S2. Scatter plot of gene expression levels in two extraocular muscles and nine orbicularis oculi muscles.</w:t>
      </w:r>
    </w:p>
    <w:p w:rsidR="00157AB6" w:rsidRDefault="00157AB6">
      <w:bookmarkStart w:id="0" w:name="_GoBack"/>
      <w:bookmarkEnd w:id="0"/>
    </w:p>
    <w:sectPr w:rsidR="00157A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4AB"/>
    <w:rsid w:val="00157AB6"/>
    <w:rsid w:val="00CF64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473D00-75C5-4986-8EFB-0FEC7A347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64AB"/>
    <w:pPr>
      <w:spacing w:after="0" w:line="240" w:lineRule="auto"/>
    </w:pPr>
    <w:rPr>
      <w:rFonts w:eastAsiaTheme="minorEastAsia"/>
      <w:sz w:val="24"/>
      <w:szCs w:val="24"/>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Words>
  <Characters>488</Characters>
  <Application>Microsoft Office Word</Application>
  <DocSecurity>0</DocSecurity>
  <Lines>4</Lines>
  <Paragraphs>1</Paragraphs>
  <ScaleCrop>false</ScaleCrop>
  <Company>Springer Nature</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2020-08-27T03:18:00Z</dcterms:created>
  <dcterms:modified xsi:type="dcterms:W3CDTF">2020-08-27T03:18:00Z</dcterms:modified>
</cp:coreProperties>
</file>