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F9F00C">
      <w:pPr>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 xml:space="preserve">Photodegradation </w:t>
      </w:r>
      <w:r>
        <w:rPr>
          <w:rFonts w:hint="eastAsia" w:ascii="Times New Roman" w:hAnsi="Times New Roman" w:eastAsia="宋体" w:cs="Times New Roman"/>
          <w:b/>
          <w:bCs/>
          <w:kern w:val="0"/>
          <w:sz w:val="28"/>
          <w:szCs w:val="28"/>
        </w:rPr>
        <w:t>b</w:t>
      </w:r>
      <w:r>
        <w:rPr>
          <w:rFonts w:ascii="Times New Roman" w:hAnsi="Times New Roman" w:eastAsia="宋体" w:cs="Times New Roman"/>
          <w:b/>
          <w:bCs/>
          <w:kern w:val="0"/>
          <w:sz w:val="28"/>
          <w:szCs w:val="28"/>
        </w:rPr>
        <w:t xml:space="preserve">ehavior of </w:t>
      </w:r>
      <w:bookmarkStart w:id="0" w:name="_Hlk172907365"/>
      <w:r>
        <w:rPr>
          <w:rFonts w:hint="eastAsia" w:ascii="Times New Roman" w:hAnsi="Times New Roman" w:eastAsia="宋体" w:cs="Times New Roman"/>
          <w:b/>
          <w:bCs/>
          <w:kern w:val="0"/>
          <w:sz w:val="28"/>
          <w:szCs w:val="28"/>
        </w:rPr>
        <w:t>n</w:t>
      </w:r>
      <w:r>
        <w:rPr>
          <w:rFonts w:ascii="Times New Roman" w:hAnsi="Times New Roman" w:eastAsia="宋体" w:cs="Times New Roman"/>
          <w:b/>
          <w:bCs/>
          <w:kern w:val="0"/>
          <w:sz w:val="28"/>
          <w:szCs w:val="28"/>
        </w:rPr>
        <w:t>anosilica-</w:t>
      </w:r>
      <w:r>
        <w:rPr>
          <w:rFonts w:hint="eastAsia" w:ascii="Times New Roman" w:hAnsi="Times New Roman" w:eastAsia="宋体" w:cs="Times New Roman"/>
          <w:b/>
          <w:bCs/>
          <w:kern w:val="0"/>
          <w:sz w:val="28"/>
          <w:szCs w:val="28"/>
        </w:rPr>
        <w:t>f</w:t>
      </w:r>
      <w:r>
        <w:rPr>
          <w:rFonts w:ascii="Times New Roman" w:hAnsi="Times New Roman" w:eastAsia="宋体" w:cs="Times New Roman"/>
          <w:b/>
          <w:bCs/>
          <w:kern w:val="0"/>
          <w:sz w:val="28"/>
          <w:szCs w:val="28"/>
        </w:rPr>
        <w:t xml:space="preserve">illed PMMA </w:t>
      </w:r>
      <w:r>
        <w:rPr>
          <w:rFonts w:hint="eastAsia" w:ascii="Times New Roman" w:hAnsi="Times New Roman" w:eastAsia="宋体" w:cs="Times New Roman"/>
          <w:b/>
          <w:bCs/>
          <w:kern w:val="0"/>
          <w:sz w:val="28"/>
          <w:szCs w:val="28"/>
        </w:rPr>
        <w:t>c</w:t>
      </w:r>
      <w:r>
        <w:rPr>
          <w:rFonts w:ascii="Times New Roman" w:hAnsi="Times New Roman" w:eastAsia="宋体" w:cs="Times New Roman"/>
          <w:b/>
          <w:bCs/>
          <w:kern w:val="0"/>
          <w:sz w:val="28"/>
          <w:szCs w:val="28"/>
        </w:rPr>
        <w:t>omposite</w:t>
      </w:r>
      <w:bookmarkEnd w:id="0"/>
      <w:r>
        <w:rPr>
          <w:rFonts w:hint="eastAsia" w:ascii="Times New Roman" w:hAnsi="Times New Roman" w:eastAsia="宋体" w:cs="Times New Roman"/>
          <w:b/>
          <w:bCs/>
          <w:kern w:val="0"/>
          <w:sz w:val="28"/>
          <w:szCs w:val="28"/>
        </w:rPr>
        <w:t>:</w:t>
      </w:r>
      <w:r>
        <w:rPr>
          <w:rFonts w:ascii="Times New Roman" w:hAnsi="Times New Roman" w:eastAsia="宋体" w:cs="Times New Roman"/>
          <w:b/>
          <w:bCs/>
          <w:kern w:val="0"/>
          <w:sz w:val="28"/>
          <w:szCs w:val="28"/>
        </w:rPr>
        <w:t xml:space="preserve"> </w:t>
      </w:r>
      <w:r>
        <w:rPr>
          <w:rFonts w:hint="eastAsia" w:ascii="Times New Roman" w:hAnsi="Times New Roman" w:eastAsia="宋体" w:cs="Times New Roman"/>
          <w:b/>
          <w:bCs/>
          <w:kern w:val="0"/>
          <w:sz w:val="28"/>
          <w:szCs w:val="28"/>
        </w:rPr>
        <w:t>synergistic effect of</w:t>
      </w:r>
      <w:r>
        <w:rPr>
          <w:rFonts w:ascii="Times New Roman" w:hAnsi="Times New Roman" w:eastAsia="宋体" w:cs="Times New Roman"/>
          <w:b/>
          <w:bCs/>
          <w:kern w:val="0"/>
          <w:sz w:val="28"/>
          <w:szCs w:val="28"/>
        </w:rPr>
        <w:t xml:space="preserve"> </w:t>
      </w:r>
      <w:r>
        <w:rPr>
          <w:rFonts w:hint="eastAsia" w:ascii="Times New Roman" w:hAnsi="Times New Roman" w:eastAsia="宋体" w:cs="Times New Roman"/>
          <w:b/>
          <w:bCs/>
          <w:kern w:val="0"/>
          <w:sz w:val="28"/>
          <w:szCs w:val="28"/>
        </w:rPr>
        <w:t>m</w:t>
      </w:r>
      <w:r>
        <w:rPr>
          <w:rFonts w:ascii="Times New Roman" w:hAnsi="Times New Roman" w:eastAsia="宋体" w:cs="Times New Roman"/>
          <w:b/>
          <w:bCs/>
          <w:kern w:val="0"/>
          <w:sz w:val="28"/>
          <w:szCs w:val="28"/>
        </w:rPr>
        <w:t xml:space="preserve">ixed </w:t>
      </w:r>
      <w:r>
        <w:rPr>
          <w:rFonts w:hint="eastAsia" w:ascii="Times New Roman" w:hAnsi="Times New Roman" w:eastAsia="宋体" w:cs="Times New Roman"/>
          <w:b/>
          <w:bCs/>
          <w:kern w:val="0"/>
          <w:sz w:val="28"/>
          <w:szCs w:val="28"/>
        </w:rPr>
        <w:t>s</w:t>
      </w:r>
      <w:r>
        <w:rPr>
          <w:rFonts w:ascii="Times New Roman" w:hAnsi="Times New Roman" w:eastAsia="宋体" w:cs="Times New Roman"/>
          <w:b/>
          <w:bCs/>
          <w:kern w:val="0"/>
          <w:sz w:val="28"/>
          <w:szCs w:val="28"/>
        </w:rPr>
        <w:t xml:space="preserve">olvents and </w:t>
      </w:r>
      <w:r>
        <w:rPr>
          <w:rFonts w:hint="eastAsia" w:ascii="Times New Roman" w:hAnsi="Times New Roman" w:eastAsia="宋体" w:cs="Times New Roman"/>
          <w:b/>
          <w:bCs/>
          <w:kern w:val="0"/>
          <w:sz w:val="28"/>
          <w:szCs w:val="28"/>
        </w:rPr>
        <w:t>i</w:t>
      </w:r>
      <w:r>
        <w:rPr>
          <w:rFonts w:ascii="Times New Roman" w:hAnsi="Times New Roman" w:eastAsia="宋体" w:cs="Times New Roman"/>
          <w:b/>
          <w:bCs/>
          <w:kern w:val="0"/>
          <w:sz w:val="28"/>
          <w:szCs w:val="28"/>
        </w:rPr>
        <w:t>nterfacial functional groups</w:t>
      </w:r>
    </w:p>
    <w:p w14:paraId="62FB9FB8">
      <w:pPr>
        <w:jc w:val="center"/>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t xml:space="preserve">Supplementary </w:t>
      </w:r>
      <w:r>
        <w:rPr>
          <w:rFonts w:hint="eastAsia" w:ascii="Times New Roman" w:hAnsi="Times New Roman" w:eastAsia="宋体" w:cs="Times New Roman"/>
          <w:b/>
          <w:bCs/>
          <w:kern w:val="0"/>
          <w:sz w:val="28"/>
          <w:szCs w:val="28"/>
        </w:rPr>
        <w:t>M</w:t>
      </w:r>
      <w:r>
        <w:rPr>
          <w:rFonts w:ascii="Times New Roman" w:hAnsi="Times New Roman" w:eastAsia="宋体" w:cs="Times New Roman"/>
          <w:b/>
          <w:bCs/>
          <w:kern w:val="0"/>
          <w:sz w:val="28"/>
          <w:szCs w:val="28"/>
        </w:rPr>
        <w:t>aterial</w:t>
      </w:r>
    </w:p>
    <w:p w14:paraId="1D0A0DB4">
      <w:pPr>
        <w:spacing w:line="360" w:lineRule="auto"/>
        <w:jc w:val="center"/>
        <w:rPr>
          <w:rFonts w:ascii="Times New Roman" w:hAnsi="Times New Roman" w:eastAsia="宋体" w:cs="Times New Roman"/>
          <w:sz w:val="24"/>
          <w:szCs w:val="28"/>
        </w:rPr>
      </w:pPr>
      <w:r>
        <w:rPr>
          <w:rFonts w:hint="eastAsia" w:ascii="Times New Roman" w:hAnsi="Times New Roman" w:eastAsia="宋体" w:cs="Times New Roman"/>
          <w:sz w:val="24"/>
          <w:szCs w:val="28"/>
        </w:rPr>
        <w:t>Zhiping Xu</w:t>
      </w:r>
      <w:r>
        <w:rPr>
          <w:rFonts w:hint="eastAsia" w:ascii="Times New Roman" w:hAnsi="Times New Roman" w:eastAsia="宋体" w:cs="Times New Roman"/>
          <w:sz w:val="24"/>
          <w:szCs w:val="28"/>
          <w:vertAlign w:val="superscript"/>
        </w:rPr>
        <w:t>1</w:t>
      </w:r>
      <w:r>
        <w:rPr>
          <w:rFonts w:hint="eastAsia" w:ascii="Times New Roman" w:hAnsi="Times New Roman" w:eastAsia="宋体" w:cs="Times New Roman"/>
          <w:sz w:val="24"/>
          <w:szCs w:val="28"/>
        </w:rPr>
        <w:t>, Liangchen Li</w:t>
      </w:r>
      <w:r>
        <w:rPr>
          <w:rFonts w:hint="eastAsia" w:ascii="Times New Roman" w:hAnsi="Times New Roman" w:eastAsia="宋体" w:cs="Times New Roman"/>
          <w:sz w:val="24"/>
          <w:szCs w:val="28"/>
          <w:vertAlign w:val="superscript"/>
        </w:rPr>
        <w:t>1†</w:t>
      </w:r>
      <w:r>
        <w:rPr>
          <w:rFonts w:hint="eastAsia" w:ascii="Times New Roman" w:hAnsi="Times New Roman" w:eastAsia="宋体" w:cs="Times New Roman"/>
          <w:sz w:val="24"/>
          <w:szCs w:val="28"/>
        </w:rPr>
        <w:t>, Ying Liu</w:t>
      </w:r>
      <w:r>
        <w:rPr>
          <w:rFonts w:hint="eastAsia" w:ascii="Times New Roman" w:hAnsi="Times New Roman" w:eastAsia="宋体" w:cs="Times New Roman"/>
          <w:sz w:val="24"/>
          <w:szCs w:val="28"/>
          <w:vertAlign w:val="superscript"/>
        </w:rPr>
        <w:t>1</w:t>
      </w:r>
      <w:r>
        <w:rPr>
          <w:rFonts w:hint="eastAsia" w:ascii="Times New Roman" w:hAnsi="Times New Roman" w:eastAsia="宋体" w:cs="Times New Roman"/>
          <w:sz w:val="24"/>
          <w:szCs w:val="28"/>
        </w:rPr>
        <w:t>, Rui Yang</w:t>
      </w:r>
      <w:r>
        <w:rPr>
          <w:rFonts w:hint="eastAsia" w:ascii="Times New Roman" w:hAnsi="Times New Roman" w:eastAsia="宋体" w:cs="Times New Roman"/>
          <w:sz w:val="24"/>
          <w:szCs w:val="28"/>
          <w:vertAlign w:val="superscript"/>
        </w:rPr>
        <w:t>1*</w:t>
      </w:r>
    </w:p>
    <w:p w14:paraId="5F5A5463">
      <w:pPr>
        <w:numPr>
          <w:ilvl w:val="0"/>
          <w:numId w:val="2"/>
        </w:numPr>
        <w:spacing w:line="360" w:lineRule="auto"/>
        <w:jc w:val="center"/>
        <w:rPr>
          <w:rFonts w:ascii="Times New Roman" w:hAnsi="Times New Roman" w:eastAsia="宋体" w:cs="Times New Roman"/>
          <w:sz w:val="24"/>
          <w:szCs w:val="28"/>
        </w:rPr>
      </w:pPr>
      <w:r>
        <w:rPr>
          <w:rFonts w:ascii="Times New Roman" w:hAnsi="Times New Roman" w:eastAsia="宋体" w:cs="Times New Roman"/>
          <w:sz w:val="24"/>
          <w:szCs w:val="28"/>
        </w:rPr>
        <w:t>Department of Chemical Engineering, Tsinghua University, Beijing, China</w:t>
      </w:r>
    </w:p>
    <w:p w14:paraId="185FAFC6">
      <w:pPr>
        <w:spacing w:line="360" w:lineRule="auto"/>
        <w:jc w:val="center"/>
        <w:rPr>
          <w:rFonts w:ascii="Times New Roman" w:hAnsi="Times New Roman" w:eastAsia="宋体" w:cs="Times New Roman"/>
          <w:sz w:val="24"/>
          <w:szCs w:val="28"/>
        </w:rPr>
      </w:pPr>
      <w:r>
        <w:rPr>
          <w:rFonts w:hint="eastAsia" w:ascii="Times New Roman" w:hAnsi="Times New Roman" w:eastAsia="宋体" w:cs="Times New Roman"/>
          <w:sz w:val="24"/>
          <w:szCs w:val="28"/>
        </w:rPr>
        <w:t>*Corresponding author(s), E-mail(s): yangr@</w:t>
      </w:r>
      <w:bookmarkStart w:id="2" w:name="_GoBack"/>
      <w:bookmarkEnd w:id="2"/>
      <w:r>
        <w:rPr>
          <w:rFonts w:hint="eastAsia" w:ascii="Times New Roman" w:hAnsi="Times New Roman" w:eastAsia="宋体" w:cs="Times New Roman"/>
          <w:sz w:val="24"/>
          <w:szCs w:val="28"/>
        </w:rPr>
        <w:t>mail.tsinghua.edu.cn</w:t>
      </w:r>
    </w:p>
    <w:p w14:paraId="2D53DECB">
      <w:pPr>
        <w:jc w:val="center"/>
        <w:rPr>
          <w:rFonts w:ascii="Times New Roman" w:hAnsi="Times New Roman" w:eastAsia="宋体" w:cs="Times New Roman"/>
          <w:b/>
          <w:bCs/>
          <w:kern w:val="0"/>
          <w:sz w:val="28"/>
          <w:szCs w:val="28"/>
        </w:rPr>
      </w:pPr>
      <w:r>
        <w:rPr>
          <w:rFonts w:hint="eastAsia" w:ascii="Times New Roman" w:hAnsi="Times New Roman" w:eastAsia="宋体" w:cs="Times New Roman"/>
          <w:sz w:val="24"/>
          <w:szCs w:val="28"/>
        </w:rPr>
        <w:t>†These authors contributed equally to this work</w:t>
      </w:r>
    </w:p>
    <w:p w14:paraId="653A4447">
      <w:pPr>
        <w:spacing w:before="240" w:after="12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
          <w:bCs/>
          <w:sz w:val="24"/>
        </w:rPr>
        <w:t>Table S</w:t>
      </w:r>
      <w:r>
        <w:rPr>
          <w:rFonts w:ascii="Times New Roman" w:hAnsi="Times New Roman" w:eastAsia="宋体" w:cs="Times New Roman"/>
          <w:b/>
          <w:bCs/>
          <w:sz w:val="24"/>
        </w:rPr>
        <w:t>1</w:t>
      </w:r>
      <w:r>
        <w:rPr>
          <w:rFonts w:hint="eastAsia" w:ascii="Times New Roman" w:hAnsi="Times New Roman" w:eastAsia="宋体" w:cs="Times New Roman"/>
          <w:sz w:val="24"/>
        </w:rPr>
        <w:t xml:space="preserve"> lists the specific feeding information of Nano-SiO</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 xml:space="preserve"> with different surface chemical modifications. According to the literature, the maximum density of hydroxyl groups that can be accommodated on the surface of silica is about 5 hydroxyl groups/nm</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ADDIN ZOTERO_ITEM CSL_CITATION {"citationID":"3EkKVxPQ","properties":{"formattedCitation":"\\super 1\\nosupersub{}","plainCitation":"1","noteIndex":0},"citationItems":[{"id":563,"uris":["http://zotero.org/users/15766363/items/UHH75NNH"],"itemData":{"id":563,"type":"article-journal","abstract":"A review article is presented of the research results obtained by the author on the properties of amorphous silica surface. It has been shown that in any description of the surface silica the hydroxylation of the surface is of critical importance. An analysis was made of the processes of dehydration (the removal of physically adsorbed water), dehydroxylation (the removal of silanol groups from the silica surface), and rehydroxylation (the restoration of the hydroxyl covering). For each of these processes a probable mechanism is suggested. The results of experimental and theoretical studies permitted to construct the original model (Zhuravlev model-1 and model-2) for describing the surface chemistry of amorphous silica. The main advantage of this physico-chemical model lies in the possibility to determine the concentration and the distribution of different types of silanol and siloxane groups and to characterize the energetic heterogeneity of the silica surface as a function of the pretreatment temperature of SiO2 samples. The model makes it possible to determine the kind of the chemisorption of water (rapid, weakly activated or slow, strongly activated) under the restoration of the hydroxyl covering and also to assess of OH groups inside the SiO2 skeleton. The magnitude of the silanol number, that is, the number of OH groups per unit surface area, αOH, when the surface is hydroxylated to the maximum degree, is considered to be a physico-chemical constant. This constant has a numerical value: αOH,AVER=4.6 (least-squares method) and αOH,AVER=4.9 OH nm−2 (arithmetical mean) and is known in literature as the Kiselev–Zhuravlev constant. It has been established that adsorption and other surface properties per unit surface area of silica are identical (except for very fine pores). On the basis of data published in the literature, this model has been found to be useful in solving various applied and theoretical problems in the field of adsorption, catalysis, chromatography, chemical modification, etc. It has been shown that the Brunauer–Emmett–Teller (BET) method is the correct method and gives the opportunity to measure the real physical magnitude of the specific surface area, SKr (by using low temperature adsorption of krypton), for silicas and other oxide dispersed solids.","container-title":"Colloids and Surfaces A: Physicochemical and Engineering Aspects","DOI":"10.1016/S0927-7757(00)00556-2","ISSN":"0927-7757","issue":"1","journalAbbreviation":"Colloids and Surfaces A: Physicochemical and Engineering Aspects","page":"1-38","title":"The surface chemistry of amorphous silica. Zhuravlev model","volume":"173","author":[{"family":"Zhuravlev","given":"L.T."}],"issued":{"date-parts":[["2000",11,10]]}}}],"schema":"https://github.com/citation-style-language/schema/raw/master/csl-citation.json"} </w:instrText>
      </w:r>
      <w:r>
        <w:rPr>
          <w:rFonts w:ascii="Times New Roman" w:hAnsi="Times New Roman" w:eastAsia="宋体" w:cs="Times New Roman"/>
          <w:sz w:val="24"/>
        </w:rPr>
        <w:fldChar w:fldCharType="separate"/>
      </w:r>
      <w:r>
        <w:rPr>
          <w:rFonts w:ascii="Times New Roman" w:hAnsi="Times New Roman" w:cs="Times New Roman"/>
          <w:kern w:val="0"/>
          <w:sz w:val="24"/>
          <w:vertAlign w:val="superscript"/>
        </w:rPr>
        <w:t>1</w:t>
      </w:r>
      <w:r>
        <w:rPr>
          <w:rFonts w:ascii="Times New Roman" w:hAnsi="Times New Roman" w:eastAsia="宋体" w:cs="Times New Roman"/>
          <w:sz w:val="24"/>
        </w:rPr>
        <w:fldChar w:fldCharType="end"/>
      </w:r>
      <w:r>
        <w:rPr>
          <w:rFonts w:hint="eastAsia" w:ascii="Times New Roman" w:hAnsi="Times New Roman" w:eastAsia="宋体" w:cs="Times New Roman"/>
          <w:sz w:val="24"/>
        </w:rPr>
        <w:t>. Therefore, in this work, the required silane coupling agent additions were all calculated based on the molar ratio of surface silica hydroxyl groups to coupling agent molecules of 1:4.</w:t>
      </w:r>
    </w:p>
    <w:p w14:paraId="601D0BD9">
      <w:pPr>
        <w:spacing w:before="240" w:after="120"/>
        <w:jc w:val="center"/>
        <w:rPr>
          <w:rFonts w:ascii="Times New Roman" w:hAnsi="Times New Roman" w:eastAsia="宋体" w:cs="Times New Roman"/>
          <w:b/>
          <w:bCs/>
          <w:sz w:val="24"/>
          <w:szCs w:val="24"/>
        </w:rPr>
      </w:pPr>
      <w:r>
        <w:rPr>
          <w:rFonts w:ascii="Times New Roman" w:hAnsi="Times New Roman" w:eastAsia="宋体" w:cs="Times New Roman"/>
          <w:b/>
          <w:bCs/>
          <w:sz w:val="24"/>
          <w:szCs w:val="24"/>
        </w:rPr>
        <w:t xml:space="preserve">Table S1 </w:t>
      </w:r>
      <w:r>
        <w:rPr>
          <w:rFonts w:hint="eastAsia" w:ascii="Times New Roman" w:hAnsi="Times New Roman" w:eastAsia="宋体" w:cs="Times New Roman"/>
          <w:sz w:val="24"/>
          <w:szCs w:val="24"/>
        </w:rPr>
        <w:t>Feeding information of silane coupling agents for SiO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 xml:space="preserve"> surfaces chemical modification</w:t>
      </w:r>
    </w:p>
    <w:tbl>
      <w:tblPr>
        <w:tblStyle w:val="5"/>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8"/>
        <w:gridCol w:w="2924"/>
        <w:gridCol w:w="2463"/>
      </w:tblGrid>
      <w:tr w14:paraId="43AC5AE4">
        <w:trPr>
          <w:jc w:val="center"/>
        </w:trPr>
        <w:tc>
          <w:tcPr>
            <w:tcW w:w="2858" w:type="dxa"/>
            <w:tcBorders>
              <w:top w:val="single" w:color="auto" w:sz="12" w:space="0"/>
              <w:bottom w:val="single" w:color="auto" w:sz="12" w:space="0"/>
            </w:tcBorders>
            <w:vAlign w:val="center"/>
          </w:tcPr>
          <w:p w14:paraId="3278C36C">
            <w:pPr>
              <w:spacing w:before="60" w:after="60"/>
              <w:jc w:val="center"/>
              <w:rPr>
                <w:rFonts w:ascii="Times New Roman" w:hAnsi="Times New Roman" w:eastAsia="宋体" w:cs="Times New Roman"/>
                <w:b/>
                <w:bCs/>
                <w:kern w:val="0"/>
                <w:sz w:val="24"/>
                <w:szCs w:val="20"/>
              </w:rPr>
            </w:pPr>
            <w:r>
              <w:rPr>
                <w:rFonts w:ascii="Times New Roman" w:hAnsi="Times New Roman" w:eastAsia="宋体" w:cs="Times New Roman"/>
                <w:b/>
                <w:bCs/>
                <w:kern w:val="0"/>
                <w:sz w:val="24"/>
                <w:szCs w:val="20"/>
              </w:rPr>
              <w:t>Silanes</w:t>
            </w:r>
          </w:p>
        </w:tc>
        <w:tc>
          <w:tcPr>
            <w:tcW w:w="2924" w:type="dxa"/>
            <w:tcBorders>
              <w:top w:val="single" w:color="auto" w:sz="12" w:space="0"/>
              <w:bottom w:val="single" w:color="auto" w:sz="12" w:space="0"/>
            </w:tcBorders>
            <w:vAlign w:val="center"/>
          </w:tcPr>
          <w:p w14:paraId="177E6A2F">
            <w:pPr>
              <w:spacing w:before="60" w:after="60"/>
              <w:jc w:val="center"/>
              <w:rPr>
                <w:rFonts w:ascii="Times New Roman" w:hAnsi="Times New Roman" w:eastAsia="宋体" w:cs="Times New Roman"/>
                <w:b/>
                <w:bCs/>
                <w:kern w:val="0"/>
                <w:sz w:val="24"/>
                <w:szCs w:val="20"/>
              </w:rPr>
            </w:pPr>
            <w:r>
              <w:rPr>
                <w:rFonts w:hint="eastAsia" w:ascii="Times New Roman" w:hAnsi="Times New Roman" w:eastAsia="宋体" w:cs="Times New Roman"/>
                <w:b/>
                <w:bCs/>
                <w:kern w:val="0"/>
                <w:sz w:val="24"/>
                <w:szCs w:val="20"/>
              </w:rPr>
              <w:t>Feed</w:t>
            </w:r>
          </w:p>
        </w:tc>
        <w:tc>
          <w:tcPr>
            <w:tcW w:w="2463" w:type="dxa"/>
            <w:tcBorders>
              <w:top w:val="single" w:color="auto" w:sz="12" w:space="0"/>
              <w:bottom w:val="single" w:color="auto" w:sz="12" w:space="0"/>
            </w:tcBorders>
            <w:vAlign w:val="center"/>
          </w:tcPr>
          <w:p w14:paraId="6925D399">
            <w:pPr>
              <w:spacing w:before="60" w:after="60"/>
              <w:jc w:val="center"/>
              <w:rPr>
                <w:rFonts w:ascii="Times New Roman" w:hAnsi="Times New Roman" w:eastAsia="宋体" w:cs="Times New Roman"/>
                <w:b/>
                <w:bCs/>
                <w:kern w:val="0"/>
                <w:sz w:val="24"/>
                <w:szCs w:val="20"/>
              </w:rPr>
            </w:pPr>
            <w:r>
              <w:rPr>
                <w:rFonts w:hint="eastAsia" w:ascii="Times New Roman" w:hAnsi="Times New Roman" w:eastAsia="宋体" w:cs="Times New Roman"/>
                <w:b/>
                <w:bCs/>
                <w:kern w:val="0"/>
                <w:sz w:val="24"/>
                <w:szCs w:val="20"/>
              </w:rPr>
              <w:t>Products</w:t>
            </w:r>
          </w:p>
        </w:tc>
      </w:tr>
      <w:tr w14:paraId="691A5E09">
        <w:trPr>
          <w:jc w:val="center"/>
        </w:trPr>
        <w:tc>
          <w:tcPr>
            <w:tcW w:w="2858" w:type="dxa"/>
            <w:tcBorders>
              <w:top w:val="single" w:color="auto" w:sz="12" w:space="0"/>
            </w:tcBorders>
            <w:vAlign w:val="center"/>
          </w:tcPr>
          <w:p w14:paraId="532AA987">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APTES</w:t>
            </w:r>
          </w:p>
        </w:tc>
        <w:tc>
          <w:tcPr>
            <w:tcW w:w="2924" w:type="dxa"/>
            <w:tcBorders>
              <w:top w:val="single" w:color="auto" w:sz="12" w:space="0"/>
            </w:tcBorders>
            <w:vAlign w:val="center"/>
          </w:tcPr>
          <w:p w14:paraId="6E9EC7FD">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(2.95 ml)</w:t>
            </w:r>
          </w:p>
        </w:tc>
        <w:tc>
          <w:tcPr>
            <w:tcW w:w="2463" w:type="dxa"/>
            <w:tcBorders>
              <w:top w:val="single" w:color="auto" w:sz="12" w:space="0"/>
            </w:tcBorders>
            <w:vAlign w:val="center"/>
          </w:tcPr>
          <w:p w14:paraId="5F79EB39">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@NH</w:t>
            </w:r>
            <w:r>
              <w:rPr>
                <w:rFonts w:ascii="Times New Roman" w:hAnsi="Times New Roman" w:eastAsia="宋体" w:cs="Times New Roman"/>
                <w:kern w:val="0"/>
                <w:sz w:val="21"/>
                <w:szCs w:val="20"/>
                <w:vertAlign w:val="subscript"/>
              </w:rPr>
              <w:t>2</w:t>
            </w:r>
          </w:p>
        </w:tc>
      </w:tr>
      <w:tr w14:paraId="18157986">
        <w:trPr>
          <w:jc w:val="center"/>
        </w:trPr>
        <w:tc>
          <w:tcPr>
            <w:tcW w:w="2858" w:type="dxa"/>
            <w:vAlign w:val="center"/>
          </w:tcPr>
          <w:p w14:paraId="70EB78D0">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EPPTMS</w:t>
            </w:r>
          </w:p>
        </w:tc>
        <w:tc>
          <w:tcPr>
            <w:tcW w:w="2924" w:type="dxa"/>
            <w:vAlign w:val="center"/>
          </w:tcPr>
          <w:p w14:paraId="78FD593D">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(2.78ml)</w:t>
            </w:r>
          </w:p>
        </w:tc>
        <w:tc>
          <w:tcPr>
            <w:tcW w:w="2463" w:type="dxa"/>
            <w:vAlign w:val="center"/>
          </w:tcPr>
          <w:p w14:paraId="755CE275">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@Ep</w:t>
            </w:r>
          </w:p>
        </w:tc>
      </w:tr>
      <w:tr w14:paraId="5D4EDE97">
        <w:trPr>
          <w:jc w:val="center"/>
        </w:trPr>
        <w:tc>
          <w:tcPr>
            <w:tcW w:w="2858" w:type="dxa"/>
            <w:tcBorders>
              <w:bottom w:val="nil"/>
            </w:tcBorders>
            <w:vAlign w:val="center"/>
          </w:tcPr>
          <w:p w14:paraId="2C39263E">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MAPTMS</w:t>
            </w:r>
          </w:p>
        </w:tc>
        <w:tc>
          <w:tcPr>
            <w:tcW w:w="2924" w:type="dxa"/>
            <w:tcBorders>
              <w:bottom w:val="nil"/>
            </w:tcBorders>
            <w:vAlign w:val="center"/>
          </w:tcPr>
          <w:p w14:paraId="4B658992">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(2.84 ml)</w:t>
            </w:r>
          </w:p>
        </w:tc>
        <w:tc>
          <w:tcPr>
            <w:tcW w:w="2463" w:type="dxa"/>
            <w:tcBorders>
              <w:bottom w:val="nil"/>
            </w:tcBorders>
            <w:vAlign w:val="center"/>
          </w:tcPr>
          <w:p w14:paraId="7E1DAE1F">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@MA</w:t>
            </w:r>
          </w:p>
        </w:tc>
      </w:tr>
      <w:tr w14:paraId="1B3FCA0E">
        <w:trPr>
          <w:jc w:val="center"/>
        </w:trPr>
        <w:tc>
          <w:tcPr>
            <w:tcW w:w="2858" w:type="dxa"/>
            <w:tcBorders>
              <w:top w:val="nil"/>
              <w:bottom w:val="single" w:color="auto" w:sz="8" w:space="0"/>
            </w:tcBorders>
            <w:vAlign w:val="center"/>
          </w:tcPr>
          <w:p w14:paraId="43F836A0">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MPTMS</w:t>
            </w:r>
          </w:p>
        </w:tc>
        <w:tc>
          <w:tcPr>
            <w:tcW w:w="2924" w:type="dxa"/>
            <w:tcBorders>
              <w:top w:val="nil"/>
              <w:bottom w:val="single" w:color="auto" w:sz="8" w:space="0"/>
            </w:tcBorders>
            <w:vAlign w:val="center"/>
          </w:tcPr>
          <w:p w14:paraId="61D4092B">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(2.34 ml)</w:t>
            </w:r>
          </w:p>
        </w:tc>
        <w:tc>
          <w:tcPr>
            <w:tcW w:w="2463" w:type="dxa"/>
            <w:tcBorders>
              <w:top w:val="nil"/>
              <w:bottom w:val="single" w:color="auto" w:sz="8" w:space="0"/>
            </w:tcBorders>
            <w:vAlign w:val="center"/>
          </w:tcPr>
          <w:p w14:paraId="20E54056">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@SH</w:t>
            </w:r>
          </w:p>
        </w:tc>
      </w:tr>
      <w:tr w14:paraId="3A517456">
        <w:trPr>
          <w:jc w:val="center"/>
        </w:trPr>
        <w:tc>
          <w:tcPr>
            <w:tcW w:w="2858" w:type="dxa"/>
            <w:tcBorders>
              <w:top w:val="single" w:color="auto" w:sz="8" w:space="0"/>
              <w:bottom w:val="nil"/>
            </w:tcBorders>
            <w:vAlign w:val="center"/>
          </w:tcPr>
          <w:p w14:paraId="45B10876">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PhTMS</w:t>
            </w:r>
          </w:p>
        </w:tc>
        <w:tc>
          <w:tcPr>
            <w:tcW w:w="2924" w:type="dxa"/>
            <w:tcBorders>
              <w:top w:val="single" w:color="auto" w:sz="8" w:space="0"/>
              <w:bottom w:val="nil"/>
            </w:tcBorders>
            <w:vAlign w:val="center"/>
          </w:tcPr>
          <w:p w14:paraId="21F3BF8E">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(2.36 ml)</w:t>
            </w:r>
          </w:p>
        </w:tc>
        <w:tc>
          <w:tcPr>
            <w:tcW w:w="2463" w:type="dxa"/>
            <w:tcBorders>
              <w:top w:val="single" w:color="auto" w:sz="8" w:space="0"/>
              <w:bottom w:val="nil"/>
            </w:tcBorders>
            <w:vAlign w:val="center"/>
          </w:tcPr>
          <w:p w14:paraId="3B75B4ED">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@Ph</w:t>
            </w:r>
          </w:p>
        </w:tc>
      </w:tr>
      <w:tr w14:paraId="3DB4334C">
        <w:trPr>
          <w:jc w:val="center"/>
        </w:trPr>
        <w:tc>
          <w:tcPr>
            <w:tcW w:w="2858" w:type="dxa"/>
            <w:tcBorders>
              <w:top w:val="nil"/>
              <w:bottom w:val="nil"/>
            </w:tcBorders>
            <w:vAlign w:val="center"/>
          </w:tcPr>
          <w:p w14:paraId="518C1499">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PTES</w:t>
            </w:r>
          </w:p>
        </w:tc>
        <w:tc>
          <w:tcPr>
            <w:tcW w:w="2924" w:type="dxa"/>
            <w:tcBorders>
              <w:top w:val="nil"/>
              <w:bottom w:val="nil"/>
            </w:tcBorders>
            <w:vAlign w:val="center"/>
          </w:tcPr>
          <w:p w14:paraId="137143F5">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mmol</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(2.91 ml)</w:t>
            </w:r>
          </w:p>
        </w:tc>
        <w:tc>
          <w:tcPr>
            <w:tcW w:w="2463" w:type="dxa"/>
            <w:tcBorders>
              <w:top w:val="nil"/>
              <w:bottom w:val="nil"/>
            </w:tcBorders>
            <w:vAlign w:val="center"/>
          </w:tcPr>
          <w:p w14:paraId="5FD75963">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@Propyl</w:t>
            </w:r>
          </w:p>
        </w:tc>
      </w:tr>
      <w:tr w14:paraId="73FC8F2D">
        <w:trPr>
          <w:jc w:val="center"/>
        </w:trPr>
        <w:tc>
          <w:tcPr>
            <w:tcW w:w="2858" w:type="dxa"/>
            <w:tcBorders>
              <w:top w:val="nil"/>
              <w:bottom w:val="single" w:color="auto" w:sz="12" w:space="0"/>
            </w:tcBorders>
            <w:vAlign w:val="center"/>
          </w:tcPr>
          <w:p w14:paraId="462915F8">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OTMS</w:t>
            </w:r>
          </w:p>
        </w:tc>
        <w:tc>
          <w:tcPr>
            <w:tcW w:w="2924" w:type="dxa"/>
            <w:tcBorders>
              <w:top w:val="nil"/>
              <w:bottom w:val="single" w:color="auto" w:sz="12" w:space="0"/>
            </w:tcBorders>
            <w:vAlign w:val="center"/>
          </w:tcPr>
          <w:p w14:paraId="6A21211C">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12.6 mmo</w:t>
            </w:r>
            <w:r>
              <w:rPr>
                <w:rFonts w:hint="eastAsia" w:ascii="Times New Roman" w:hAnsi="Times New Roman" w:eastAsia="宋体" w:cs="Times New Roman"/>
                <w:kern w:val="0"/>
                <w:sz w:val="21"/>
                <w:szCs w:val="20"/>
              </w:rPr>
              <w:t xml:space="preserve"> </w:t>
            </w:r>
            <w:r>
              <w:rPr>
                <w:rFonts w:ascii="Times New Roman" w:hAnsi="Times New Roman" w:eastAsia="宋体" w:cs="Times New Roman"/>
                <w:kern w:val="0"/>
                <w:sz w:val="21"/>
                <w:szCs w:val="20"/>
              </w:rPr>
              <w:t>(3.26 ml)</w:t>
            </w:r>
          </w:p>
        </w:tc>
        <w:tc>
          <w:tcPr>
            <w:tcW w:w="2463" w:type="dxa"/>
            <w:tcBorders>
              <w:top w:val="nil"/>
              <w:bottom w:val="single" w:color="auto" w:sz="12" w:space="0"/>
            </w:tcBorders>
            <w:vAlign w:val="center"/>
          </w:tcPr>
          <w:p w14:paraId="712BE5A6">
            <w:pPr>
              <w:spacing w:before="60" w:after="60"/>
              <w:jc w:val="center"/>
              <w:rPr>
                <w:rFonts w:ascii="Times New Roman" w:hAnsi="Times New Roman" w:eastAsia="宋体" w:cs="Times New Roman"/>
                <w:kern w:val="0"/>
                <w:sz w:val="21"/>
                <w:szCs w:val="20"/>
              </w:rPr>
            </w:pPr>
            <w:r>
              <w:rPr>
                <w:rFonts w:ascii="Times New Roman" w:hAnsi="Times New Roman" w:eastAsia="宋体" w:cs="Times New Roman"/>
                <w:kern w:val="0"/>
                <w:sz w:val="21"/>
                <w:szCs w:val="20"/>
              </w:rPr>
              <w:t>SiO</w:t>
            </w:r>
            <w:r>
              <w:rPr>
                <w:rFonts w:ascii="Times New Roman" w:hAnsi="Times New Roman" w:eastAsia="宋体" w:cs="Times New Roman"/>
                <w:kern w:val="0"/>
                <w:sz w:val="21"/>
                <w:szCs w:val="20"/>
                <w:vertAlign w:val="subscript"/>
              </w:rPr>
              <w:t>2</w:t>
            </w:r>
            <w:r>
              <w:rPr>
                <w:rFonts w:ascii="Times New Roman" w:hAnsi="Times New Roman" w:eastAsia="宋体" w:cs="Times New Roman"/>
                <w:kern w:val="0"/>
                <w:sz w:val="21"/>
                <w:szCs w:val="20"/>
              </w:rPr>
              <w:t>@Octyl</w:t>
            </w:r>
          </w:p>
        </w:tc>
      </w:tr>
    </w:tbl>
    <w:p w14:paraId="57ECDB03">
      <w:pPr>
        <w:jc w:val="center"/>
        <w:rPr>
          <w:rFonts w:ascii="Times New Roman" w:hAnsi="Times New Roman" w:cs="Times New Roman"/>
        </w:rPr>
      </w:pPr>
      <w:bookmarkStart w:id="1" w:name="OLE_LINK11"/>
    </w:p>
    <w:p w14:paraId="0E5202DE">
      <w:pPr>
        <w:rPr>
          <w:rFonts w:ascii="Times New Roman" w:hAnsi="Times New Roman" w:cs="Times New Roman"/>
        </w:rPr>
      </w:pPr>
      <w:r>
        <w:rPr>
          <w:rFonts w:ascii="Times New Roman" w:hAnsi="Times New Roman" w:cs="Times New Roman"/>
        </w:rPr>
        <w:br w:type="page"/>
      </w:r>
    </w:p>
    <w:p w14:paraId="7EF24941">
      <w:pPr>
        <w:jc w:val="center"/>
        <w:rPr>
          <w:rFonts w:ascii="Times New Roman" w:hAnsi="Times New Roman" w:cs="Times New Roman"/>
        </w:rPr>
      </w:pPr>
      <w:r>
        <w:rPr>
          <w:rFonts w:ascii="Times New Roman" w:hAnsi="Times New Roman" w:cs="Times New Roman"/>
        </w:rPr>
        <w:drawing>
          <wp:inline distT="0" distB="0" distL="114300" distR="114300">
            <wp:extent cx="5255895" cy="2186940"/>
            <wp:effectExtent l="0" t="0" r="1905" b="7620"/>
            <wp:docPr id="3202678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67863" name="图片 5"/>
                    <pic:cNvPicPr>
                      <a:picLocks noChangeAspect="1"/>
                    </pic:cNvPicPr>
                  </pic:nvPicPr>
                  <pic:blipFill>
                    <a:blip r:embed="rId4"/>
                    <a:srcRect l="2535" t="5486" r="5407" b="1892"/>
                    <a:stretch>
                      <a:fillRect/>
                    </a:stretch>
                  </pic:blipFill>
                  <pic:spPr>
                    <a:xfrm>
                      <a:off x="0" y="0"/>
                      <a:ext cx="5256000" cy="2187144"/>
                    </a:xfrm>
                    <a:prstGeom prst="rect">
                      <a:avLst/>
                    </a:prstGeom>
                    <a:noFill/>
                    <a:ln>
                      <a:noFill/>
                    </a:ln>
                  </pic:spPr>
                </pic:pic>
              </a:graphicData>
            </a:graphic>
          </wp:inline>
        </w:drawing>
      </w:r>
    </w:p>
    <w:p w14:paraId="1535163E">
      <w:pPr>
        <w:spacing w:before="120" w:after="240"/>
        <w:jc w:val="center"/>
        <w:rPr>
          <w:rFonts w:ascii="Times New Roman" w:hAnsi="Times New Roman" w:eastAsia="宋体" w:cs="Times New Roman"/>
          <w:sz w:val="24"/>
          <w:szCs w:val="24"/>
        </w:rPr>
      </w:pPr>
      <w:r>
        <w:rPr>
          <w:rFonts w:ascii="Times New Roman" w:hAnsi="Times New Roman" w:eastAsia="宋体" w:cs="Times New Roman"/>
          <w:b/>
          <w:bCs/>
          <w:sz w:val="24"/>
          <w:szCs w:val="24"/>
        </w:rPr>
        <w:t>Fig</w:t>
      </w:r>
      <w:r>
        <w:rPr>
          <w:rFonts w:hint="eastAsia" w:ascii="Times New Roman" w:hAnsi="Times New Roman" w:eastAsia="宋体" w:cs="Times New Roman"/>
          <w:b/>
          <w:bCs/>
          <w:sz w:val="24"/>
          <w:szCs w:val="24"/>
        </w:rPr>
        <w:t>.</w:t>
      </w:r>
      <w:r>
        <w:rPr>
          <w:rFonts w:ascii="Times New Roman" w:hAnsi="Times New Roman" w:eastAsia="宋体" w:cs="Times New Roman"/>
          <w:b/>
          <w:bCs/>
          <w:sz w:val="24"/>
          <w:szCs w:val="24"/>
        </w:rPr>
        <w:t xml:space="preserve"> S</w:t>
      </w:r>
      <w:r>
        <w:rPr>
          <w:rFonts w:hint="eastAsia" w:ascii="Times New Roman" w:hAnsi="Times New Roman" w:eastAsia="宋体" w:cs="Times New Roman"/>
          <w:b/>
          <w:bCs/>
          <w:sz w:val="24"/>
          <w:szCs w:val="24"/>
        </w:rPr>
        <w:t>1</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Thermogravimetric curves of PMMA and its SiO</w:t>
      </w:r>
      <w:r>
        <w:rPr>
          <w:rFonts w:hint="eastAsia"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 xml:space="preserve"> filled composite films before and after photooxidative aging: </w:t>
      </w:r>
      <w:r>
        <w:rPr>
          <w:rFonts w:hint="eastAsia" w:ascii="Times New Roman" w:hAnsi="Times New Roman" w:eastAsia="宋体" w:cs="Times New Roman"/>
          <w:b/>
          <w:bCs/>
          <w:sz w:val="24"/>
          <w:szCs w:val="24"/>
        </w:rPr>
        <w:t>(a)</w:t>
      </w:r>
      <w:r>
        <w:rPr>
          <w:rFonts w:hint="eastAsia" w:ascii="Times New Roman" w:hAnsi="Times New Roman" w:eastAsia="宋体" w:cs="Times New Roman"/>
          <w:sz w:val="24"/>
          <w:szCs w:val="24"/>
        </w:rPr>
        <w:t xml:space="preserve"> before photooxidative aging; </w:t>
      </w:r>
      <w:r>
        <w:rPr>
          <w:rFonts w:hint="eastAsia" w:ascii="Times New Roman" w:hAnsi="Times New Roman" w:eastAsia="宋体" w:cs="Times New Roman"/>
          <w:b/>
          <w:bCs/>
          <w:sz w:val="24"/>
          <w:szCs w:val="24"/>
        </w:rPr>
        <w:t>(b)</w:t>
      </w:r>
      <w:r>
        <w:rPr>
          <w:rFonts w:hint="eastAsia" w:ascii="Times New Roman" w:hAnsi="Times New Roman" w:eastAsia="宋体" w:cs="Times New Roman"/>
          <w:sz w:val="24"/>
          <w:szCs w:val="24"/>
        </w:rPr>
        <w:t xml:space="preserve"> after photooxidative aging for 283h</w:t>
      </w:r>
    </w:p>
    <w:p w14:paraId="63A23484">
      <w:pPr>
        <w:widowControl/>
        <w:jc w:val="left"/>
        <w:rPr>
          <w:rFonts w:ascii="Times New Roman" w:hAnsi="Times New Roman" w:eastAsia="宋体" w:cs="Times New Roman"/>
          <w:b/>
          <w:bCs/>
          <w:kern w:val="0"/>
          <w:sz w:val="28"/>
          <w:szCs w:val="28"/>
        </w:rPr>
      </w:pPr>
      <w:r>
        <w:rPr>
          <w:rFonts w:ascii="Times New Roman" w:hAnsi="Times New Roman" w:eastAsia="宋体" w:cs="Times New Roman"/>
          <w:b/>
          <w:bCs/>
          <w:kern w:val="0"/>
          <w:sz w:val="28"/>
          <w:szCs w:val="28"/>
        </w:rPr>
        <w:br w:type="page"/>
      </w:r>
    </w:p>
    <w:p w14:paraId="7B3F3B49">
      <w:pPr>
        <w:jc w:val="center"/>
        <w:rPr>
          <w:rFonts w:ascii="Times New Roman" w:hAnsi="Times New Roman" w:eastAsia="宋体" w:cs="Times New Roman"/>
          <w:b/>
          <w:bCs/>
          <w:kern w:val="0"/>
          <w:sz w:val="28"/>
          <w:szCs w:val="28"/>
        </w:rPr>
      </w:pPr>
      <w:r>
        <w:rPr>
          <w:rFonts w:ascii="Times New Roman" w:hAnsi="Times New Roman" w:cs="Times New Roman"/>
        </w:rPr>
        <w:drawing>
          <wp:inline distT="0" distB="0" distL="114300" distR="114300">
            <wp:extent cx="4247515" cy="7910195"/>
            <wp:effectExtent l="0" t="0" r="4445" b="14605"/>
            <wp:docPr id="15686720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72085" name="图片 9"/>
                    <pic:cNvPicPr>
                      <a:picLocks noChangeAspect="1"/>
                    </pic:cNvPicPr>
                  </pic:nvPicPr>
                  <pic:blipFill>
                    <a:blip r:embed="rId5"/>
                    <a:stretch>
                      <a:fillRect/>
                    </a:stretch>
                  </pic:blipFill>
                  <pic:spPr>
                    <a:xfrm>
                      <a:off x="0" y="0"/>
                      <a:ext cx="4248000" cy="7910675"/>
                    </a:xfrm>
                    <a:prstGeom prst="rect">
                      <a:avLst/>
                    </a:prstGeom>
                    <a:noFill/>
                    <a:ln>
                      <a:noFill/>
                    </a:ln>
                  </pic:spPr>
                </pic:pic>
              </a:graphicData>
            </a:graphic>
          </wp:inline>
        </w:drawing>
      </w:r>
    </w:p>
    <w:p w14:paraId="018B746F">
      <w:pPr>
        <w:widowControl/>
        <w:spacing w:before="120" w:after="240"/>
        <w:jc w:val="center"/>
        <w:rPr>
          <w:rFonts w:ascii="Times New Roman" w:hAnsi="Times New Roman" w:eastAsia="宋体" w:cs="Times New Roman"/>
          <w:sz w:val="24"/>
          <w:szCs w:val="24"/>
        </w:rPr>
      </w:pPr>
      <w:r>
        <w:rPr>
          <w:rFonts w:ascii="Times New Roman" w:hAnsi="Times New Roman" w:eastAsia="宋体" w:cs="Times New Roman"/>
          <w:b/>
          <w:bCs/>
          <w:kern w:val="0"/>
          <w:sz w:val="24"/>
          <w:szCs w:val="24"/>
        </w:rPr>
        <w:t>Fig. S2</w:t>
      </w:r>
      <w:r>
        <w:rPr>
          <w:rFonts w:ascii="Times New Roman" w:hAnsi="Times New Roman" w:eastAsia="宋体" w:cs="Times New Roman"/>
          <w:sz w:val="24"/>
          <w:szCs w:val="24"/>
        </w:rPr>
        <w:t xml:space="preserve"> Surface morphology changes of the film during photooxidative aging</w:t>
      </w:r>
      <w:r>
        <w:rPr>
          <w:rFonts w:hint="eastAsia" w:ascii="Times New Roman" w:hAnsi="Times New Roman" w:eastAsia="宋体" w:cs="Times New Roman"/>
          <w:sz w:val="24"/>
          <w:szCs w:val="24"/>
        </w:rPr>
        <w:t>:</w:t>
      </w:r>
      <w:r>
        <w:rPr>
          <w:rFonts w:hint="eastAsia" w:ascii="Times New Roman" w:hAnsi="Times New Roman" w:eastAsia="宋体" w:cs="Times New Roman"/>
          <w:b/>
          <w:bCs/>
          <w:sz w:val="24"/>
          <w:szCs w:val="24"/>
        </w:rPr>
        <w:t xml:space="preserve"> </w:t>
      </w:r>
      <w:r>
        <w:rPr>
          <w:rFonts w:ascii="Times New Roman" w:hAnsi="Times New Roman" w:eastAsia="宋体" w:cs="Times New Roman"/>
          <w:b/>
          <w:bCs/>
          <w:sz w:val="24"/>
          <w:szCs w:val="24"/>
        </w:rPr>
        <w:t xml:space="preserve">(a) </w:t>
      </w:r>
      <w:r>
        <w:rPr>
          <w:rFonts w:ascii="Times New Roman" w:hAnsi="Times New Roman" w:eastAsia="宋体" w:cs="Times New Roman"/>
          <w:sz w:val="24"/>
          <w:szCs w:val="24"/>
        </w:rPr>
        <w:t>PMMA</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 xml:space="preserve">(b) </w:t>
      </w:r>
      <w:r>
        <w:rPr>
          <w:rFonts w:ascii="Times New Roman" w:hAnsi="Times New Roman" w:eastAsia="宋体" w:cs="Times New Roman"/>
          <w:sz w:val="24"/>
          <w:szCs w:val="24"/>
        </w:rPr>
        <w:t>PMMA/SiO</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vertAlign w:val="subscript"/>
        </w:rPr>
        <w:t xml:space="preserve">; </w:t>
      </w:r>
      <w:r>
        <w:rPr>
          <w:rFonts w:ascii="Times New Roman" w:hAnsi="Times New Roman" w:eastAsia="宋体" w:cs="Times New Roman"/>
          <w:b/>
          <w:bCs/>
          <w:sz w:val="24"/>
          <w:szCs w:val="24"/>
        </w:rPr>
        <w:t>(c)</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@NH</w:t>
      </w:r>
      <w:r>
        <w:rPr>
          <w:rFonts w:ascii="Times New Roman" w:hAnsi="Times New Roman" w:eastAsia="宋体" w:cs="Times New Roman"/>
          <w:sz w:val="24"/>
          <w:szCs w:val="24"/>
          <w:vertAlign w:val="subscript"/>
        </w:rPr>
        <w:t>2</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(d)</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@Ep</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(e)</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@MA</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(f)</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@SH</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(g)</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@Ph</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(h)</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@Propyl</w:t>
      </w:r>
      <w:r>
        <w:rPr>
          <w:rFonts w:hint="eastAsia" w:ascii="Times New Roman" w:hAnsi="Times New Roman" w:eastAsia="宋体" w:cs="Times New Roman"/>
          <w:sz w:val="24"/>
          <w:szCs w:val="24"/>
        </w:rPr>
        <w:t xml:space="preserve">; </w:t>
      </w:r>
      <w:r>
        <w:rPr>
          <w:rFonts w:ascii="Times New Roman" w:hAnsi="Times New Roman" w:eastAsia="宋体" w:cs="Times New Roman"/>
          <w:b/>
          <w:bCs/>
          <w:sz w:val="24"/>
          <w:szCs w:val="24"/>
        </w:rPr>
        <w:t>(i)</w:t>
      </w:r>
      <w:r>
        <w:rPr>
          <w:rFonts w:ascii="Times New Roman" w:hAnsi="Times New Roman" w:eastAsia="宋体" w:cs="Times New Roman"/>
          <w:sz w:val="24"/>
          <w:szCs w:val="24"/>
        </w:rPr>
        <w:t xml:space="preserve"> PMMA/SiO</w:t>
      </w:r>
      <w:r>
        <w:rPr>
          <w:rFonts w:ascii="Times New Roman" w:hAnsi="Times New Roman" w:eastAsia="宋体" w:cs="Times New Roman"/>
          <w:sz w:val="24"/>
          <w:szCs w:val="24"/>
          <w:vertAlign w:val="subscript"/>
        </w:rPr>
        <w:t>2</w:t>
      </w:r>
      <w:r>
        <w:rPr>
          <w:rFonts w:ascii="Times New Roman" w:hAnsi="Times New Roman" w:eastAsia="宋体" w:cs="Times New Roman"/>
          <w:sz w:val="24"/>
          <w:szCs w:val="24"/>
        </w:rPr>
        <w:t>@Octyl</w:t>
      </w:r>
      <w:bookmarkEnd w:id="1"/>
    </w:p>
    <w:p w14:paraId="7C795778">
      <w:pPr>
        <w:pStyle w:val="2"/>
        <w:spacing w:line="360" w:lineRule="auto"/>
        <w:rPr>
          <w:rFonts w:hint="default" w:ascii="Times New Roman" w:hAnsi="Times New Roman"/>
          <w:sz w:val="24"/>
          <w:szCs w:val="24"/>
        </w:rPr>
      </w:pPr>
      <w:r>
        <w:rPr>
          <w:rFonts w:ascii="Times New Roman" w:hAnsi="Times New Roman"/>
          <w:sz w:val="30"/>
          <w:szCs w:val="30"/>
        </w:rPr>
        <w:t>References</w:t>
      </w:r>
    </w:p>
    <w:p w14:paraId="1BD8D8B9">
      <w:pPr>
        <w:pStyle w:val="14"/>
        <w:jc w:val="left"/>
        <w:rPr>
          <w:rFonts w:ascii="Times New Roman" w:hAnsi="Times New Roman" w:cs="Times New Roman"/>
        </w:rPr>
      </w:pPr>
      <w:r>
        <w:fldChar w:fldCharType="begin"/>
      </w:r>
      <w:r>
        <w:instrText xml:space="preserve"> ADDIN ZOTERO_BIBL {"uncited":[],"omitted":[],"custom":[]} CSL_BIBLIOGRAPHY </w:instrText>
      </w:r>
      <w: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Zhuravlev LT (2000) The surface chemistry of amorphous silica. Zhuravlev model. </w:t>
      </w:r>
      <w:r>
        <w:rPr>
          <w:rFonts w:ascii="Times New Roman" w:hAnsi="Times New Roman" w:cs="Times New Roman"/>
          <w:i/>
          <w:iCs/>
        </w:rPr>
        <w:t>Colloids Surf Physicochem Eng Asp</w:t>
      </w:r>
      <w:r>
        <w:rPr>
          <w:rFonts w:ascii="Times New Roman" w:hAnsi="Times New Roman" w:cs="Times New Roman"/>
        </w:rPr>
        <w:t xml:space="preserve"> 173(1):1-38. https://doi.org/10.1016/S0927-7757(00)00556-2</w:t>
      </w:r>
    </w:p>
    <w:p w14:paraId="22DCF4A8">
      <w:pPr>
        <w:pStyle w:val="13"/>
        <w:rPr>
          <w:rFonts w:ascii="Times New Roman" w:hAnsi="Times New Roman" w:eastAsia="宋体" w:cs="Times New Roman"/>
          <w:sz w:val="24"/>
          <w:szCs w:val="24"/>
        </w:rPr>
      </w:pPr>
      <w:r>
        <w:rPr>
          <w:rFonts w:ascii="Times New Roman" w:hAnsi="Times New Roman" w:cs="Times New Roman"/>
        </w:rPr>
        <w:fldChar w:fldCharType="end"/>
      </w:r>
    </w:p>
    <w:p w14:paraId="2B44E1C3">
      <w:pPr>
        <w:widowControl/>
        <w:spacing w:before="120" w:after="240"/>
        <w:rPr>
          <w:rFonts w:ascii="Times New Roman" w:hAnsi="Times New Roman"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A45EE"/>
    <w:multiLevelType w:val="singleLevel"/>
    <w:tmpl w:val="85BA45EE"/>
    <w:lvl w:ilvl="0" w:tentative="0">
      <w:start w:val="1"/>
      <w:numFmt w:val="decimal"/>
      <w:suff w:val="space"/>
      <w:lvlText w:val="%1."/>
      <w:lvlJc w:val="left"/>
    </w:lvl>
  </w:abstractNum>
  <w:abstractNum w:abstractNumId="1">
    <w:nsid w:val="7442607F"/>
    <w:multiLevelType w:val="multilevel"/>
    <w:tmpl w:val="7442607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pStyle w:val="9"/>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iNzlhNjYxNjRlNzY4N2Y4ZjRkMmE5ZDNiNDRkM2QifQ=="/>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s95vdvmprttme2re6v2zs1d02asvd5a2az&quot;&gt;PMMA引用文献&lt;record-ids&gt;&lt;item&gt;53&lt;/item&gt;&lt;/record-ids&gt;&lt;/item&gt;&lt;/Libraries&gt;"/>
    <w:docVar w:name="KSO_WPS_MARK_KEY" w:val="cf8a79ee-f982-49e1-ab3a-02472da451fe"/>
  </w:docVars>
  <w:rsids>
    <w:rsidRoot w:val="3ACD5306"/>
    <w:rsid w:val="004D410C"/>
    <w:rsid w:val="004F0137"/>
    <w:rsid w:val="00726CC2"/>
    <w:rsid w:val="00A43662"/>
    <w:rsid w:val="00A95CDA"/>
    <w:rsid w:val="00C34BE3"/>
    <w:rsid w:val="10741E60"/>
    <w:rsid w:val="274D7031"/>
    <w:rsid w:val="3940780F"/>
    <w:rsid w:val="3ACD5306"/>
    <w:rsid w:val="3CFBB0F7"/>
    <w:rsid w:val="4D542594"/>
    <w:rsid w:val="53FC6325"/>
    <w:rsid w:val="5413666D"/>
    <w:rsid w:val="57566B77"/>
    <w:rsid w:val="64743F67"/>
    <w:rsid w:val="64A4570E"/>
    <w:rsid w:val="651E2634"/>
    <w:rsid w:val="CDAFB2C8"/>
    <w:rsid w:val="F67D186E"/>
    <w:rsid w:val="FFFDF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cs="Arial" w:eastAsiaTheme="minorEastAsia"/>
      <w:kern w:val="2"/>
      <w:sz w:val="22"/>
      <w:szCs w:val="22"/>
      <w:lang w:val="en-US" w:eastAsia="zh-CN" w:bidi="ar-SA"/>
    </w:rPr>
  </w:style>
  <w:style w:type="paragraph" w:styleId="2">
    <w:name w:val="heading 1"/>
    <w:basedOn w:val="1"/>
    <w:next w:val="1"/>
    <w:link w:val="15"/>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qFormat/>
    <w:uiPriority w:val="0"/>
    <w:rPr>
      <w:color w:val="0000FF"/>
      <w:u w:val="single"/>
    </w:rPr>
  </w:style>
  <w:style w:type="paragraph" w:customStyle="1" w:styleId="9">
    <w:name w:val="QMES一级标题"/>
    <w:basedOn w:val="1"/>
    <w:qFormat/>
    <w:uiPriority w:val="0"/>
    <w:pPr>
      <w:numPr>
        <w:ilvl w:val="2"/>
        <w:numId w:val="1"/>
      </w:numPr>
      <w:tabs>
        <w:tab w:val="right" w:leader="dot" w:pos="8306"/>
      </w:tabs>
      <w:spacing w:line="480" w:lineRule="auto"/>
      <w:jc w:val="left"/>
    </w:pPr>
    <w:rPr>
      <w:rFonts w:ascii="Times New Roman" w:hAnsi="Times New Roman" w:cs="Times New Roman"/>
      <w:sz w:val="24"/>
      <w:szCs w:val="24"/>
    </w:rPr>
  </w:style>
  <w:style w:type="paragraph" w:customStyle="1" w:styleId="10">
    <w:name w:val="样式1"/>
    <w:basedOn w:val="1"/>
    <w:qFormat/>
    <w:uiPriority w:val="0"/>
    <w:pPr>
      <w:tabs>
        <w:tab w:val="center" w:pos="4200"/>
        <w:tab w:val="right" w:pos="8400"/>
      </w:tabs>
      <w:spacing w:line="480" w:lineRule="auto"/>
      <w:jc w:val="center"/>
    </w:pPr>
    <w:rPr>
      <w:rFonts w:ascii="Times New Roman" w:hAnsi="Times New Roman"/>
      <w:color w:val="000000"/>
      <w:position w:val="-46"/>
      <w:sz w:val="24"/>
      <w:szCs w:val="24"/>
    </w:rPr>
  </w:style>
  <w:style w:type="table" w:customStyle="1" w:styleId="11">
    <w:name w:val="网格型1"/>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EndNote Bibliography Title"/>
    <w:uiPriority w:val="0"/>
    <w:pPr>
      <w:jc w:val="center"/>
    </w:pPr>
    <w:rPr>
      <w:rFonts w:ascii="Arial" w:hAnsi="Arial" w:cs="Arial" w:eastAsiaTheme="minorEastAsia"/>
      <w:kern w:val="2"/>
      <w:sz w:val="22"/>
      <w:szCs w:val="22"/>
      <w:lang w:val="en-US" w:eastAsia="zh-CN" w:bidi="ar-SA"/>
    </w:rPr>
  </w:style>
  <w:style w:type="paragraph" w:customStyle="1" w:styleId="13">
    <w:name w:val="EndNote Bibliography"/>
    <w:uiPriority w:val="0"/>
    <w:pPr>
      <w:jc w:val="both"/>
    </w:pPr>
    <w:rPr>
      <w:rFonts w:ascii="Arial" w:hAnsi="Arial" w:cs="Arial" w:eastAsiaTheme="minorEastAsia"/>
      <w:kern w:val="2"/>
      <w:sz w:val="22"/>
      <w:szCs w:val="22"/>
      <w:lang w:val="en-US" w:eastAsia="zh-CN" w:bidi="ar-SA"/>
    </w:rPr>
  </w:style>
  <w:style w:type="paragraph" w:customStyle="1" w:styleId="14">
    <w:name w:val="Bibliography"/>
    <w:basedOn w:val="1"/>
    <w:next w:val="1"/>
    <w:unhideWhenUsed/>
    <w:qFormat/>
    <w:uiPriority w:val="37"/>
    <w:pPr>
      <w:tabs>
        <w:tab w:val="left" w:pos="260"/>
        <w:tab w:val="left" w:pos="380"/>
      </w:tabs>
      <w:spacing w:after="240"/>
      <w:ind w:left="264" w:hanging="264"/>
    </w:pPr>
  </w:style>
  <w:style w:type="character" w:customStyle="1" w:styleId="15">
    <w:name w:val="标题 1 字符"/>
    <w:basedOn w:val="6"/>
    <w:link w:val="2"/>
    <w:uiPriority w:val="0"/>
    <w:rPr>
      <w:rFonts w:ascii="宋体" w:hAnsi="宋体"/>
      <w:b/>
      <w:bCs/>
      <w:kern w:val="44"/>
      <w:sz w:val="48"/>
      <w:szCs w:val="4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247</Words>
  <Characters>1569</Characters>
  <Lines>84</Lines>
  <Paragraphs>29</Paragraphs>
  <TotalTime>0</TotalTime>
  <ScaleCrop>false</ScaleCrop>
  <LinksUpToDate>false</LinksUpToDate>
  <CharactersWithSpaces>1778</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2024-09-16T16:49:00Z</dcterms:created>
  <dc:creator>李亮辰</dc:creator>
  <cp:lastModifiedBy>李亮辰(2023316054)</cp:lastModifiedBy>
  <dcterms:modified xsi:type="dcterms:W3CDTF">2025-04-17T16:07:09Z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4F259F35959FE68FADB60068F68AAC85_43</vt:lpwstr>
  </property>
  <property fmtid="{D5CDD505-2E9C-101B-9397-08002B2CF9AE}" pid="4" name="ZOTERO_PREF_1">
    <vt:lpwstr>&lt;data data-version="3" zotero-version="7.0.6"&gt;&lt;session id="2DLkaeZ7"/&gt;&lt;style id="http://www.zotero.org/styles/american-medical-association" hasBibliography="1" bibliographyStyleHasBeenSet="1"/&gt;&lt;prefs&gt;&lt;pref name="fieldType" value="Field"/&gt;&lt;pref name="autom</vt:lpwstr>
  </property>
  <property fmtid="{D5CDD505-2E9C-101B-9397-08002B2CF9AE}" pid="5" name="ZOTERO_PREF_2">
    <vt:lpwstr>aticJournalAbbreviations" value="true"/&gt;&lt;/prefs&gt;&lt;/data&gt;</vt:lpwstr>
  </property>
  <property fmtid="{D5CDD505-2E9C-101B-9397-08002B2CF9AE}" pid="6" name="KSOTemplateDocerSaveRecord">
    <vt:lpwstr>eyJoZGlkIjoiZDI3YTYyM2VhMTBlZjJmYjczNDhjODU5MDE5ZTVkMWMiLCJ1c2VySWQiOiIxNjg3OTMwODE5In0=</vt:lpwstr>
  </property>
</Properties>
</file>