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D287D" w14:textId="77777777" w:rsidR="00B00E85" w:rsidRDefault="001E2C97" w:rsidP="00FC0B1B">
      <w:pPr>
        <w:spacing w:line="360" w:lineRule="auto"/>
        <w:jc w:val="center"/>
        <w:rPr>
          <w:rFonts w:ascii="Arial" w:hAnsi="Arial" w:cs="Arial"/>
          <w:b/>
          <w:bCs/>
          <w:sz w:val="28"/>
          <w:szCs w:val="28"/>
        </w:rPr>
      </w:pPr>
      <w:r w:rsidRPr="00B00E85">
        <w:rPr>
          <w:rFonts w:ascii="Arial" w:hAnsi="Arial" w:cs="Arial"/>
          <w:b/>
          <w:bCs/>
          <w:sz w:val="28"/>
          <w:szCs w:val="28"/>
        </w:rPr>
        <w:t xml:space="preserve">Many diets for many people: planetary health diets </w:t>
      </w:r>
    </w:p>
    <w:p w14:paraId="2F616A0F" w14:textId="3736DDF1" w:rsidR="001E2C97" w:rsidRPr="00B00E85" w:rsidRDefault="001E2C97" w:rsidP="00FC0B1B">
      <w:pPr>
        <w:spacing w:line="360" w:lineRule="auto"/>
        <w:jc w:val="center"/>
        <w:rPr>
          <w:rFonts w:ascii="Arial" w:hAnsi="Arial" w:cs="Arial"/>
          <w:b/>
          <w:bCs/>
          <w:sz w:val="28"/>
          <w:szCs w:val="28"/>
        </w:rPr>
      </w:pPr>
      <w:r w:rsidRPr="00B00E85">
        <w:rPr>
          <w:rFonts w:ascii="Arial" w:hAnsi="Arial" w:cs="Arial"/>
          <w:b/>
          <w:bCs/>
          <w:sz w:val="28"/>
          <w:szCs w:val="28"/>
        </w:rPr>
        <w:t>and their health and environmental impacts at global, regional, national, and demographic levels</w:t>
      </w:r>
    </w:p>
    <w:p w14:paraId="0C869B26" w14:textId="77777777" w:rsidR="001E2C97" w:rsidRPr="00B00E85" w:rsidRDefault="001E2C97" w:rsidP="00FC0B1B">
      <w:pPr>
        <w:spacing w:line="360" w:lineRule="auto"/>
        <w:jc w:val="center"/>
        <w:rPr>
          <w:rFonts w:ascii="Arial" w:hAnsi="Arial" w:cs="Arial"/>
          <w:b/>
          <w:bCs/>
          <w:sz w:val="28"/>
          <w:szCs w:val="28"/>
        </w:rPr>
      </w:pPr>
    </w:p>
    <w:p w14:paraId="06BAAD19" w14:textId="4CDB94CF" w:rsidR="001E2C97" w:rsidRPr="00B00E85" w:rsidRDefault="001E2C97" w:rsidP="00FC0B1B">
      <w:pPr>
        <w:spacing w:line="360" w:lineRule="auto"/>
        <w:jc w:val="center"/>
        <w:rPr>
          <w:rFonts w:ascii="Arial" w:hAnsi="Arial" w:cs="Arial"/>
          <w:b/>
          <w:bCs/>
          <w:sz w:val="28"/>
          <w:szCs w:val="28"/>
        </w:rPr>
      </w:pPr>
      <w:r w:rsidRPr="00B00E85">
        <w:rPr>
          <w:rFonts w:ascii="Arial" w:hAnsi="Arial" w:cs="Arial"/>
          <w:b/>
          <w:bCs/>
          <w:sz w:val="28"/>
          <w:szCs w:val="28"/>
        </w:rPr>
        <w:t>Supplementary Information</w:t>
      </w:r>
    </w:p>
    <w:p w14:paraId="5657F0B8" w14:textId="77777777" w:rsidR="001E2C97" w:rsidRPr="009664B1" w:rsidRDefault="001E2C97" w:rsidP="00FC0B1B">
      <w:pPr>
        <w:spacing w:line="360" w:lineRule="auto"/>
        <w:rPr>
          <w:rFonts w:ascii="Arial" w:hAnsi="Arial" w:cs="Arial"/>
          <w:b/>
          <w:bCs/>
          <w:sz w:val="22"/>
          <w:szCs w:val="22"/>
        </w:rPr>
      </w:pPr>
    </w:p>
    <w:p w14:paraId="1281F6ED" w14:textId="77777777" w:rsidR="001E2C97" w:rsidRPr="009664B1" w:rsidRDefault="001E2C97" w:rsidP="00FC0B1B">
      <w:pPr>
        <w:spacing w:line="360" w:lineRule="auto"/>
        <w:rPr>
          <w:rFonts w:ascii="Arial" w:hAnsi="Arial" w:cs="Arial"/>
          <w:b/>
          <w:bCs/>
          <w:sz w:val="22"/>
          <w:szCs w:val="22"/>
        </w:rPr>
      </w:pPr>
    </w:p>
    <w:sdt>
      <w:sdtPr>
        <w:rPr>
          <w:rFonts w:ascii="Arial" w:hAnsi="Arial" w:cs="Arial"/>
          <w:color w:val="000000" w:themeColor="text1"/>
          <w:sz w:val="22"/>
          <w:szCs w:val="22"/>
        </w:rPr>
        <w:id w:val="772823547"/>
        <w:docPartObj>
          <w:docPartGallery w:val="Table of Contents"/>
          <w:docPartUnique/>
        </w:docPartObj>
      </w:sdtPr>
      <w:sdtEndPr>
        <w:rPr>
          <w:rFonts w:asciiTheme="minorHAnsi" w:eastAsiaTheme="minorHAnsi" w:hAnsiTheme="minorHAnsi" w:cstheme="minorBidi"/>
          <w:b w:val="0"/>
          <w:bCs w:val="0"/>
          <w:noProof/>
          <w:color w:val="auto"/>
          <w:kern w:val="2"/>
          <w:sz w:val="24"/>
          <w:szCs w:val="24"/>
          <w:lang w:val="en-GB"/>
          <w14:ligatures w14:val="standardContextual"/>
        </w:rPr>
      </w:sdtEndPr>
      <w:sdtContent>
        <w:p w14:paraId="6A3F20C4" w14:textId="61E64878" w:rsidR="00ED316C" w:rsidRPr="00CB2ACA" w:rsidRDefault="00ED316C" w:rsidP="00FC0B1B">
          <w:pPr>
            <w:pStyle w:val="TOCHeading"/>
            <w:spacing w:line="360" w:lineRule="auto"/>
            <w:rPr>
              <w:rFonts w:ascii="Arial" w:hAnsi="Arial" w:cs="Arial"/>
              <w:color w:val="000000" w:themeColor="text1"/>
              <w:sz w:val="22"/>
              <w:szCs w:val="22"/>
            </w:rPr>
          </w:pPr>
          <w:r w:rsidRPr="00CB2ACA">
            <w:rPr>
              <w:rFonts w:ascii="Arial" w:hAnsi="Arial" w:cs="Arial"/>
              <w:color w:val="000000" w:themeColor="text1"/>
              <w:sz w:val="22"/>
              <w:szCs w:val="22"/>
            </w:rPr>
            <w:t>Table of Contents</w:t>
          </w:r>
        </w:p>
        <w:p w14:paraId="7C217E58" w14:textId="27E752AE" w:rsidR="00CB2ACA" w:rsidRPr="00CB2ACA" w:rsidRDefault="00ED316C" w:rsidP="00FC0B1B">
          <w:pPr>
            <w:pStyle w:val="TOC1"/>
            <w:spacing w:line="360" w:lineRule="auto"/>
            <w:rPr>
              <w:rFonts w:ascii="Arial" w:eastAsiaTheme="minorEastAsia" w:hAnsi="Arial" w:cs="Arial"/>
              <w:b w:val="0"/>
              <w:bCs w:val="0"/>
              <w:i w:val="0"/>
              <w:iCs w:val="0"/>
              <w:noProof/>
              <w:color w:val="000000" w:themeColor="text1"/>
              <w:sz w:val="22"/>
              <w:szCs w:val="22"/>
              <w:lang w:eastAsia="en-GB"/>
            </w:rPr>
          </w:pPr>
          <w:r w:rsidRPr="00CB2ACA">
            <w:rPr>
              <w:rFonts w:ascii="Arial" w:hAnsi="Arial" w:cs="Arial"/>
              <w:b w:val="0"/>
              <w:bCs w:val="0"/>
              <w:i w:val="0"/>
              <w:iCs w:val="0"/>
              <w:color w:val="000000" w:themeColor="text1"/>
              <w:sz w:val="22"/>
              <w:szCs w:val="22"/>
            </w:rPr>
            <w:fldChar w:fldCharType="begin"/>
          </w:r>
          <w:r w:rsidRPr="00CB2ACA">
            <w:rPr>
              <w:rFonts w:ascii="Arial" w:hAnsi="Arial" w:cs="Arial"/>
              <w:b w:val="0"/>
              <w:bCs w:val="0"/>
              <w:i w:val="0"/>
              <w:iCs w:val="0"/>
              <w:color w:val="000000" w:themeColor="text1"/>
              <w:sz w:val="22"/>
              <w:szCs w:val="22"/>
            </w:rPr>
            <w:instrText xml:space="preserve"> TOC \o "1-3" \h \z \u </w:instrText>
          </w:r>
          <w:r w:rsidRPr="00CB2ACA">
            <w:rPr>
              <w:rFonts w:ascii="Arial" w:hAnsi="Arial" w:cs="Arial"/>
              <w:b w:val="0"/>
              <w:bCs w:val="0"/>
              <w:i w:val="0"/>
              <w:iCs w:val="0"/>
              <w:color w:val="000000" w:themeColor="text1"/>
              <w:sz w:val="22"/>
              <w:szCs w:val="22"/>
            </w:rPr>
            <w:fldChar w:fldCharType="separate"/>
          </w:r>
          <w:hyperlink w:anchor="_Toc195730119" w:history="1">
            <w:r w:rsidR="00CB2ACA" w:rsidRPr="00CB2ACA">
              <w:rPr>
                <w:rStyle w:val="Hyperlink"/>
                <w:rFonts w:ascii="Arial" w:hAnsi="Arial" w:cs="Arial"/>
                <w:b w:val="0"/>
                <w:bCs w:val="0"/>
                <w:i w:val="0"/>
                <w:iCs w:val="0"/>
                <w:noProof/>
                <w:color w:val="000000" w:themeColor="text1"/>
                <w:sz w:val="22"/>
                <w:szCs w:val="22"/>
              </w:rPr>
              <w:t>S1</w:t>
            </w:r>
            <w:r w:rsidR="00CB2ACA" w:rsidRPr="00CB2ACA">
              <w:rPr>
                <w:rFonts w:ascii="Arial" w:eastAsiaTheme="minorEastAsia" w:hAnsi="Arial" w:cs="Arial"/>
                <w:b w:val="0"/>
                <w:bCs w:val="0"/>
                <w:i w:val="0"/>
                <w:iCs w:val="0"/>
                <w:noProof/>
                <w:color w:val="000000" w:themeColor="text1"/>
                <w:sz w:val="22"/>
                <w:szCs w:val="22"/>
                <w:lang w:eastAsia="en-GB"/>
              </w:rPr>
              <w:tab/>
            </w:r>
            <w:r w:rsidR="00CB2ACA" w:rsidRPr="00CB2ACA">
              <w:rPr>
                <w:rStyle w:val="Hyperlink"/>
                <w:rFonts w:ascii="Arial" w:hAnsi="Arial" w:cs="Arial"/>
                <w:b w:val="0"/>
                <w:bCs w:val="0"/>
                <w:i w:val="0"/>
                <w:iCs w:val="0"/>
                <w:noProof/>
                <w:color w:val="000000" w:themeColor="text1"/>
                <w:sz w:val="22"/>
                <w:szCs w:val="22"/>
              </w:rPr>
              <w:t>Estimates of dietary intake</w:t>
            </w:r>
            <w:r w:rsidR="00CB2ACA" w:rsidRPr="00CB2ACA">
              <w:rPr>
                <w:rFonts w:ascii="Arial" w:hAnsi="Arial" w:cs="Arial"/>
                <w:b w:val="0"/>
                <w:bCs w:val="0"/>
                <w:i w:val="0"/>
                <w:iCs w:val="0"/>
                <w:noProof/>
                <w:webHidden/>
                <w:color w:val="000000" w:themeColor="text1"/>
                <w:sz w:val="22"/>
                <w:szCs w:val="22"/>
              </w:rPr>
              <w:tab/>
            </w:r>
            <w:r w:rsidR="00CB2ACA" w:rsidRPr="00CB2ACA">
              <w:rPr>
                <w:rFonts w:ascii="Arial" w:hAnsi="Arial" w:cs="Arial"/>
                <w:b w:val="0"/>
                <w:bCs w:val="0"/>
                <w:i w:val="0"/>
                <w:iCs w:val="0"/>
                <w:noProof/>
                <w:webHidden/>
                <w:color w:val="000000" w:themeColor="text1"/>
                <w:sz w:val="22"/>
                <w:szCs w:val="22"/>
              </w:rPr>
              <w:fldChar w:fldCharType="begin"/>
            </w:r>
            <w:r w:rsidR="00CB2ACA" w:rsidRPr="00CB2ACA">
              <w:rPr>
                <w:rFonts w:ascii="Arial" w:hAnsi="Arial" w:cs="Arial"/>
                <w:b w:val="0"/>
                <w:bCs w:val="0"/>
                <w:i w:val="0"/>
                <w:iCs w:val="0"/>
                <w:noProof/>
                <w:webHidden/>
                <w:color w:val="000000" w:themeColor="text1"/>
                <w:sz w:val="22"/>
                <w:szCs w:val="22"/>
              </w:rPr>
              <w:instrText xml:space="preserve"> PAGEREF _Toc195730119 \h </w:instrText>
            </w:r>
            <w:r w:rsidR="00CB2ACA" w:rsidRPr="00CB2ACA">
              <w:rPr>
                <w:rFonts w:ascii="Arial" w:hAnsi="Arial" w:cs="Arial"/>
                <w:b w:val="0"/>
                <w:bCs w:val="0"/>
                <w:i w:val="0"/>
                <w:iCs w:val="0"/>
                <w:noProof/>
                <w:webHidden/>
                <w:color w:val="000000" w:themeColor="text1"/>
                <w:sz w:val="22"/>
                <w:szCs w:val="22"/>
              </w:rPr>
            </w:r>
            <w:r w:rsidR="00CB2ACA" w:rsidRPr="00CB2ACA">
              <w:rPr>
                <w:rFonts w:ascii="Arial" w:hAnsi="Arial" w:cs="Arial"/>
                <w:b w:val="0"/>
                <w:bCs w:val="0"/>
                <w:i w:val="0"/>
                <w:iCs w:val="0"/>
                <w:noProof/>
                <w:webHidden/>
                <w:color w:val="000000" w:themeColor="text1"/>
                <w:sz w:val="22"/>
                <w:szCs w:val="22"/>
              </w:rPr>
              <w:fldChar w:fldCharType="separate"/>
            </w:r>
            <w:r w:rsidR="00CB2ACA" w:rsidRPr="00CB2ACA">
              <w:rPr>
                <w:rFonts w:ascii="Arial" w:hAnsi="Arial" w:cs="Arial"/>
                <w:b w:val="0"/>
                <w:bCs w:val="0"/>
                <w:i w:val="0"/>
                <w:iCs w:val="0"/>
                <w:noProof/>
                <w:webHidden/>
                <w:color w:val="000000" w:themeColor="text1"/>
                <w:sz w:val="22"/>
                <w:szCs w:val="22"/>
              </w:rPr>
              <w:t>2</w:t>
            </w:r>
            <w:r w:rsidR="00CB2ACA" w:rsidRPr="00CB2ACA">
              <w:rPr>
                <w:rFonts w:ascii="Arial" w:hAnsi="Arial" w:cs="Arial"/>
                <w:b w:val="0"/>
                <w:bCs w:val="0"/>
                <w:i w:val="0"/>
                <w:iCs w:val="0"/>
                <w:noProof/>
                <w:webHidden/>
                <w:color w:val="000000" w:themeColor="text1"/>
                <w:sz w:val="22"/>
                <w:szCs w:val="22"/>
              </w:rPr>
              <w:fldChar w:fldCharType="end"/>
            </w:r>
          </w:hyperlink>
        </w:p>
        <w:p w14:paraId="2BF8F293" w14:textId="7E78D5D2" w:rsidR="00CB2ACA" w:rsidRPr="00CB2ACA" w:rsidRDefault="00CB2ACA" w:rsidP="00FC0B1B">
          <w:pPr>
            <w:pStyle w:val="TOC1"/>
            <w:spacing w:line="360" w:lineRule="auto"/>
            <w:rPr>
              <w:rFonts w:ascii="Arial" w:eastAsiaTheme="minorEastAsia" w:hAnsi="Arial" w:cs="Arial"/>
              <w:b w:val="0"/>
              <w:bCs w:val="0"/>
              <w:i w:val="0"/>
              <w:iCs w:val="0"/>
              <w:noProof/>
              <w:color w:val="000000" w:themeColor="text1"/>
              <w:sz w:val="22"/>
              <w:szCs w:val="22"/>
              <w:lang w:eastAsia="en-GB"/>
            </w:rPr>
          </w:pPr>
          <w:hyperlink w:anchor="_Toc195730120" w:history="1">
            <w:r w:rsidRPr="00CB2ACA">
              <w:rPr>
                <w:rStyle w:val="Hyperlink"/>
                <w:rFonts w:ascii="Arial" w:hAnsi="Arial" w:cs="Arial"/>
                <w:b w:val="0"/>
                <w:bCs w:val="0"/>
                <w:i w:val="0"/>
                <w:iCs w:val="0"/>
                <w:noProof/>
                <w:color w:val="000000" w:themeColor="text1"/>
                <w:sz w:val="22"/>
                <w:szCs w:val="22"/>
              </w:rPr>
              <w:t>S2</w:t>
            </w:r>
            <w:r w:rsidRPr="00CB2ACA">
              <w:rPr>
                <w:rFonts w:ascii="Arial" w:eastAsiaTheme="minorEastAsia" w:hAnsi="Arial" w:cs="Arial"/>
                <w:b w:val="0"/>
                <w:bCs w:val="0"/>
                <w:i w:val="0"/>
                <w:iCs w:val="0"/>
                <w:noProof/>
                <w:color w:val="000000" w:themeColor="text1"/>
                <w:sz w:val="22"/>
                <w:szCs w:val="22"/>
                <w:lang w:eastAsia="en-GB"/>
              </w:rPr>
              <w:tab/>
            </w:r>
            <w:r w:rsidRPr="00CB2ACA">
              <w:rPr>
                <w:rStyle w:val="Hyperlink"/>
                <w:rFonts w:ascii="Arial" w:hAnsi="Arial" w:cs="Arial"/>
                <w:b w:val="0"/>
                <w:bCs w:val="0"/>
                <w:i w:val="0"/>
                <w:iCs w:val="0"/>
                <w:noProof/>
                <w:color w:val="000000" w:themeColor="text1"/>
                <w:sz w:val="22"/>
                <w:szCs w:val="22"/>
              </w:rPr>
              <w:t>Nutritional assessment</w:t>
            </w:r>
            <w:r w:rsidRPr="00CB2ACA">
              <w:rPr>
                <w:rFonts w:ascii="Arial" w:hAnsi="Arial" w:cs="Arial"/>
                <w:b w:val="0"/>
                <w:bCs w:val="0"/>
                <w:i w:val="0"/>
                <w:iCs w:val="0"/>
                <w:noProof/>
                <w:webHidden/>
                <w:color w:val="000000" w:themeColor="text1"/>
                <w:sz w:val="22"/>
                <w:szCs w:val="22"/>
              </w:rPr>
              <w:tab/>
            </w:r>
            <w:r w:rsidRPr="00CB2ACA">
              <w:rPr>
                <w:rFonts w:ascii="Arial" w:hAnsi="Arial" w:cs="Arial"/>
                <w:b w:val="0"/>
                <w:bCs w:val="0"/>
                <w:i w:val="0"/>
                <w:iCs w:val="0"/>
                <w:noProof/>
                <w:webHidden/>
                <w:color w:val="000000" w:themeColor="text1"/>
                <w:sz w:val="22"/>
                <w:szCs w:val="22"/>
              </w:rPr>
              <w:fldChar w:fldCharType="begin"/>
            </w:r>
            <w:r w:rsidRPr="00CB2ACA">
              <w:rPr>
                <w:rFonts w:ascii="Arial" w:hAnsi="Arial" w:cs="Arial"/>
                <w:b w:val="0"/>
                <w:bCs w:val="0"/>
                <w:i w:val="0"/>
                <w:iCs w:val="0"/>
                <w:noProof/>
                <w:webHidden/>
                <w:color w:val="000000" w:themeColor="text1"/>
                <w:sz w:val="22"/>
                <w:szCs w:val="22"/>
              </w:rPr>
              <w:instrText xml:space="preserve"> PAGEREF _Toc195730120 \h </w:instrText>
            </w:r>
            <w:r w:rsidRPr="00CB2ACA">
              <w:rPr>
                <w:rFonts w:ascii="Arial" w:hAnsi="Arial" w:cs="Arial"/>
                <w:b w:val="0"/>
                <w:bCs w:val="0"/>
                <w:i w:val="0"/>
                <w:iCs w:val="0"/>
                <w:noProof/>
                <w:webHidden/>
                <w:color w:val="000000" w:themeColor="text1"/>
                <w:sz w:val="22"/>
                <w:szCs w:val="22"/>
              </w:rPr>
            </w:r>
            <w:r w:rsidRPr="00CB2ACA">
              <w:rPr>
                <w:rFonts w:ascii="Arial" w:hAnsi="Arial" w:cs="Arial"/>
                <w:b w:val="0"/>
                <w:bCs w:val="0"/>
                <w:i w:val="0"/>
                <w:iCs w:val="0"/>
                <w:noProof/>
                <w:webHidden/>
                <w:color w:val="000000" w:themeColor="text1"/>
                <w:sz w:val="22"/>
                <w:szCs w:val="22"/>
              </w:rPr>
              <w:fldChar w:fldCharType="separate"/>
            </w:r>
            <w:r w:rsidRPr="00CB2ACA">
              <w:rPr>
                <w:rFonts w:ascii="Arial" w:hAnsi="Arial" w:cs="Arial"/>
                <w:b w:val="0"/>
                <w:bCs w:val="0"/>
                <w:i w:val="0"/>
                <w:iCs w:val="0"/>
                <w:noProof/>
                <w:webHidden/>
                <w:color w:val="000000" w:themeColor="text1"/>
                <w:sz w:val="22"/>
                <w:szCs w:val="22"/>
              </w:rPr>
              <w:t>4</w:t>
            </w:r>
            <w:r w:rsidRPr="00CB2ACA">
              <w:rPr>
                <w:rFonts w:ascii="Arial" w:hAnsi="Arial" w:cs="Arial"/>
                <w:b w:val="0"/>
                <w:bCs w:val="0"/>
                <w:i w:val="0"/>
                <w:iCs w:val="0"/>
                <w:noProof/>
                <w:webHidden/>
                <w:color w:val="000000" w:themeColor="text1"/>
                <w:sz w:val="22"/>
                <w:szCs w:val="22"/>
              </w:rPr>
              <w:fldChar w:fldCharType="end"/>
            </w:r>
          </w:hyperlink>
        </w:p>
        <w:p w14:paraId="087ECDF1" w14:textId="21719B94" w:rsidR="00CB2ACA" w:rsidRPr="00CB2ACA" w:rsidRDefault="00CB2ACA" w:rsidP="00FC0B1B">
          <w:pPr>
            <w:pStyle w:val="TOC1"/>
            <w:spacing w:line="360" w:lineRule="auto"/>
            <w:rPr>
              <w:rFonts w:ascii="Arial" w:eastAsiaTheme="minorEastAsia" w:hAnsi="Arial" w:cs="Arial"/>
              <w:b w:val="0"/>
              <w:bCs w:val="0"/>
              <w:i w:val="0"/>
              <w:iCs w:val="0"/>
              <w:noProof/>
              <w:color w:val="000000" w:themeColor="text1"/>
              <w:sz w:val="22"/>
              <w:szCs w:val="22"/>
              <w:lang w:eastAsia="en-GB"/>
            </w:rPr>
          </w:pPr>
          <w:hyperlink w:anchor="_Toc195730121" w:history="1">
            <w:r w:rsidRPr="00CB2ACA">
              <w:rPr>
                <w:rStyle w:val="Hyperlink"/>
                <w:rFonts w:ascii="Arial" w:hAnsi="Arial" w:cs="Arial"/>
                <w:b w:val="0"/>
                <w:bCs w:val="0"/>
                <w:i w:val="0"/>
                <w:iCs w:val="0"/>
                <w:noProof/>
                <w:color w:val="000000" w:themeColor="text1"/>
                <w:sz w:val="22"/>
                <w:szCs w:val="22"/>
              </w:rPr>
              <w:t>S3</w:t>
            </w:r>
            <w:r w:rsidRPr="00CB2ACA">
              <w:rPr>
                <w:rFonts w:ascii="Arial" w:eastAsiaTheme="minorEastAsia" w:hAnsi="Arial" w:cs="Arial"/>
                <w:b w:val="0"/>
                <w:bCs w:val="0"/>
                <w:i w:val="0"/>
                <w:iCs w:val="0"/>
                <w:noProof/>
                <w:color w:val="000000" w:themeColor="text1"/>
                <w:sz w:val="22"/>
                <w:szCs w:val="22"/>
                <w:lang w:eastAsia="en-GB"/>
              </w:rPr>
              <w:tab/>
            </w:r>
            <w:r w:rsidRPr="00CB2ACA">
              <w:rPr>
                <w:rStyle w:val="Hyperlink"/>
                <w:rFonts w:ascii="Arial" w:hAnsi="Arial" w:cs="Arial"/>
                <w:b w:val="0"/>
                <w:bCs w:val="0"/>
                <w:i w:val="0"/>
                <w:iCs w:val="0"/>
                <w:noProof/>
                <w:color w:val="000000" w:themeColor="text1"/>
                <w:sz w:val="22"/>
                <w:szCs w:val="22"/>
              </w:rPr>
              <w:t>Comparative risk assessment</w:t>
            </w:r>
            <w:r w:rsidRPr="00CB2ACA">
              <w:rPr>
                <w:rFonts w:ascii="Arial" w:hAnsi="Arial" w:cs="Arial"/>
                <w:b w:val="0"/>
                <w:bCs w:val="0"/>
                <w:i w:val="0"/>
                <w:iCs w:val="0"/>
                <w:noProof/>
                <w:webHidden/>
                <w:color w:val="000000" w:themeColor="text1"/>
                <w:sz w:val="22"/>
                <w:szCs w:val="22"/>
              </w:rPr>
              <w:tab/>
            </w:r>
            <w:r w:rsidRPr="00CB2ACA">
              <w:rPr>
                <w:rFonts w:ascii="Arial" w:hAnsi="Arial" w:cs="Arial"/>
                <w:b w:val="0"/>
                <w:bCs w:val="0"/>
                <w:i w:val="0"/>
                <w:iCs w:val="0"/>
                <w:noProof/>
                <w:webHidden/>
                <w:color w:val="000000" w:themeColor="text1"/>
                <w:sz w:val="22"/>
                <w:szCs w:val="22"/>
              </w:rPr>
              <w:fldChar w:fldCharType="begin"/>
            </w:r>
            <w:r w:rsidRPr="00CB2ACA">
              <w:rPr>
                <w:rFonts w:ascii="Arial" w:hAnsi="Arial" w:cs="Arial"/>
                <w:b w:val="0"/>
                <w:bCs w:val="0"/>
                <w:i w:val="0"/>
                <w:iCs w:val="0"/>
                <w:noProof/>
                <w:webHidden/>
                <w:color w:val="000000" w:themeColor="text1"/>
                <w:sz w:val="22"/>
                <w:szCs w:val="22"/>
              </w:rPr>
              <w:instrText xml:space="preserve"> PAGEREF _Toc195730121 \h </w:instrText>
            </w:r>
            <w:r w:rsidRPr="00CB2ACA">
              <w:rPr>
                <w:rFonts w:ascii="Arial" w:hAnsi="Arial" w:cs="Arial"/>
                <w:b w:val="0"/>
                <w:bCs w:val="0"/>
                <w:i w:val="0"/>
                <w:iCs w:val="0"/>
                <w:noProof/>
                <w:webHidden/>
                <w:color w:val="000000" w:themeColor="text1"/>
                <w:sz w:val="22"/>
                <w:szCs w:val="22"/>
              </w:rPr>
            </w:r>
            <w:r w:rsidRPr="00CB2ACA">
              <w:rPr>
                <w:rFonts w:ascii="Arial" w:hAnsi="Arial" w:cs="Arial"/>
                <w:b w:val="0"/>
                <w:bCs w:val="0"/>
                <w:i w:val="0"/>
                <w:iCs w:val="0"/>
                <w:noProof/>
                <w:webHidden/>
                <w:color w:val="000000" w:themeColor="text1"/>
                <w:sz w:val="22"/>
                <w:szCs w:val="22"/>
              </w:rPr>
              <w:fldChar w:fldCharType="separate"/>
            </w:r>
            <w:r w:rsidRPr="00CB2ACA">
              <w:rPr>
                <w:rFonts w:ascii="Arial" w:hAnsi="Arial" w:cs="Arial"/>
                <w:b w:val="0"/>
                <w:bCs w:val="0"/>
                <w:i w:val="0"/>
                <w:iCs w:val="0"/>
                <w:noProof/>
                <w:webHidden/>
                <w:color w:val="000000" w:themeColor="text1"/>
                <w:sz w:val="22"/>
                <w:szCs w:val="22"/>
              </w:rPr>
              <w:t>6</w:t>
            </w:r>
            <w:r w:rsidRPr="00CB2ACA">
              <w:rPr>
                <w:rFonts w:ascii="Arial" w:hAnsi="Arial" w:cs="Arial"/>
                <w:b w:val="0"/>
                <w:bCs w:val="0"/>
                <w:i w:val="0"/>
                <w:iCs w:val="0"/>
                <w:noProof/>
                <w:webHidden/>
                <w:color w:val="000000" w:themeColor="text1"/>
                <w:sz w:val="22"/>
                <w:szCs w:val="22"/>
              </w:rPr>
              <w:fldChar w:fldCharType="end"/>
            </w:r>
          </w:hyperlink>
        </w:p>
        <w:p w14:paraId="03AF568B" w14:textId="56C8DFBE" w:rsidR="00CB2ACA" w:rsidRPr="00CB2ACA" w:rsidRDefault="00CB2ACA" w:rsidP="00FC0B1B">
          <w:pPr>
            <w:pStyle w:val="TOC1"/>
            <w:spacing w:line="360" w:lineRule="auto"/>
            <w:rPr>
              <w:rFonts w:ascii="Arial" w:eastAsiaTheme="minorEastAsia" w:hAnsi="Arial" w:cs="Arial"/>
              <w:b w:val="0"/>
              <w:bCs w:val="0"/>
              <w:i w:val="0"/>
              <w:iCs w:val="0"/>
              <w:noProof/>
              <w:color w:val="000000" w:themeColor="text1"/>
              <w:sz w:val="22"/>
              <w:szCs w:val="22"/>
              <w:lang w:eastAsia="en-GB"/>
            </w:rPr>
          </w:pPr>
          <w:hyperlink w:anchor="_Toc195730122" w:history="1">
            <w:r w:rsidRPr="00CB2ACA">
              <w:rPr>
                <w:rStyle w:val="Hyperlink"/>
                <w:rFonts w:ascii="Arial" w:hAnsi="Arial" w:cs="Arial"/>
                <w:b w:val="0"/>
                <w:bCs w:val="0"/>
                <w:i w:val="0"/>
                <w:iCs w:val="0"/>
                <w:noProof/>
                <w:color w:val="000000" w:themeColor="text1"/>
                <w:sz w:val="22"/>
                <w:szCs w:val="22"/>
              </w:rPr>
              <w:t>S4</w:t>
            </w:r>
            <w:r w:rsidRPr="00CB2ACA">
              <w:rPr>
                <w:rFonts w:ascii="Arial" w:eastAsiaTheme="minorEastAsia" w:hAnsi="Arial" w:cs="Arial"/>
                <w:b w:val="0"/>
                <w:bCs w:val="0"/>
                <w:i w:val="0"/>
                <w:iCs w:val="0"/>
                <w:noProof/>
                <w:color w:val="000000" w:themeColor="text1"/>
                <w:sz w:val="22"/>
                <w:szCs w:val="22"/>
                <w:lang w:eastAsia="en-GB"/>
              </w:rPr>
              <w:tab/>
            </w:r>
            <w:r w:rsidRPr="00CB2ACA">
              <w:rPr>
                <w:rStyle w:val="Hyperlink"/>
                <w:rFonts w:ascii="Arial" w:hAnsi="Arial" w:cs="Arial"/>
                <w:b w:val="0"/>
                <w:bCs w:val="0"/>
                <w:i w:val="0"/>
                <w:iCs w:val="0"/>
                <w:noProof/>
                <w:color w:val="000000" w:themeColor="text1"/>
                <w:sz w:val="22"/>
                <w:szCs w:val="22"/>
              </w:rPr>
              <w:t>Environmental assessment</w:t>
            </w:r>
            <w:r w:rsidRPr="00CB2ACA">
              <w:rPr>
                <w:rFonts w:ascii="Arial" w:hAnsi="Arial" w:cs="Arial"/>
                <w:b w:val="0"/>
                <w:bCs w:val="0"/>
                <w:i w:val="0"/>
                <w:iCs w:val="0"/>
                <w:noProof/>
                <w:webHidden/>
                <w:color w:val="000000" w:themeColor="text1"/>
                <w:sz w:val="22"/>
                <w:szCs w:val="22"/>
              </w:rPr>
              <w:tab/>
            </w:r>
            <w:r w:rsidRPr="00CB2ACA">
              <w:rPr>
                <w:rFonts w:ascii="Arial" w:hAnsi="Arial" w:cs="Arial"/>
                <w:b w:val="0"/>
                <w:bCs w:val="0"/>
                <w:i w:val="0"/>
                <w:iCs w:val="0"/>
                <w:noProof/>
                <w:webHidden/>
                <w:color w:val="000000" w:themeColor="text1"/>
                <w:sz w:val="22"/>
                <w:szCs w:val="22"/>
              </w:rPr>
              <w:fldChar w:fldCharType="begin"/>
            </w:r>
            <w:r w:rsidRPr="00CB2ACA">
              <w:rPr>
                <w:rFonts w:ascii="Arial" w:hAnsi="Arial" w:cs="Arial"/>
                <w:b w:val="0"/>
                <w:bCs w:val="0"/>
                <w:i w:val="0"/>
                <w:iCs w:val="0"/>
                <w:noProof/>
                <w:webHidden/>
                <w:color w:val="000000" w:themeColor="text1"/>
                <w:sz w:val="22"/>
                <w:szCs w:val="22"/>
              </w:rPr>
              <w:instrText xml:space="preserve"> PAGEREF _Toc195730122 \h </w:instrText>
            </w:r>
            <w:r w:rsidRPr="00CB2ACA">
              <w:rPr>
                <w:rFonts w:ascii="Arial" w:hAnsi="Arial" w:cs="Arial"/>
                <w:b w:val="0"/>
                <w:bCs w:val="0"/>
                <w:i w:val="0"/>
                <w:iCs w:val="0"/>
                <w:noProof/>
                <w:webHidden/>
                <w:color w:val="000000" w:themeColor="text1"/>
                <w:sz w:val="22"/>
                <w:szCs w:val="22"/>
              </w:rPr>
            </w:r>
            <w:r w:rsidRPr="00CB2ACA">
              <w:rPr>
                <w:rFonts w:ascii="Arial" w:hAnsi="Arial" w:cs="Arial"/>
                <w:b w:val="0"/>
                <w:bCs w:val="0"/>
                <w:i w:val="0"/>
                <w:iCs w:val="0"/>
                <w:noProof/>
                <w:webHidden/>
                <w:color w:val="000000" w:themeColor="text1"/>
                <w:sz w:val="22"/>
                <w:szCs w:val="22"/>
              </w:rPr>
              <w:fldChar w:fldCharType="separate"/>
            </w:r>
            <w:r w:rsidRPr="00CB2ACA">
              <w:rPr>
                <w:rFonts w:ascii="Arial" w:hAnsi="Arial" w:cs="Arial"/>
                <w:b w:val="0"/>
                <w:bCs w:val="0"/>
                <w:i w:val="0"/>
                <w:iCs w:val="0"/>
                <w:noProof/>
                <w:webHidden/>
                <w:color w:val="000000" w:themeColor="text1"/>
                <w:sz w:val="22"/>
                <w:szCs w:val="22"/>
              </w:rPr>
              <w:t>10</w:t>
            </w:r>
            <w:r w:rsidRPr="00CB2ACA">
              <w:rPr>
                <w:rFonts w:ascii="Arial" w:hAnsi="Arial" w:cs="Arial"/>
                <w:b w:val="0"/>
                <w:bCs w:val="0"/>
                <w:i w:val="0"/>
                <w:iCs w:val="0"/>
                <w:noProof/>
                <w:webHidden/>
                <w:color w:val="000000" w:themeColor="text1"/>
                <w:sz w:val="22"/>
                <w:szCs w:val="22"/>
              </w:rPr>
              <w:fldChar w:fldCharType="end"/>
            </w:r>
          </w:hyperlink>
        </w:p>
        <w:p w14:paraId="7897CA9D" w14:textId="02A6CA32" w:rsidR="00CB2ACA" w:rsidRPr="00CB2ACA" w:rsidRDefault="00CB2ACA" w:rsidP="00FC0B1B">
          <w:pPr>
            <w:pStyle w:val="TOC1"/>
            <w:spacing w:line="360" w:lineRule="auto"/>
            <w:rPr>
              <w:rFonts w:ascii="Arial" w:eastAsiaTheme="minorEastAsia" w:hAnsi="Arial" w:cs="Arial"/>
              <w:b w:val="0"/>
              <w:bCs w:val="0"/>
              <w:i w:val="0"/>
              <w:iCs w:val="0"/>
              <w:noProof/>
              <w:color w:val="000000" w:themeColor="text1"/>
              <w:sz w:val="22"/>
              <w:szCs w:val="22"/>
              <w:lang w:eastAsia="en-GB"/>
            </w:rPr>
          </w:pPr>
          <w:hyperlink w:anchor="_Toc195730123" w:history="1">
            <w:r w:rsidRPr="00CB2ACA">
              <w:rPr>
                <w:rStyle w:val="Hyperlink"/>
                <w:rFonts w:ascii="Arial" w:hAnsi="Arial" w:cs="Arial"/>
                <w:b w:val="0"/>
                <w:bCs w:val="0"/>
                <w:i w:val="0"/>
                <w:iCs w:val="0"/>
                <w:noProof/>
                <w:color w:val="000000" w:themeColor="text1"/>
                <w:sz w:val="22"/>
                <w:szCs w:val="22"/>
              </w:rPr>
              <w:t>S5</w:t>
            </w:r>
            <w:r w:rsidRPr="00CB2ACA">
              <w:rPr>
                <w:rFonts w:ascii="Arial" w:eastAsiaTheme="minorEastAsia" w:hAnsi="Arial" w:cs="Arial"/>
                <w:b w:val="0"/>
                <w:bCs w:val="0"/>
                <w:i w:val="0"/>
                <w:iCs w:val="0"/>
                <w:noProof/>
                <w:color w:val="000000" w:themeColor="text1"/>
                <w:sz w:val="22"/>
                <w:szCs w:val="22"/>
                <w:lang w:eastAsia="en-GB"/>
              </w:rPr>
              <w:tab/>
            </w:r>
            <w:r w:rsidRPr="00CB2ACA">
              <w:rPr>
                <w:rStyle w:val="Hyperlink"/>
                <w:rFonts w:ascii="Arial" w:hAnsi="Arial" w:cs="Arial"/>
                <w:b w:val="0"/>
                <w:bCs w:val="0"/>
                <w:i w:val="0"/>
                <w:iCs w:val="0"/>
                <w:noProof/>
                <w:color w:val="000000" w:themeColor="text1"/>
                <w:sz w:val="22"/>
                <w:szCs w:val="22"/>
              </w:rPr>
              <w:t>Supplementary results</w:t>
            </w:r>
            <w:r w:rsidRPr="00CB2ACA">
              <w:rPr>
                <w:rFonts w:ascii="Arial" w:hAnsi="Arial" w:cs="Arial"/>
                <w:b w:val="0"/>
                <w:bCs w:val="0"/>
                <w:i w:val="0"/>
                <w:iCs w:val="0"/>
                <w:noProof/>
                <w:webHidden/>
                <w:color w:val="000000" w:themeColor="text1"/>
                <w:sz w:val="22"/>
                <w:szCs w:val="22"/>
              </w:rPr>
              <w:tab/>
            </w:r>
            <w:r w:rsidRPr="00CB2ACA">
              <w:rPr>
                <w:rFonts w:ascii="Arial" w:hAnsi="Arial" w:cs="Arial"/>
                <w:b w:val="0"/>
                <w:bCs w:val="0"/>
                <w:i w:val="0"/>
                <w:iCs w:val="0"/>
                <w:noProof/>
                <w:webHidden/>
                <w:color w:val="000000" w:themeColor="text1"/>
                <w:sz w:val="22"/>
                <w:szCs w:val="22"/>
              </w:rPr>
              <w:fldChar w:fldCharType="begin"/>
            </w:r>
            <w:r w:rsidRPr="00CB2ACA">
              <w:rPr>
                <w:rFonts w:ascii="Arial" w:hAnsi="Arial" w:cs="Arial"/>
                <w:b w:val="0"/>
                <w:bCs w:val="0"/>
                <w:i w:val="0"/>
                <w:iCs w:val="0"/>
                <w:noProof/>
                <w:webHidden/>
                <w:color w:val="000000" w:themeColor="text1"/>
                <w:sz w:val="22"/>
                <w:szCs w:val="22"/>
              </w:rPr>
              <w:instrText xml:space="preserve"> PAGEREF _Toc195730123 \h </w:instrText>
            </w:r>
            <w:r w:rsidRPr="00CB2ACA">
              <w:rPr>
                <w:rFonts w:ascii="Arial" w:hAnsi="Arial" w:cs="Arial"/>
                <w:b w:val="0"/>
                <w:bCs w:val="0"/>
                <w:i w:val="0"/>
                <w:iCs w:val="0"/>
                <w:noProof/>
                <w:webHidden/>
                <w:color w:val="000000" w:themeColor="text1"/>
                <w:sz w:val="22"/>
                <w:szCs w:val="22"/>
              </w:rPr>
            </w:r>
            <w:r w:rsidRPr="00CB2ACA">
              <w:rPr>
                <w:rFonts w:ascii="Arial" w:hAnsi="Arial" w:cs="Arial"/>
                <w:b w:val="0"/>
                <w:bCs w:val="0"/>
                <w:i w:val="0"/>
                <w:iCs w:val="0"/>
                <w:noProof/>
                <w:webHidden/>
                <w:color w:val="000000" w:themeColor="text1"/>
                <w:sz w:val="22"/>
                <w:szCs w:val="22"/>
              </w:rPr>
              <w:fldChar w:fldCharType="separate"/>
            </w:r>
            <w:r w:rsidRPr="00CB2ACA">
              <w:rPr>
                <w:rFonts w:ascii="Arial" w:hAnsi="Arial" w:cs="Arial"/>
                <w:b w:val="0"/>
                <w:bCs w:val="0"/>
                <w:i w:val="0"/>
                <w:iCs w:val="0"/>
                <w:noProof/>
                <w:webHidden/>
                <w:color w:val="000000" w:themeColor="text1"/>
                <w:sz w:val="22"/>
                <w:szCs w:val="22"/>
              </w:rPr>
              <w:t>12</w:t>
            </w:r>
            <w:r w:rsidRPr="00CB2ACA">
              <w:rPr>
                <w:rFonts w:ascii="Arial" w:hAnsi="Arial" w:cs="Arial"/>
                <w:b w:val="0"/>
                <w:bCs w:val="0"/>
                <w:i w:val="0"/>
                <w:iCs w:val="0"/>
                <w:noProof/>
                <w:webHidden/>
                <w:color w:val="000000" w:themeColor="text1"/>
                <w:sz w:val="22"/>
                <w:szCs w:val="22"/>
              </w:rPr>
              <w:fldChar w:fldCharType="end"/>
            </w:r>
          </w:hyperlink>
        </w:p>
        <w:p w14:paraId="7244EB1C" w14:textId="6CF32161" w:rsidR="00CB2ACA" w:rsidRPr="00CB2ACA" w:rsidRDefault="00CB2ACA" w:rsidP="00FC0B1B">
          <w:pPr>
            <w:pStyle w:val="TOC1"/>
            <w:spacing w:line="360" w:lineRule="auto"/>
            <w:rPr>
              <w:rFonts w:ascii="Arial" w:eastAsiaTheme="minorEastAsia" w:hAnsi="Arial" w:cs="Arial"/>
              <w:b w:val="0"/>
              <w:bCs w:val="0"/>
              <w:i w:val="0"/>
              <w:iCs w:val="0"/>
              <w:noProof/>
              <w:color w:val="000000" w:themeColor="text1"/>
              <w:sz w:val="22"/>
              <w:szCs w:val="22"/>
              <w:lang w:eastAsia="en-GB"/>
            </w:rPr>
          </w:pPr>
          <w:hyperlink w:anchor="_Toc195730124" w:history="1">
            <w:r w:rsidRPr="00CB2ACA">
              <w:rPr>
                <w:rStyle w:val="Hyperlink"/>
                <w:rFonts w:ascii="Arial" w:hAnsi="Arial" w:cs="Arial"/>
                <w:b w:val="0"/>
                <w:bCs w:val="0"/>
                <w:i w:val="0"/>
                <w:iCs w:val="0"/>
                <w:noProof/>
                <w:color w:val="000000" w:themeColor="text1"/>
                <w:sz w:val="22"/>
                <w:szCs w:val="22"/>
              </w:rPr>
              <w:t>Supplementary references</w:t>
            </w:r>
            <w:r w:rsidRPr="00CB2ACA">
              <w:rPr>
                <w:rFonts w:ascii="Arial" w:hAnsi="Arial" w:cs="Arial"/>
                <w:b w:val="0"/>
                <w:bCs w:val="0"/>
                <w:i w:val="0"/>
                <w:iCs w:val="0"/>
                <w:noProof/>
                <w:webHidden/>
                <w:color w:val="000000" w:themeColor="text1"/>
                <w:sz w:val="22"/>
                <w:szCs w:val="22"/>
              </w:rPr>
              <w:tab/>
            </w:r>
            <w:r w:rsidRPr="00CB2ACA">
              <w:rPr>
                <w:rFonts w:ascii="Arial" w:hAnsi="Arial" w:cs="Arial"/>
                <w:b w:val="0"/>
                <w:bCs w:val="0"/>
                <w:i w:val="0"/>
                <w:iCs w:val="0"/>
                <w:noProof/>
                <w:webHidden/>
                <w:color w:val="000000" w:themeColor="text1"/>
                <w:sz w:val="22"/>
                <w:szCs w:val="22"/>
              </w:rPr>
              <w:fldChar w:fldCharType="begin"/>
            </w:r>
            <w:r w:rsidRPr="00CB2ACA">
              <w:rPr>
                <w:rFonts w:ascii="Arial" w:hAnsi="Arial" w:cs="Arial"/>
                <w:b w:val="0"/>
                <w:bCs w:val="0"/>
                <w:i w:val="0"/>
                <w:iCs w:val="0"/>
                <w:noProof/>
                <w:webHidden/>
                <w:color w:val="000000" w:themeColor="text1"/>
                <w:sz w:val="22"/>
                <w:szCs w:val="22"/>
              </w:rPr>
              <w:instrText xml:space="preserve"> PAGEREF _Toc195730124 \h </w:instrText>
            </w:r>
            <w:r w:rsidRPr="00CB2ACA">
              <w:rPr>
                <w:rFonts w:ascii="Arial" w:hAnsi="Arial" w:cs="Arial"/>
                <w:b w:val="0"/>
                <w:bCs w:val="0"/>
                <w:i w:val="0"/>
                <w:iCs w:val="0"/>
                <w:noProof/>
                <w:webHidden/>
                <w:color w:val="000000" w:themeColor="text1"/>
                <w:sz w:val="22"/>
                <w:szCs w:val="22"/>
              </w:rPr>
            </w:r>
            <w:r w:rsidRPr="00CB2ACA">
              <w:rPr>
                <w:rFonts w:ascii="Arial" w:hAnsi="Arial" w:cs="Arial"/>
                <w:b w:val="0"/>
                <w:bCs w:val="0"/>
                <w:i w:val="0"/>
                <w:iCs w:val="0"/>
                <w:noProof/>
                <w:webHidden/>
                <w:color w:val="000000" w:themeColor="text1"/>
                <w:sz w:val="22"/>
                <w:szCs w:val="22"/>
              </w:rPr>
              <w:fldChar w:fldCharType="separate"/>
            </w:r>
            <w:r w:rsidRPr="00CB2ACA">
              <w:rPr>
                <w:rFonts w:ascii="Arial" w:hAnsi="Arial" w:cs="Arial"/>
                <w:b w:val="0"/>
                <w:bCs w:val="0"/>
                <w:i w:val="0"/>
                <w:iCs w:val="0"/>
                <w:noProof/>
                <w:webHidden/>
                <w:color w:val="000000" w:themeColor="text1"/>
                <w:sz w:val="22"/>
                <w:szCs w:val="22"/>
              </w:rPr>
              <w:t>30</w:t>
            </w:r>
            <w:r w:rsidRPr="00CB2ACA">
              <w:rPr>
                <w:rFonts w:ascii="Arial" w:hAnsi="Arial" w:cs="Arial"/>
                <w:b w:val="0"/>
                <w:bCs w:val="0"/>
                <w:i w:val="0"/>
                <w:iCs w:val="0"/>
                <w:noProof/>
                <w:webHidden/>
                <w:color w:val="000000" w:themeColor="text1"/>
                <w:sz w:val="22"/>
                <w:szCs w:val="22"/>
              </w:rPr>
              <w:fldChar w:fldCharType="end"/>
            </w:r>
          </w:hyperlink>
        </w:p>
        <w:p w14:paraId="12D8E063" w14:textId="58FC7799" w:rsidR="00ED316C" w:rsidRPr="00CB2ACA" w:rsidRDefault="00ED316C" w:rsidP="00FC0B1B">
          <w:pPr>
            <w:spacing w:line="360" w:lineRule="auto"/>
          </w:pPr>
          <w:r w:rsidRPr="00CB2ACA">
            <w:rPr>
              <w:rFonts w:ascii="Arial" w:hAnsi="Arial" w:cs="Arial"/>
              <w:noProof/>
              <w:color w:val="000000" w:themeColor="text1"/>
              <w:sz w:val="22"/>
              <w:szCs w:val="22"/>
            </w:rPr>
            <w:fldChar w:fldCharType="end"/>
          </w:r>
        </w:p>
      </w:sdtContent>
    </w:sdt>
    <w:p w14:paraId="5772E7F0" w14:textId="77777777" w:rsidR="001E2C97" w:rsidRPr="00CB2ACA" w:rsidRDefault="001E2C97" w:rsidP="00FC0B1B">
      <w:pPr>
        <w:spacing w:line="360" w:lineRule="auto"/>
        <w:rPr>
          <w:rFonts w:ascii="Arial" w:hAnsi="Arial" w:cs="Arial"/>
          <w:sz w:val="22"/>
          <w:szCs w:val="22"/>
        </w:rPr>
      </w:pPr>
    </w:p>
    <w:p w14:paraId="12DF9B37" w14:textId="0CDC46A4" w:rsidR="001E2C97" w:rsidRPr="009664B1" w:rsidRDefault="001E2C97" w:rsidP="00FC0B1B">
      <w:pPr>
        <w:spacing w:line="360" w:lineRule="auto"/>
        <w:rPr>
          <w:rFonts w:ascii="Arial" w:hAnsi="Arial" w:cs="Arial"/>
          <w:b/>
          <w:bCs/>
          <w:sz w:val="22"/>
          <w:szCs w:val="22"/>
        </w:rPr>
      </w:pPr>
      <w:r w:rsidRPr="009664B1">
        <w:rPr>
          <w:rFonts w:ascii="Arial" w:hAnsi="Arial" w:cs="Arial"/>
          <w:b/>
          <w:bCs/>
          <w:sz w:val="22"/>
          <w:szCs w:val="22"/>
        </w:rPr>
        <w:br w:type="page"/>
      </w:r>
    </w:p>
    <w:p w14:paraId="79F2FAEB" w14:textId="4898982D" w:rsidR="003653BF" w:rsidRPr="00ED316C" w:rsidRDefault="00E146DC" w:rsidP="00FC0B1B">
      <w:pPr>
        <w:pStyle w:val="Heading1"/>
        <w:spacing w:line="360" w:lineRule="auto"/>
        <w:rPr>
          <w:rFonts w:ascii="Arial" w:hAnsi="Arial" w:cs="Arial"/>
          <w:b/>
          <w:bCs/>
          <w:color w:val="000000" w:themeColor="text1"/>
          <w:sz w:val="24"/>
          <w:szCs w:val="24"/>
        </w:rPr>
      </w:pPr>
      <w:bookmarkStart w:id="0" w:name="_Toc195730119"/>
      <w:r w:rsidRPr="00ED316C">
        <w:rPr>
          <w:rFonts w:ascii="Arial" w:hAnsi="Arial" w:cs="Arial"/>
          <w:b/>
          <w:bCs/>
          <w:color w:val="000000" w:themeColor="text1"/>
          <w:sz w:val="24"/>
          <w:szCs w:val="24"/>
        </w:rPr>
        <w:lastRenderedPageBreak/>
        <w:t>S1</w:t>
      </w:r>
      <w:r w:rsidRPr="00ED316C">
        <w:rPr>
          <w:rFonts w:ascii="Arial" w:hAnsi="Arial" w:cs="Arial"/>
          <w:b/>
          <w:bCs/>
          <w:color w:val="000000" w:themeColor="text1"/>
          <w:sz w:val="24"/>
          <w:szCs w:val="24"/>
        </w:rPr>
        <w:tab/>
      </w:r>
      <w:r w:rsidR="003653BF" w:rsidRPr="00ED316C">
        <w:rPr>
          <w:rFonts w:ascii="Arial" w:hAnsi="Arial" w:cs="Arial"/>
          <w:b/>
          <w:bCs/>
          <w:color w:val="000000" w:themeColor="text1"/>
          <w:sz w:val="24"/>
          <w:szCs w:val="24"/>
        </w:rPr>
        <w:t>Estimates of dietary intake</w:t>
      </w:r>
      <w:bookmarkEnd w:id="0"/>
      <w:r w:rsidR="003653BF" w:rsidRPr="00ED316C">
        <w:rPr>
          <w:rFonts w:ascii="Arial" w:hAnsi="Arial" w:cs="Arial"/>
          <w:b/>
          <w:bCs/>
          <w:color w:val="000000" w:themeColor="text1"/>
          <w:sz w:val="24"/>
          <w:szCs w:val="24"/>
        </w:rPr>
        <w:t xml:space="preserve"> </w:t>
      </w:r>
    </w:p>
    <w:p w14:paraId="7990FE42" w14:textId="77777777" w:rsidR="003653BF" w:rsidRPr="009664B1" w:rsidRDefault="003653BF" w:rsidP="00FC0B1B">
      <w:pPr>
        <w:spacing w:line="360" w:lineRule="auto"/>
        <w:rPr>
          <w:rFonts w:ascii="Arial" w:hAnsi="Arial" w:cs="Arial"/>
          <w:sz w:val="22"/>
          <w:szCs w:val="22"/>
        </w:rPr>
      </w:pPr>
    </w:p>
    <w:p w14:paraId="72238C86" w14:textId="1CAA3576" w:rsidR="009664B1" w:rsidRPr="009664B1" w:rsidRDefault="009260D1" w:rsidP="00FC0B1B">
      <w:pPr>
        <w:spacing w:line="360" w:lineRule="auto"/>
        <w:rPr>
          <w:rFonts w:ascii="Arial" w:hAnsi="Arial" w:cs="Arial"/>
          <w:sz w:val="22"/>
          <w:szCs w:val="22"/>
        </w:rPr>
      </w:pPr>
      <w:r w:rsidRPr="009664B1">
        <w:rPr>
          <w:rFonts w:ascii="Arial" w:hAnsi="Arial" w:cs="Arial"/>
          <w:sz w:val="22"/>
          <w:szCs w:val="22"/>
        </w:rPr>
        <w:t>We used global estimates of food intake that are differentiated by country and demographic group within countries</w:t>
      </w:r>
      <w:r w:rsidR="00935615">
        <w:rPr>
          <w:rFonts w:ascii="Arial" w:hAnsi="Arial" w:cs="Arial"/>
          <w:sz w:val="22"/>
          <w:szCs w:val="22"/>
        </w:rPr>
        <w:t xml:space="preserve"> </w:t>
      </w:r>
      <w:r w:rsidR="00935615">
        <w:rPr>
          <w:rFonts w:ascii="Arial" w:hAnsi="Arial" w:cs="Arial"/>
          <w:sz w:val="22"/>
          <w:szCs w:val="22"/>
        </w:rPr>
        <w:fldChar w:fldCharType="begin"/>
      </w:r>
      <w:r w:rsidR="00935615">
        <w:rPr>
          <w:rFonts w:ascii="Arial" w:hAnsi="Arial" w:cs="Arial"/>
          <w:sz w:val="22"/>
          <w:szCs w:val="22"/>
        </w:rPr>
        <w:instrText xml:space="preserve"> ADDIN ZOTERO_ITEM CSL_CITATION {"citationID":"Nmg4sZ4b","properties":{"formattedCitation":"\\super 1\\nosupersub{}","plainCitation":"1","noteIndex":0},"citationItems":[{"id":4242,"uris":["http://zotero.org/users/14122/items/JNX5SR2U"],"itemData":{"id":4242,"type":"article-journal","title":"The Global Dietary Database for Impact Assessments (GDD-IA): facilitating diet-related analysis at global, regional, national, and sociodemographic levels","author":[{"family":"Springmann","given":"Marco"}]}}],"schema":"https://github.com/citation-style-language/schema/raw/master/csl-citation.json"} </w:instrText>
      </w:r>
      <w:r w:rsidR="00935615">
        <w:rPr>
          <w:rFonts w:ascii="Arial" w:hAnsi="Arial" w:cs="Arial"/>
          <w:sz w:val="22"/>
          <w:szCs w:val="22"/>
        </w:rPr>
        <w:fldChar w:fldCharType="separate"/>
      </w:r>
      <w:r w:rsidR="00935615" w:rsidRPr="00935615">
        <w:rPr>
          <w:rFonts w:ascii="Arial" w:hAnsi="Arial" w:cs="Arial"/>
          <w:kern w:val="0"/>
          <w:sz w:val="22"/>
          <w:vertAlign w:val="superscript"/>
        </w:rPr>
        <w:t>1</w:t>
      </w:r>
      <w:r w:rsidR="00935615">
        <w:rPr>
          <w:rFonts w:ascii="Arial" w:hAnsi="Arial" w:cs="Arial"/>
          <w:sz w:val="22"/>
          <w:szCs w:val="22"/>
        </w:rPr>
        <w:fldChar w:fldCharType="end"/>
      </w:r>
      <w:r w:rsidRPr="009664B1">
        <w:rPr>
          <w:rFonts w:ascii="Arial" w:hAnsi="Arial" w:cs="Arial"/>
          <w:sz w:val="22"/>
          <w:szCs w:val="22"/>
        </w:rPr>
        <w:t>. The</w:t>
      </w:r>
      <w:r w:rsidR="00403841" w:rsidRPr="009664B1">
        <w:rPr>
          <w:rFonts w:ascii="Arial" w:hAnsi="Arial" w:cs="Arial"/>
          <w:sz w:val="22"/>
          <w:szCs w:val="22"/>
        </w:rPr>
        <w:t xml:space="preserve">y </w:t>
      </w:r>
      <w:r w:rsidRPr="009664B1">
        <w:rPr>
          <w:rFonts w:ascii="Arial" w:hAnsi="Arial" w:cs="Arial"/>
          <w:sz w:val="22"/>
          <w:szCs w:val="22"/>
        </w:rPr>
        <w:t>combin</w:t>
      </w:r>
      <w:r w:rsidR="00403841" w:rsidRPr="009664B1">
        <w:rPr>
          <w:rFonts w:ascii="Arial" w:hAnsi="Arial" w:cs="Arial"/>
          <w:sz w:val="22"/>
          <w:szCs w:val="22"/>
        </w:rPr>
        <w:t>e</w:t>
      </w:r>
      <w:r w:rsidRPr="009664B1">
        <w:rPr>
          <w:rFonts w:ascii="Arial" w:hAnsi="Arial" w:cs="Arial"/>
          <w:sz w:val="22"/>
          <w:szCs w:val="22"/>
        </w:rPr>
        <w:t xml:space="preserve"> estimates of dietary composition from waste-adjusted food availability estimates </w:t>
      </w:r>
      <w:r w:rsidR="00585BF4" w:rsidRPr="009664B1">
        <w:rPr>
          <w:rFonts w:ascii="Arial" w:hAnsi="Arial" w:cs="Arial"/>
          <w:sz w:val="22"/>
          <w:szCs w:val="22"/>
        </w:rPr>
        <w:t>source</w:t>
      </w:r>
      <w:r w:rsidR="00403841" w:rsidRPr="009664B1">
        <w:rPr>
          <w:rFonts w:ascii="Arial" w:hAnsi="Arial" w:cs="Arial"/>
          <w:sz w:val="22"/>
          <w:szCs w:val="22"/>
        </w:rPr>
        <w:t>d</w:t>
      </w:r>
      <w:r w:rsidR="00585BF4" w:rsidRPr="009664B1">
        <w:rPr>
          <w:rFonts w:ascii="Arial" w:hAnsi="Arial" w:cs="Arial"/>
          <w:sz w:val="22"/>
          <w:szCs w:val="22"/>
        </w:rPr>
        <w:t xml:space="preserve"> from </w:t>
      </w:r>
      <w:r w:rsidRPr="009664B1">
        <w:rPr>
          <w:rFonts w:ascii="Arial" w:hAnsi="Arial" w:cs="Arial"/>
          <w:sz w:val="22"/>
          <w:szCs w:val="22"/>
        </w:rPr>
        <w:t xml:space="preserve">the Food and Agriculture Organization of the United Nations </w:t>
      </w:r>
      <w:r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{"citationID":"IFyoFSvB","properties":{"formattedCitation":"\\super 2,3\\nosupersub{}","plainCitation":"2,3","noteIndex":0},"citationItems":[{"id":2869,"uris":["http://zotero.org/users/14122/items/AQPUYQRR"],"itemData":{"id":2869,"type":"report","event-place":"Rome","publisher":"FAO","publisher-place":"Rome","title":"FAOSTAT Statistical Database","author":[{"family":"Food and Agriculture Organization of the United Nations","given":""}],"issued":{"date-parts":[["2022"]]}}},{"id":1273,"uris":["http://zotero.org/users/14122/items/S8PTEZZU"],"itemData":{"id":1273,"type":"book","publisher":"FAO Rome","title":"Global food losses and food waste: extent, causes and prevention","author":[{"family":"Gustavsson","given":"Jenny"},{"family":"Cederberg","given":"Christel"},{"family":"Sonesson","given":"Ulf"},{"family":"Van Otterdijk","given":"Robert"},{"family":"Meybeck","given":"Alexandre"}],"issued":{"date-parts":[["2011"]]}}}],"schema":"https://github.com/citation-style-language/schema/raw/master/csl-citation.json"} </w:instrText>
      </w:r>
      <w:r w:rsidRPr="009664B1">
        <w:rPr>
          <w:rFonts w:ascii="Arial" w:hAnsi="Arial" w:cs="Arial"/>
          <w:sz w:val="22"/>
          <w:szCs w:val="22"/>
        </w:rPr>
        <w:fldChar w:fldCharType="separate"/>
      </w:r>
      <w:r w:rsidR="00935615" w:rsidRPr="00935615">
        <w:rPr>
          <w:rFonts w:ascii="Arial" w:hAnsi="Arial" w:cs="Arial"/>
          <w:kern w:val="0"/>
          <w:sz w:val="22"/>
          <w:vertAlign w:val="superscript"/>
        </w:rPr>
        <w:t>2,3</w:t>
      </w:r>
      <w:r w:rsidRPr="009664B1">
        <w:rPr>
          <w:rFonts w:ascii="Arial" w:hAnsi="Arial" w:cs="Arial"/>
          <w:sz w:val="22"/>
          <w:szCs w:val="22"/>
        </w:rPr>
        <w:fldChar w:fldCharType="end"/>
      </w:r>
      <w:r w:rsidRPr="009664B1">
        <w:rPr>
          <w:rFonts w:ascii="Arial" w:hAnsi="Arial" w:cs="Arial"/>
          <w:sz w:val="22"/>
          <w:szCs w:val="22"/>
        </w:rPr>
        <w:t xml:space="preserve"> with demographic trends in intake from dietary surveys</w:t>
      </w:r>
      <w:r w:rsidRPr="009664B1">
        <w:rPr>
          <w:rFonts w:ascii="Arial" w:hAnsi="Arial" w:cs="Arial"/>
          <w:sz w:val="22"/>
          <w:szCs w:val="22"/>
        </w:rPr>
        <w:t xml:space="preserve"> </w:t>
      </w:r>
      <w:r w:rsidR="00585BF4" w:rsidRPr="009664B1">
        <w:rPr>
          <w:rFonts w:ascii="Arial" w:hAnsi="Arial" w:cs="Arial"/>
          <w:sz w:val="22"/>
          <w:szCs w:val="22"/>
        </w:rPr>
        <w:t>source</w:t>
      </w:r>
      <w:r w:rsidR="00403841" w:rsidRPr="009664B1">
        <w:rPr>
          <w:rFonts w:ascii="Arial" w:hAnsi="Arial" w:cs="Arial"/>
          <w:sz w:val="22"/>
          <w:szCs w:val="22"/>
        </w:rPr>
        <w:t>d</w:t>
      </w:r>
      <w:r w:rsidR="00585BF4" w:rsidRPr="009664B1">
        <w:rPr>
          <w:rFonts w:ascii="Arial" w:hAnsi="Arial" w:cs="Arial"/>
          <w:sz w:val="22"/>
          <w:szCs w:val="22"/>
        </w:rPr>
        <w:t xml:space="preserve"> from </w:t>
      </w:r>
      <w:r w:rsidRPr="009664B1">
        <w:rPr>
          <w:rFonts w:ascii="Arial" w:hAnsi="Arial" w:cs="Arial"/>
          <w:sz w:val="22"/>
          <w:szCs w:val="22"/>
        </w:rPr>
        <w:t>the Global Dietary Database</w:t>
      </w:r>
      <w:r w:rsidRPr="009664B1">
        <w:rPr>
          <w:rFonts w:ascii="Arial" w:hAnsi="Arial" w:cs="Arial"/>
          <w:sz w:val="22"/>
          <w:szCs w:val="22"/>
        </w:rPr>
        <w:t xml:space="preserve"> </w:t>
      </w:r>
      <w:r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{"citationID":"CUmDgTFT","properties":{"formattedCitation":"\\super 4\\nosupersub{}","plainCitation":"4","noteIndex":0},"citationItems":[{"id":1942,"uris":["http://zotero.org/users/14122/items/7V65YYYU"],"itemData":{"id":1942,"type":"article-journal","abstract":"Background We aimed to systematically identify, standardise and disseminate individual-level dietary intake surveys from up to 207 countries for 54 foods, beverages and nutrients, including subnational intakes by age, sex, education and urban/rural residence, from 1980 to 2015.\nMethods Between 2008–2011 and 2014–2020, the Global Dietary Database (GDD) project systematically searched for surveys assessing individual-level intake worldwide. We prioritised nationally or subnationally representative surveys using 24-hour recalls, Food-Frequency Questionnaires or short standardised questionnaires. Data were retrieved from websites or corresponding members as individual-level food group microdata or aggregate stratum-level data. Standardisation included quality assessment; data cleaning; categorising of foods and nutrients and their units; aggregation by demographic strata and energy adjustment.\nResults We standardised and incorporated 1220 surveys into the final GDD 2017 database, together represented 188 countries and 99.0% of the world’s population in 2015. 72.1% were nationally, 17.0% subnationally, and 10.9% community-level representative. 41.2% used Food-Frequency Questionnaires; 23.4%, 24-hour recalls; 15.8%, Demographic Health Survey questionnaires; 13.1%, biomarkers and 6.4%, household surveys. 73.9% of surveys included data on children; 52.2%, by urban and rural residence; and 30.2%, by education. Most surveys were in high-income countries, followed by sub-Saharan Africa and Asia. Most commonly ascertained foods were fruits (N=803 surveys), non-starchy vegetables (N=787) and sugar-sweetened beverages (N=440); and nutrients, sodium (N=343), energy (N=256), calcium (N=224) and fibre (N=200). Least available data were on iodine, vitamin A, plant protein, selenium, added sugar and animal protein.\nConclusions This systematic search, retrieval and standardised effort provides the most comprehensive empirical evidence on dietary intakes across and within countries worldwide.","container-title":"BMJ Global Health","DOI":"10.1136/bmjgh-2020-003585","ISSN":"2059-7908","issue":"2","language":"en","license":"© Author(s) (or their employer(s)) 2021. Re-use permitted under CC BY. Published by BMJ.. https://creativecommons.org/licenses/by/4.0/This is an open access article distributed in accordance with the Creative Commons Attribution 4.0 Unported (CC BY 4.0) license, which permits others to copy, redistribute, remix, transform and build upon this work for any purpose, provided the original work is properly cited, a link to the licence is given, and indication of whether changes were made. See: https://creativecommons.org/licenses/by/4.0/.","note":"publisher: BMJ Specialist Journals\nsection: Original research\nPMID: 33547175","page":"e003585","source":"gh.bmj.com","title":"Global Dietary Database 2017: data availability and gaps on 54 major foods, beverages and nutrients among 5.6 million children and adults from 1220 surveys worldwide","title-short":"Global Dietary Database 2017","volume":"6","author":[{"family":"Miller","given":"Victoria"},{"family":"Singh","given":"Gitanjali M."},{"family":"Onopa","given":"Jennifer"},{"family":"Reedy","given":"Julia"},{"family":"Shi","given":"Peilin"},{"family":"Zhang","given":"Jianyi"},{"family":"Tahira","given":"Adeem"},{"family":"Morris","given":"Masha L. Shulkin"},{"family":"Marsden","given":"Daniel P."},{"family":"Kranz","given":"Sarah"},{"family":"Stoyell","given":"Sally"},{"family":"Webb","given":"Patrick"},{"family":"Micha","given":"Renata"},{"family":"Mozaffarian","given":"Dariush"}],"issued":{"date-parts":[["2021",2,1]]}}}],"schema":"https://github.com/citation-style-language/schema/raw/master/csl-citation.json"} </w:instrText>
      </w:r>
      <w:r w:rsidRPr="009664B1">
        <w:rPr>
          <w:rFonts w:ascii="Arial" w:hAnsi="Arial" w:cs="Arial"/>
          <w:sz w:val="22"/>
          <w:szCs w:val="22"/>
        </w:rPr>
        <w:fldChar w:fldCharType="separate"/>
      </w:r>
      <w:r w:rsidR="00935615" w:rsidRPr="00935615">
        <w:rPr>
          <w:rFonts w:ascii="Arial" w:hAnsi="Arial" w:cs="Arial"/>
          <w:kern w:val="0"/>
          <w:sz w:val="22"/>
          <w:vertAlign w:val="superscript"/>
        </w:rPr>
        <w:t>4</w:t>
      </w:r>
      <w:r w:rsidRPr="009664B1">
        <w:rPr>
          <w:rFonts w:ascii="Arial" w:hAnsi="Arial" w:cs="Arial"/>
          <w:sz w:val="22"/>
          <w:szCs w:val="22"/>
        </w:rPr>
        <w:fldChar w:fldCharType="end"/>
      </w:r>
      <w:r w:rsidRPr="009664B1">
        <w:rPr>
          <w:rFonts w:ascii="Arial" w:hAnsi="Arial" w:cs="Arial"/>
          <w:sz w:val="22"/>
          <w:szCs w:val="22"/>
        </w:rPr>
        <w:t xml:space="preserve">, normalised to </w:t>
      </w:r>
      <w:r w:rsidR="00403841" w:rsidRPr="009664B1">
        <w:rPr>
          <w:rFonts w:ascii="Arial" w:hAnsi="Arial" w:cs="Arial"/>
          <w:sz w:val="22"/>
          <w:szCs w:val="22"/>
        </w:rPr>
        <w:t>estimates</w:t>
      </w:r>
      <w:r w:rsidR="00585BF4" w:rsidRPr="009664B1">
        <w:rPr>
          <w:rFonts w:ascii="Arial" w:hAnsi="Arial" w:cs="Arial"/>
          <w:sz w:val="22"/>
          <w:szCs w:val="22"/>
        </w:rPr>
        <w:t xml:space="preserve"> of</w:t>
      </w:r>
      <w:r w:rsidRPr="009664B1">
        <w:rPr>
          <w:rFonts w:ascii="Arial" w:hAnsi="Arial" w:cs="Arial"/>
          <w:sz w:val="22"/>
          <w:szCs w:val="22"/>
        </w:rPr>
        <w:t xml:space="preserve"> energy intake required to sustain measured levels of body weight, height, and physical activity</w:t>
      </w:r>
      <w:r w:rsidR="00585BF4" w:rsidRPr="009664B1">
        <w:rPr>
          <w:rFonts w:ascii="Arial" w:hAnsi="Arial" w:cs="Arial"/>
          <w:sz w:val="22"/>
          <w:szCs w:val="22"/>
        </w:rPr>
        <w:t xml:space="preserve"> </w:t>
      </w:r>
      <w:r w:rsidR="00403841"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{"citationID":"sstsQI2t","properties":{"formattedCitation":"\\super 5\\nosupersub{}","plainCitation":"5","noteIndex":0},"citationItems":[{"id":4241,"uris":["http://zotero.org/users/14122/items/SCBQKRQN"],"itemData":{"id":4241,"type":"article-journal","container-title":"BMJ Public Health","title":"Estimates of energy intake, requirements, and imbalances based on anthropometric measurements at global, regional, and national levels and for sociodemographic groups","author":[{"family":"Springmann","given":"Marco"}],"issued":{"literal":"under review"}}}],"schema":"https://github.com/citation-style-language/schema/raw/master/csl-citation.json"} </w:instrText>
      </w:r>
      <w:r w:rsidR="00403841" w:rsidRPr="009664B1">
        <w:rPr>
          <w:rFonts w:ascii="Arial" w:hAnsi="Arial" w:cs="Arial"/>
          <w:sz w:val="22"/>
          <w:szCs w:val="22"/>
        </w:rPr>
        <w:fldChar w:fldCharType="separate"/>
      </w:r>
      <w:r w:rsidR="00935615" w:rsidRPr="00935615">
        <w:rPr>
          <w:rFonts w:ascii="Arial" w:hAnsi="Arial" w:cs="Arial"/>
          <w:kern w:val="0"/>
          <w:sz w:val="22"/>
          <w:vertAlign w:val="superscript"/>
        </w:rPr>
        <w:t>5</w:t>
      </w:r>
      <w:r w:rsidR="00403841" w:rsidRPr="009664B1">
        <w:rPr>
          <w:rFonts w:ascii="Arial" w:hAnsi="Arial" w:cs="Arial"/>
          <w:sz w:val="22"/>
          <w:szCs w:val="22"/>
        </w:rPr>
        <w:fldChar w:fldCharType="end"/>
      </w:r>
      <w:r w:rsidR="00403841" w:rsidRPr="009664B1">
        <w:rPr>
          <w:rFonts w:ascii="Arial" w:hAnsi="Arial" w:cs="Arial"/>
          <w:sz w:val="22"/>
          <w:szCs w:val="22"/>
        </w:rPr>
        <w:t xml:space="preserve">. </w:t>
      </w:r>
      <w:r w:rsidR="00FF2173" w:rsidRPr="009664B1">
        <w:rPr>
          <w:rFonts w:ascii="Arial" w:hAnsi="Arial" w:cs="Arial"/>
          <w:sz w:val="22"/>
          <w:szCs w:val="22"/>
        </w:rPr>
        <w:t>The latter were derived by applying</w:t>
      </w:r>
      <w:r w:rsidR="00FF2173" w:rsidRPr="009664B1">
        <w:rPr>
          <w:rFonts w:ascii="Arial" w:hAnsi="Arial" w:cs="Arial"/>
          <w:sz w:val="22"/>
          <w:szCs w:val="22"/>
        </w:rPr>
        <w:t xml:space="preserve"> predictive equations for estimating energy requirements </w:t>
      </w:r>
      <w:r w:rsidR="00997066"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{"citationID":"ayLM1tV0","properties":{"formattedCitation":"\\super 6\\nosupersub{}","plainCitation":"6","noteIndex":0},"citationItems":[{"id":3746,"uris":["http://zotero.org/users/14122/items/ZQUU4JCF"],"itemData":{"id":3746,"type":"book","event-place":"Washington, D.C.","ISBN":"978-0-309-69723-1","note":"DOI: 10.17226/26818","publisher":"National Academies Press","publisher-place":"Washington, D.C.","source":"National Academies Press","title":"Dietary Reference Intakes for Energy","URL":"https://www.nap.edu/catalog/26818","contributor":[{"literal":"Committee on the Dietary Reference Intakes for Energy"},{"literal":"Food and Nutrition Board"},{"literal":"Health and Medicine Division"},{"literal":"National Academies of Sciences, Engineering, and Medicine"}],"accessed":{"date-parts":[["2023",3,23]]},"issued":{"date-parts":[["2023"]]}}}],"schema":"https://github.com/citation-style-language/schema/raw/master/csl-citation.json"} </w:instrText>
      </w:r>
      <w:r w:rsidR="00997066" w:rsidRPr="009664B1">
        <w:rPr>
          <w:rFonts w:ascii="Arial" w:hAnsi="Arial" w:cs="Arial"/>
          <w:sz w:val="22"/>
          <w:szCs w:val="22"/>
        </w:rPr>
        <w:fldChar w:fldCharType="separate"/>
      </w:r>
      <w:r w:rsidR="00935615" w:rsidRPr="00935615">
        <w:rPr>
          <w:rFonts w:ascii="Arial" w:hAnsi="Arial" w:cs="Arial"/>
          <w:kern w:val="0"/>
          <w:sz w:val="22"/>
          <w:vertAlign w:val="superscript"/>
        </w:rPr>
        <w:t>6</w:t>
      </w:r>
      <w:r w:rsidR="00997066" w:rsidRPr="009664B1">
        <w:rPr>
          <w:rFonts w:ascii="Arial" w:hAnsi="Arial" w:cs="Arial"/>
          <w:sz w:val="22"/>
          <w:szCs w:val="22"/>
        </w:rPr>
        <w:fldChar w:fldCharType="end"/>
      </w:r>
      <w:r w:rsidR="00997066" w:rsidRPr="009664B1">
        <w:rPr>
          <w:rFonts w:ascii="Arial" w:hAnsi="Arial" w:cs="Arial"/>
          <w:sz w:val="22"/>
          <w:szCs w:val="22"/>
        </w:rPr>
        <w:t xml:space="preserve"> (developed based</w:t>
      </w:r>
      <w:r w:rsidR="00FF2173" w:rsidRPr="009664B1">
        <w:rPr>
          <w:rFonts w:ascii="Arial" w:hAnsi="Arial" w:cs="Arial"/>
          <w:sz w:val="22"/>
          <w:szCs w:val="22"/>
        </w:rPr>
        <w:t xml:space="preserve"> on a global dataset of </w:t>
      </w:r>
      <w:r w:rsidR="00FF2173" w:rsidRPr="009664B1">
        <w:rPr>
          <w:rFonts w:ascii="Arial" w:hAnsi="Arial" w:cs="Arial"/>
          <w:sz w:val="22"/>
          <w:szCs w:val="22"/>
        </w:rPr>
        <w:t>doubly labelled water studies</w:t>
      </w:r>
      <w:r w:rsidR="00997066" w:rsidRPr="009664B1">
        <w:rPr>
          <w:rFonts w:ascii="Arial" w:hAnsi="Arial" w:cs="Arial"/>
          <w:sz w:val="22"/>
          <w:szCs w:val="22"/>
        </w:rPr>
        <w:t>)</w:t>
      </w:r>
      <w:r w:rsidR="00FF2173" w:rsidRPr="009664B1">
        <w:rPr>
          <w:rFonts w:ascii="Arial" w:hAnsi="Arial" w:cs="Arial"/>
          <w:sz w:val="22"/>
          <w:szCs w:val="22"/>
        </w:rPr>
        <w:t xml:space="preserve"> </w:t>
      </w:r>
      <w:r w:rsidR="00FF2173" w:rsidRPr="009664B1">
        <w:rPr>
          <w:rFonts w:ascii="Arial" w:hAnsi="Arial" w:cs="Arial"/>
          <w:sz w:val="22"/>
          <w:szCs w:val="22"/>
        </w:rPr>
        <w:t xml:space="preserve">to global estimates of body weight, height, and physical activity </w:t>
      </w:r>
      <w:r w:rsidR="00FF2173" w:rsidRPr="009664B1">
        <w:rPr>
          <w:rFonts w:ascii="Arial" w:hAnsi="Arial" w:cs="Arial"/>
          <w:sz w:val="22"/>
          <w:szCs w:val="22"/>
        </w:rPr>
        <w:t>with country-level and demographic detail</w:t>
      </w:r>
      <w:r w:rsidR="00FF2173" w:rsidRPr="009664B1">
        <w:rPr>
          <w:rFonts w:ascii="Arial" w:hAnsi="Arial" w:cs="Arial"/>
          <w:sz w:val="22"/>
          <w:szCs w:val="22"/>
        </w:rPr>
        <w:t xml:space="preserve"> </w:t>
      </w:r>
      <w:r w:rsidR="00FF2173"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{"citationID":"mRMJXnwf","properties":{"formattedCitation":"\\super 7\\uc0\\u8211{}10\\nosupersub{}","plainCitation":"7–10","noteIndex":0},"citationItems":[{"id":4230,"uris":["http://zotero.org/users/14122/items/6VZFIH6C"],"itemData":{"id":4230,"type":"article-journal","abstract":"BACKGROUND: Insufficient physical activity increases the risk of non-communicable diseases, poor physical and cognitive function, weight gain, and mental ill-health. Global prevalence of adult insufficient physical activity was last published for 2016, with limited trend data. We aimed to estimate the prevalence of insufficient physical activity for 197 countries and territories, from 2000 to 2022.\nMETHODS: We collated physical activity reported by adults (aged ≥18 years) in population-based surveys. Insufficient physical activity was defined as not doing 150 minutes of moderate-intensity activity, 75 minutes of vigorous-intensity activity, or an equivalent combination per week. We used a Bayesian hierarchical model to compute estimates of insufficient physical activity by country or territory, year, age, and sex. We assessed whether countries or territories, regions, and the world would meet the global target of a 15% relative reduction of the prevalence of insufficient physical activity by 2030 if 2010-22 trends continue.\nFINDINGS: We included 507 surveys across 163 countries and territories. The global age-standardised prevalence of insufficient physical activity was 31·3% (95% uncertainty interval 28·6-34·0) in 2022, an increase from 23·4% (21·1-26·0) in 2000 and 26·4% (24·8-27·9) in 2010. Prevalence was increasing in 103 (52%) of 197 countries and territories and six (67%) of nine regions, and was declining in the remainder. Prevalence was 5 percentage points higher among female (33·8% [29·9-37·7]) than male (28·7% [25·0-32·6]) individuals. Insufficient physical activity increased in people aged 60 years and older in all regions and both sexes, but age patterns differed for those younger than 60 years. If 2010-22 trends continue, the global target of a 15% relative reduction between 2010 and 2030 will not be met (posterior probability &lt;0·01); however, two regions, Oceania and sub-Saharan Africa, were on track with considerable uncertainty (posterior probabilities 0·70-0·74).\nINTERPRETATION: Concerted multi-sectoral efforts to reduce insufficient physical activity levels are needed to meet the 2030 target. Physical activity promotion should not exacerbate sex, age, or geographical inequalities.\nFUNDING: Ministry of Public Health, Qatar, and World Health Organization.\nTRANSLATIONS: For the Spanish and Portuguese translations of the abstract see Supplementary Materials section.","container-title":"The Lancet. Global Health","DOI":"10.1016/S2214-109X(24)00150-5","ISSN":"2214-109X","issue":"8","journalAbbreviation":"Lancet Glob Health","language":"eng","note":"PMID: 38942042\nPMCID: PMC11254784","page":"e1232-e1243","source":"PubMed","title":"National, regional, and global trends in insufficient physical activity among adults from 2000 to 2022: a pooled analysis of 507 population-based surveys with 5·7 million participants","title-short":"National, regional, and global trends in insufficient physical activity among adults from 2000 to 2022","volume":"12","author":[{"family":"Strain","given":"Tessa"},{"family":"Flaxman","given":"Seth"},{"family":"Guthold","given":"Regina"},{"family":"Semenova","given":"Elizaveta"},{"family":"Cowan","given":"Melanie"},{"family":"Riley","given":"Leanne M."},{"family":"Bull","given":"Fiona C."},{"family":"Stevens","given":"Gretchen A."},{"literal":"Country Data Author Group"}],"issued":{"date-parts":[["2024",8]]}}},{"id":3516,"uris":["http://zotero.org/users/14122/items/9QYEWZFU"],"itemData":{"id":3516,"type":"article-journal","container-title":"The Lancet Child &amp; Adolescent Health","DOI":"10.1016/S2352-4642(19)30323-2","ISSN":"2352-4642, 2352-4650","issue":"1","journalAbbreviation":"The Lancet Child &amp; Adolescent Health","language":"English","note":"publisher: Elsevier\nPMID: 31761562","page":"23-35","source":"www.thelancet.com","title":"Global trends in insufficient physical activity among adolescents: a pooled analysis of 298 population-based surveys with 1·6 million participants","title-short":"Global trends in insufficient physical activity among adolescents","volume":"4","author":[{"family":"Guthold","given":"Regina"},{"family":"Stevens","given":"Gretchen A."},{"family":"Riley","given":"Leanne M."},{"family":"Bull","given":"Fiona C."}],"issued":{"date-parts":[["2020",1,1]]}}},{"id":4014,"uris":["http://zotero.org/users/14122/items/Z3TRUXWP"],"itemData":{"id":4014,"type":"article-journal","abstract":"BACKGROUND: Underweight and obesity are associated with adverse health outcomes throughout the life course. We estimated the individual and combined prevalence of underweight or thinness and obesity, and their changes, from 1990 to 2022 for adults and school-aged children and adolescents in 200 countries and territories.\nMETHODS: We used data from 3663 population-based studies with 222 million participants that measured height and weight in representative samples of the general population. We used a Bayesian hierarchical model to estimate trends in the prevalence of different BMI categories, separately for adults (age ≥20 years) and school-aged children and adolescents (age 5-19 years), from 1990 to 2022 for 200 countries and territories. For adults, we report the individual and combined prevalence of underweight (BMI &lt;18·5 kg/m2) and obesity (BMI ≥30 kg/m2). For school-aged children and adolescents, we report thinness (BMI &lt;2 SD below the median of the WHO growth reference) and obesity (BMI &gt;2 SD above the median).\nFINDINGS: From 1990 to 2022, the combined prevalence of underweight and obesity in adults decreased in 11 countries (6%) for women and 17 (9%) for men with a posterior probability of at least 0·80 that the observed changes were true decreases. The combined prevalence increased in 162 countries (81%) for women and 140 countries (70%) for men with a posterior probability of at least 0·80. In 2022, the combined prevalence of underweight and obesity was highest in island nations in the Caribbean and Polynesia and Micronesia, and countries in the Middle East and north Africa. Obesity prevalence was higher than underweight with posterior probability of at least 0·80 in 177 countries (89%) for women and 145 (73%) for men in 2022, whereas the converse was true in 16 countries (8%) for women, and 39 (20%) for men. From 1990 to 2022, the combined prevalence of thinness and obesity decreased among girls in five countries (3%) and among boys in 15 countries (8%) with a posterior probability of at least 0·80, and increased among girls in 140 countries (70%) and boys in 137 countries (69%) with a posterior probability of at least 0·80. The countries with highest combined prevalence of thinness and obesity in school-aged children and adolescents in 2022 were in Polynesia and Micronesia and the Caribbean for both sexes, and Chile and Qatar for boys. Combined prevalence was also high in some countries in south Asia, such as India and Pakistan, where thinness remained prevalent despite having declined. In 2022, obesity in school-aged children and adolescents was more prevalent than thinness with a posterior probability of at least 0·80 among girls in 133 countries (67%) and boys in 125 countries (63%), whereas the converse was true in 35 countries (18%) and 42 countries (21%), respectively. In almost all countries for both adults and school-aged children and adolescents, the increases in double burden were driven by increases in obesity, and decreases in double burden by declining underweight or thinness.\nINTERPRETATION: The combined burden of underweight and obesity has increased in most countries, driven by an increase in obesity, while underweight and thinness remain prevalent in south Asia and parts of Africa. A healthy nutrition transition that enhances access to nutritious foods is needed to address the remaining burden of underweight while curbing and reversing the increase in obesity.\nFUNDING: UK Medical Research Council, UK Research and Innovation (Research England), UK Research and Innovation (Innovate UK), and European Union.","container-title":"The Lancet","DOI":"10.1016/S0140-6736(23)02750-2","ISSN":"1474-547X","issue":"10431","journalAbbreviation":"Lancet","language":"eng","note":"PMID: 38432237\nPMCID: PMC7615769","page":"1027-1050","source":"PubMed","title":"Worldwide trends in underweight and obesity from 1990 to 2022: a pooled analysis of 3663 population-representative studies with 222 million children, adolescents, and adults","title-short":"Worldwide trends in underweight and obesity from 1990 to 2022","volume":"403","author":[{"literal":"NCD Risk Factor Collaboration (NCD-RisC)"}],"issued":{"date-parts":[["2024",3,16]]}}},{"id":3532,"uris":["http://zotero.org/users/14122/items/9YUCZLD6"],"itemData":{"id":3532,"type":"article-journal","abstract":"Being taller is associated with enhanced longevity, and higher education and earnings. We reanalysed 1472 population-based studies, with measurement of height on more than 18.6 million participants to estimate mean height for people born between 1896 and 1996 in 200 countries. The largest gain in adult height over the past century has occurred in South Korean women and Iranian men, who became 20.2 cm (95% credible interval 17.5–22.7) and 16.5 cm (13.3–19.7) taller, respectively. In contrast, there was little change in adult height in some sub-Saharan African countries and in South Asia over the century of analysis. The tallest people over these 100 years are men born in the Netherlands in the last quarter of 20th century, whose average heights surpassed 182.5 cm, and the shortest were women born in Guatemala in 1896 (140.3 cm; 135.8–144.8). The height differential between the tallest and shortest populations was 19-20 cm a century ago, and has remained the same for women and increased for men a century later despite substantial changes in the ranking of countries.","container-title":"eLife","DOI":"10.7554/eLife.13410","ISSN":"2050-084X","note":"publisher: eLife Sciences Publications, Ltd","page":"e13410","source":"eLife","title":"A century of trends in adult human height","volume":"5","author":[{"literal":"NCD Risk Factor Collaboration (NCD-RisC)"}],"editor":[{"family":"Franco","given":"Eduardo"}],"issued":{"date-parts":[["2016",7,26]]}}}],"schema":"https://github.com/citation-style-language/schema/raw/master/csl-citation.json"} </w:instrText>
      </w:r>
      <w:r w:rsidR="00FF2173" w:rsidRPr="009664B1">
        <w:rPr>
          <w:rFonts w:ascii="Arial" w:hAnsi="Arial" w:cs="Arial"/>
          <w:sz w:val="22"/>
          <w:szCs w:val="22"/>
        </w:rPr>
        <w:fldChar w:fldCharType="separate"/>
      </w:r>
      <w:r w:rsidR="00935615" w:rsidRPr="00935615">
        <w:rPr>
          <w:rFonts w:ascii="Arial" w:hAnsi="Arial" w:cs="Arial"/>
          <w:kern w:val="0"/>
          <w:sz w:val="22"/>
          <w:vertAlign w:val="superscript"/>
        </w:rPr>
        <w:t>7–10</w:t>
      </w:r>
      <w:r w:rsidR="00FF2173" w:rsidRPr="009664B1">
        <w:rPr>
          <w:rFonts w:ascii="Arial" w:hAnsi="Arial" w:cs="Arial"/>
          <w:sz w:val="22"/>
          <w:szCs w:val="22"/>
        </w:rPr>
        <w:fldChar w:fldCharType="end"/>
      </w:r>
      <w:r w:rsidR="00FF2173" w:rsidRPr="009664B1">
        <w:rPr>
          <w:rFonts w:ascii="Arial" w:hAnsi="Arial" w:cs="Arial"/>
          <w:sz w:val="22"/>
          <w:szCs w:val="22"/>
        </w:rPr>
        <w:t>.</w:t>
      </w:r>
      <w:r w:rsidR="009664B1">
        <w:rPr>
          <w:rFonts w:ascii="Arial" w:hAnsi="Arial" w:cs="Arial"/>
          <w:sz w:val="22"/>
          <w:szCs w:val="22"/>
        </w:rPr>
        <w:t xml:space="preserve"> </w:t>
      </w:r>
      <w:r w:rsidR="009664B1" w:rsidRPr="00BB231B">
        <w:rPr>
          <w:rFonts w:ascii="Arial" w:hAnsi="Arial" w:cs="Arial"/>
          <w:sz w:val="22"/>
          <w:szCs w:val="22"/>
        </w:rPr>
        <w:t>Table S1</w:t>
      </w:r>
      <w:r w:rsidR="009664B1" w:rsidRPr="009664B1">
        <w:rPr>
          <w:rFonts w:ascii="Arial" w:hAnsi="Arial" w:cs="Arial"/>
          <w:sz w:val="22"/>
          <w:szCs w:val="22"/>
        </w:rPr>
        <w:t xml:space="preserve"> provides an overview of the estimates of food intake. </w:t>
      </w:r>
    </w:p>
    <w:p w14:paraId="474FF8E1" w14:textId="77777777" w:rsidR="00FF2173" w:rsidRPr="009664B1" w:rsidRDefault="00FF2173" w:rsidP="00FC0B1B">
      <w:pPr>
        <w:spacing w:line="360" w:lineRule="auto"/>
        <w:rPr>
          <w:rFonts w:ascii="Arial" w:hAnsi="Arial" w:cs="Arial"/>
          <w:sz w:val="22"/>
          <w:szCs w:val="22"/>
        </w:rPr>
      </w:pPr>
    </w:p>
    <w:p w14:paraId="6B4EC4EE" w14:textId="56BDC9CF" w:rsidR="00997066" w:rsidRPr="009664B1" w:rsidRDefault="009260D1" w:rsidP="00FC0B1B">
      <w:pPr>
        <w:spacing w:line="360" w:lineRule="auto"/>
        <w:rPr>
          <w:rFonts w:ascii="Arial" w:hAnsi="Arial" w:cs="Arial"/>
          <w:sz w:val="22"/>
          <w:szCs w:val="22"/>
        </w:rPr>
      </w:pPr>
      <w:r w:rsidRPr="009664B1">
        <w:rPr>
          <w:rFonts w:ascii="Arial" w:hAnsi="Arial" w:cs="Arial"/>
          <w:sz w:val="22"/>
          <w:szCs w:val="22"/>
        </w:rPr>
        <w:t xml:space="preserve">The estimates </w:t>
      </w:r>
      <w:r w:rsidR="00997066" w:rsidRPr="009664B1">
        <w:rPr>
          <w:rFonts w:ascii="Arial" w:hAnsi="Arial" w:cs="Arial"/>
          <w:sz w:val="22"/>
          <w:szCs w:val="22"/>
        </w:rPr>
        <w:t xml:space="preserve">of food intake </w:t>
      </w:r>
      <w:r w:rsidRPr="009664B1">
        <w:rPr>
          <w:rFonts w:ascii="Arial" w:hAnsi="Arial" w:cs="Arial"/>
          <w:sz w:val="22"/>
          <w:szCs w:val="22"/>
        </w:rPr>
        <w:t xml:space="preserve">address </w:t>
      </w:r>
      <w:r w:rsidR="00403841" w:rsidRPr="009664B1">
        <w:rPr>
          <w:rFonts w:ascii="Arial" w:hAnsi="Arial" w:cs="Arial"/>
          <w:sz w:val="22"/>
          <w:szCs w:val="22"/>
        </w:rPr>
        <w:t>key</w:t>
      </w:r>
      <w:r w:rsidRPr="009664B1">
        <w:rPr>
          <w:rFonts w:ascii="Arial" w:hAnsi="Arial" w:cs="Arial"/>
          <w:sz w:val="22"/>
          <w:szCs w:val="22"/>
        </w:rPr>
        <w:t xml:space="preserve"> shortcomings of existing proxies </w:t>
      </w:r>
      <w:r w:rsidR="00403841"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{"citationID":"M5xbufOP","properties":{"formattedCitation":"\\super 11,12\\nosupersub{}","plainCitation":"11,12","noteIndex":0},"citationItems":[{"id":3452,"uris":["http://zotero.org/users/14122/items/CAUKXBMI"],"itemData":{"id":3452,"type":"article-journal","abstract":"Measuring the dietary intakes of individuals for research and monitoring purposes is notoriously challenging and is subject to both random and systematic measurement error. In this review, the strengths and limitations of current methods to assess dietary and supplemental exposures are described. Traditional methods of dietary assessment include food records, food frequency questionnaires, 24-hour recalls, and screening tools; digital and mobile methods that leverage technology are available for these traditional methods. Ultimately, the choice of assessment method is dependent upon the research question, the study design, sample characteristics, and the size of the sample, to name just a few. Despite their challenges, dietary assessment tools are an important dimension of nutrition research and monitoring.","collection-title":"Food Biotechnology ● Plant Biotechnology","container-title":"Current Opinion in Biotechnology","DOI":"10.1016/j.copbio.2021.02.007","ISSN":"0958-1669","journalAbbreviation":"Current Opinion in Biotechnology","language":"en","page":"91-96","source":"ScienceDirect","title":"Overview of dietary assessment methods for measuring intakes of foods, beverages, and dietary supplements in research studies","volume":"70","author":[{"family":"Bailey","given":"Regan L"}],"issued":{"date-parts":[["2021",8,1]]}}},{"id":3448,"uris":["http://zotero.org/users/14122/items/QGZ6R3GA"],"itemData":{"id":3448,"type":"article-journal","abstract":"BACKGROUND: Detailed information on global individual-level consumption patterns is imperative for informed policy making. However, such data are dispersed and incomplete.\nOBJECTIVE: To review and discuss the methodologies, observed data availability, challenges, and opportunities pertaining to global dietary surveillance.\nMETHODS: This investigation provides an extensive review of global dietary assessment methodologies and challenges, including at the survey level, the dietary collection and assessment level, and the dietary data processing and analysis level. The focus is on nationally representative individual-level data, and additional types of dietary data, such as dietary biomarkers, household assessment, and food availability, are reviewed as alternatives. Practical guidance is provided to inform key decisions when designing dietary surveys and collecting, analyzing, and using dietary data. This article further identifies and describes existing global and regional dietary initiatives/data sets.\nRESULTS: Harmonized and standardized primary individual-level dietary data collection, processing, and analysis worldwide are currently not available. Evaluation and decision-making should be based on best available data, that is, secondary nonharmonized yet to the extent possible, standardized individual-level dietary data. Existing initiatives differ substantially in methodologies, including survey design/representativeness, coverage, diet assessment, and dietary metric standardization and processing. Data gaps have been identified that were more profound for certain countries, certain dietary indicators across countries, population subgroups, representativeness, or time periods.\nCONCLUSIONS: Optimizing worldwide dietary habits to improve population health requires systematically identified and evaluated data on a continuing basis. Leveraging existing available dietary data and efforts is an indispensable prerequisite for informed priority setting targeting the intersections between diet and disease.","container-title":"Food and Nutrition Bulletin","DOI":"10.1177/0379572117752986","ISSN":"1564-8265","issue":"2","journalAbbreviation":"Food Nutr Bull","language":"eng","note":"PMID: 29478333","page":"175-205","source":"PubMed","title":"Global Dietary Surveillance: Data Gaps and Challenges","title-short":"Global Dietary Surveillance","volume":"39","author":[{"family":"Micha","given":"Renata"},{"family":"Coates","given":"Jennifer"},{"family":"Leclercq","given":"Catherine"},{"family":"Charrondiere","given":"U. Ruth"},{"family":"Mozaffarian","given":"Dariush"}],"issued":{"date-parts":[["2018",6]]}}}],"schema":"https://github.com/citation-style-language/schema/raw/master/csl-citation.json"} </w:instrText>
      </w:r>
      <w:r w:rsidR="00403841" w:rsidRPr="009664B1">
        <w:rPr>
          <w:rFonts w:ascii="Arial" w:hAnsi="Arial" w:cs="Arial"/>
          <w:sz w:val="22"/>
          <w:szCs w:val="22"/>
        </w:rPr>
        <w:fldChar w:fldCharType="separate"/>
      </w:r>
      <w:r w:rsidR="00935615" w:rsidRPr="00935615">
        <w:rPr>
          <w:rFonts w:ascii="Arial" w:hAnsi="Arial" w:cs="Arial"/>
          <w:kern w:val="0"/>
          <w:sz w:val="22"/>
          <w:vertAlign w:val="superscript"/>
        </w:rPr>
        <w:t>11,12</w:t>
      </w:r>
      <w:r w:rsidR="00403841" w:rsidRPr="009664B1">
        <w:rPr>
          <w:rFonts w:ascii="Arial" w:hAnsi="Arial" w:cs="Arial"/>
          <w:sz w:val="22"/>
          <w:szCs w:val="22"/>
        </w:rPr>
        <w:fldChar w:fldCharType="end"/>
      </w:r>
      <w:r w:rsidRPr="009664B1">
        <w:rPr>
          <w:rFonts w:ascii="Arial" w:hAnsi="Arial" w:cs="Arial"/>
          <w:sz w:val="22"/>
          <w:szCs w:val="22"/>
        </w:rPr>
        <w:t>. Estimates of food availability capture the composition of food demand, but they are known to overestimate actual intake</w:t>
      </w:r>
      <w:r w:rsidR="00997066" w:rsidRPr="009664B1">
        <w:rPr>
          <w:rFonts w:ascii="Arial" w:hAnsi="Arial" w:cs="Arial"/>
          <w:sz w:val="22"/>
          <w:szCs w:val="22"/>
        </w:rPr>
        <w:t xml:space="preserve"> when not carefully adjusted for food waste</w:t>
      </w:r>
      <w:r w:rsidR="00524C92" w:rsidRPr="009664B1">
        <w:rPr>
          <w:rFonts w:ascii="Arial" w:hAnsi="Arial" w:cs="Arial"/>
          <w:sz w:val="22"/>
          <w:szCs w:val="22"/>
        </w:rPr>
        <w:t xml:space="preserve"> </w:t>
      </w:r>
      <w:r w:rsidR="00524C92"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{"citationID":"kNerZCUy","properties":{"formattedCitation":"\\super 13,14\\nosupersub{}","plainCitation":"13,14","noteIndex":0},"citationItems":[{"id":1326,"uris":["http://zotero.org/users/14122/items/ADNMYALJ"],"itemData":{"id":1326,"type":"article-journal","abstract":"Background: Accurate data on dietary habits are crucial for understanding impacts on disease and informing policy priorities. Nation-specific food balance sheets from the United Nations FAO provided the only available global dietary estimates but with uncertain validity. Objectives: We investigated how FAO estimates compared with nationally representative, individual-based dietary surveys from the Global Dietary Database (GDD) and developed calibration equations to improve the validity of FAO data to estimate dietary intakes. Design: FAO estimates were matched to GDD data for 113 countries across the following 9 major dietary metrics for 30 y of data (1980–2009): fruit, vegetables, beans and legumes, nuts and seeds, whole grains, red and processed meats, fish and seafood, milk, and total energy. Both absolute and percentage differences in FAO and GDD mean estimates were evaluated. Linear regression was used to evaluate whether FAO estimates predicted GDD dietary intakes and whether this prediction varied according to age, sex, region, and time. Calibration equations were developed to adjust FAO estimates to approximate national dietary surveys validated by using randomly split data sets. Results: For most food groups, FAO estimates substantially overestimated individual-based dietary intakes by 74.5% (vegetables) and 270% (whole grains) while underestimating beans and legumes (−50%) and nuts and seeds (−29%) (P \\textless 0.05 for each). In multivariate regressions, these overestimations and underestimations for each dietary factor further varied by age, sex, region, and time (P \\textless 0.001 for each). Split–data set calibration models, which accounted for country-level covariates and other sources of heterogeneity, effectively adjusted FAO estimates to approximate estimates from national survey data (r = 0.47–0.80) with small SEs of prediction (generally 1–5 g/d). Conclusions: For all food groups and total energy, FAO estimates substantially exceeded or underestimated individual-based national surveys of individual intakes with significant variation depending on age, sex, region, and time. Calibration models effectively adjusted the comprehensive, widely accessible FAO data to facilitate a more-accurate estimation of individual-level dietary intakes nationally and by age and sex.","container-title":"The American Journal of Clinical Nutrition","issue":"5","language":"en","page":"1038–1046","title":"Assessing global dietary habits: a comparison of national estimates from the FAO and the Global Dietary Database","volume":"101","author":[{"family":"Gobbo","given":"Liana C. Del"},{"family":"Khatibzadeh","given":"Shahab"},{"family":"Imamura","given":"Fumiaki"},{"family":"Micha","given":"Renata"},{"family":"Shi","given":"Peilin"},{"family":"Smith","given":"Matthew"},{"family":"Myers","given":"Samuel S."},{"family":"Mozaffarian","given":"Dariush"}],"issued":{"date-parts":[["2015"]]}}},{"id":1884,"uris":["http://zotero.org/users/14122/items/UYKIY8SH"],"itemData":{"id":1884,"type":"article-journal","abstract":"Study objective: This project determined to what extent data on diet and nutrition, which were collected in a non-uniform manner, could be harmonised and pooled for international and national comparison. Design: Direct comparisons of dietary data between studies were made using food balance sheets (FBS), household budget surveys (HBS), and individual dietary data (IDS); comparisons were also made within countries. Differences in study design and methodological approaches were taken into consideration. Data from research projects from the following four World Health Organisation (WHO) Countrywide Integrated Noncommunicable Disease Intervention (CINDI) countries were included—Canada, Finland, Poland, and Spain. Main results: FBS overestimated food consumption and nutrient intake compared to IDS. Results between HBS and IDS were quite similar, except for fish, meat, pulses and vegetables, which were underestimated by HBS, and sugar and honey and cereals, which were overestimated. Percentages of energy from fat, carbohydrates and proteins were higher when estimated from FBS, HBS, and IDS respectively. Conclusions: Results suggest that estimations from these three sources of dietary data are difficult to compare because they are measuring different levels of dietary information. The understanding of their relations may be important in formulating and evaluating a nutrition policy.","container-title":"Journal of Epidemiology and Community Health","issue":"1","language":"en","page":"74–80","title":"Comparative analysis of nutrition data from national, household, and individual levels: results from a WHO-CINDI collaborative project in Canada, Finland, Poland, and Spain","volume":"57","author":[{"family":"Serra-Majem","given":"L."},{"family":"MacLean","given":"D."},{"family":"Ribas","given":"L."},{"family":"Brulé","given":"D."},{"family":"Sekula","given":"W."},{"family":"Prattala","given":"R."},{"family":"Garcia-Closas","given":"R."},{"family":"Yngve","given":"A."},{"family":"Lalonde","given":"M."},{"family":"Petrasovits","given":"A."}],"issued":{"date-parts":[["2003"]]}}}],"schema":"https://github.com/citation-style-language/schema/raw/master/csl-citation.json"} </w:instrText>
      </w:r>
      <w:r w:rsidR="00524C92" w:rsidRPr="009664B1">
        <w:rPr>
          <w:rFonts w:ascii="Arial" w:hAnsi="Arial" w:cs="Arial"/>
          <w:sz w:val="22"/>
          <w:szCs w:val="22"/>
        </w:rPr>
        <w:fldChar w:fldCharType="separate"/>
      </w:r>
      <w:r w:rsidR="00935615" w:rsidRPr="00935615">
        <w:rPr>
          <w:rFonts w:ascii="Arial" w:hAnsi="Arial" w:cs="Arial"/>
          <w:kern w:val="0"/>
          <w:sz w:val="22"/>
          <w:vertAlign w:val="superscript"/>
        </w:rPr>
        <w:t>13,14</w:t>
      </w:r>
      <w:r w:rsidR="00524C92" w:rsidRPr="009664B1">
        <w:rPr>
          <w:rFonts w:ascii="Arial" w:hAnsi="Arial" w:cs="Arial"/>
          <w:sz w:val="22"/>
          <w:szCs w:val="22"/>
        </w:rPr>
        <w:fldChar w:fldCharType="end"/>
      </w:r>
      <w:r w:rsidRPr="009664B1">
        <w:rPr>
          <w:rFonts w:ascii="Arial" w:hAnsi="Arial" w:cs="Arial"/>
          <w:sz w:val="22"/>
          <w:szCs w:val="22"/>
        </w:rPr>
        <w:t xml:space="preserve">. </w:t>
      </w:r>
      <w:r w:rsidR="00524C92" w:rsidRPr="009664B1">
        <w:rPr>
          <w:rFonts w:ascii="Arial" w:hAnsi="Arial" w:cs="Arial"/>
          <w:sz w:val="22"/>
          <w:szCs w:val="22"/>
        </w:rPr>
        <w:t>In contrast, d</w:t>
      </w:r>
      <w:r w:rsidRPr="009664B1">
        <w:rPr>
          <w:rFonts w:ascii="Arial" w:hAnsi="Arial" w:cs="Arial"/>
          <w:sz w:val="22"/>
          <w:szCs w:val="22"/>
        </w:rPr>
        <w:t>ietary surveys are the only source for inferring demographic variation in intake, but they are prone to substantial underreporting in total intake</w:t>
      </w:r>
      <w:r w:rsidR="00524C92" w:rsidRPr="009664B1">
        <w:rPr>
          <w:rFonts w:ascii="Arial" w:hAnsi="Arial" w:cs="Arial"/>
          <w:sz w:val="22"/>
          <w:szCs w:val="22"/>
        </w:rPr>
        <w:t xml:space="preserve"> </w:t>
      </w:r>
      <w:r w:rsidR="00524C92"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{"citationID":"2DuUHHfm","properties":{"formattedCitation":"\\super 15\\uc0\\u8211{}19\\nosupersub{}","plainCitation":"15–19","noteIndex":0},"citationItems":[{"id":3456,"uris":["http://zotero.org/users/14122/items/V6S2LJJN"],"itemData":{"id":3456,"type":"article-journal","abstract":"The fundamental principles of energy physiology were used to evaluate the validity of reported energy intake (EI) in 37 published dietary studies of adults providing 68 subgroups when classified according to sex and dietary method. EI was expressed as a multiple of BMR estimated using the reported heights and weights of the study populations (EI:BMR(est)). This ratio was compared with a study-specific cut-off value representing the lowest value for EI:BMR(est) that could, within defined bounds of statistical probability, reflect the habitual energy expenditure of a sedentary life-style. Mean EI:BMR(est) was 1.43 (0.19) compared with an expected requirement of 1.55. In 46 out of the 68 groups (68%), EI:BMR(est) was below the study-specific cut-off value. EI:BMR(est) was 1.37 (SD = 0.13) for women and 1.50 (SD = 0.16) for men (P less than 0.001). This could reflect either better reporting by men or a more active life-style. When categorized according to dietary assessment method, 64%, 88% and 25% of results fell below the acceptable cut-off value for studies by diet records, diet recall and diet history, respectively. These data indicate that dietary assessment methods have a strong bias towards underestimation of habitual energy intake.","container-title":"European Journal of Clinical Nutrition","ISSN":"0954-3007","issue":"12","journalAbbreviation":"Eur J Clin Nutr","language":"eng","note":"PMID: 1810720","page":"583-599","source":"PubMed","title":"Critical evaluation of energy intake data using fundamental principles of energy physiology: 2. Evaluating the results of published surveys","title-short":"Critical evaluation of energy intake data using fundamental principles of energy physiology","volume":"45","author":[{"family":"Black","given":"A. E."},{"family":"Goldberg","given":"G. R."},{"family":"Jebb","given":"S. A."},{"family":"Livingstone","given":"M. B."},{"family":"Cole","given":"T. J."},{"family":"Prentice","given":"A. M."}],"issued":{"date-parts":[["1991",12]]}}},{"id":2929,"uris":["http://zotero.org/users/14122/items/H2APWU8F"],"itemData":{"id":2929,"type":"article-journal","abstract":"Accuracy in quantifying energy intake (EI) using common dietary assessment methods is crucial for interpreting the relationship between diet and chronic disease. The aim of this systematic review was to evaluate the validity of dietary assessment methods used to estimate the EI of adults in comparison to total energy expenditure (TEE) measured by doubly labeled water (DLW). Articles in English across nine electronic databases, published between 1973 and February 2019 were retrieved. Studies were included if participants were adults (≥18 years) and used the DLW technique to measure TEE compared to self-reported EI. A total of 59 studies were included, with a total of 6,298 free living adults and a mean of 107 participants per study. The majority of studies including 16 studies that included a technology based method reported significant (P &lt; 0.05) under-reporting of EI when compared to TEE, with few over-reporting EI. Misreporting was more frequent among females compared to males within recall based dietary assessment methods. The degree of under-reporting was highly variable within studies using the same method, with 24 h recalls having less variation and degree of under-reporting compared to other methods.","container-title":"Frontiers in Endocrinology","DOI":"10.3389/fendo.2019.00850","ISSN":"1664-2392","journalAbbreviation":"Front Endocrinol","language":"eng","note":"PMID: 31920966\nPMCID: PMC6928130","page":"850","source":"PubMed","title":"Validity of Dietary Assessment Methods When Compared to the Method of Doubly Labeled Water: A Systematic Review in Adults","title-short":"Validity of Dietary Assessment Methods When Compared to the Method of Doubly Labeled Water","volume":"10","author":[{"family":"Burrows","given":"Tracy L."},{"family":"Ho","given":"Yan Yee"},{"family":"Rollo","given":"Megan E."},{"family":"Collins","given":"Clare E."}],"issued":{"date-parts":[["2019"]]}}},{"id":3462,"uris":["http://zotero.org/users/14122/items/TLXJPI82"],"itemData":{"id":3462,"type":"article-journal","abstract":"Studies of food habits and dietary intakes face a number of unique respondent and observer considerations at different stages from early childhood to late adolescence. Despite this, intakes have often been reported as if valid, and the interpretation of links between intake and health has been based, often erroneously, on the assumption of validity. However, validation studies of energy intake data have led to the widespread recognition that much of the dietary data on children and adolescents is prone to reporting error, mostly through under-reporting. Reporting error is influenced by body weight status and does not occur systematically across different age groups or different dietary survey techniques. It appears that the available methods for assessing the dietary intakes of children are, at best, able to provide unbiased estimates of energy intake only at the group level, while the food intake data of most adolescents are particularly prone to reporting error at both the group and the individual level. Moreover, evidence for the existence of subject-specific responding in dietary assessments challenges the assumption that repeated measurements of dietary intake will eventually obtain valid data. Only limited progress has been made in understanding the variables associated with misreporting in these age groups, the associated biases in estimating nutrient intakes and the most appropriate way to interpret unrepresentative dietary data. Until these issues are better understood, researchers should exercise considerable caution when evaluating all such data.","container-title":"British Journal of Nutrition","DOI":"10.1079/BJN20041169","ISSN":"1475-2662, 0007-1145","issue":"S2","language":"en","note":"publisher: Cambridge University Press","page":"S213-S222","source":"Cambridge University Press","title":"Issues in dietary intake assessment of children and adolescents","volume":"92","author":[{"family":"Livingstone","given":"M. B. E."},{"family":"Robson","given":"P. J."},{"family":"Wallace","given":"J. M. W."}],"issued":{"date-parts":[["2004",10]]}}},{"id":3460,"uris":["http://zotero.org/users/14122/items/Y7RBMTY5"],"itemData":{"id":3460,"type":"article-journal","container-title":"Journal of the American Dietetic Association","DOI":"10.1016/j.jada.2010.07.008","ISSN":"0002-8223, 1878-3570","issue":"10","journalAbbreviation":"Journal of the American Dietetic Association","language":"English","note":"publisher: Elsevier","page":"1501-1510","source":"www.jandonline.org","title":"A Systematic Review of the Validity of Dietary Assessment Methods in Children when Compared with the Method of Doubly Labeled Water","volume":"110","author":[{"family":"Burrows","given":"Tracy L."},{"family":"Martin","given":"Rebecca J."},{"family":"Collins","given":"Clare E."}],"issued":{"date-parts":[["2010",10,1]]}}},{"id":3465,"uris":["http://zotero.org/users/14122/items/9EMMA48W"],"itemData":{"id":3465,"type":"article-journal","abstract":"This paper describes the Observing Protein and Energy Nutrition (OPEN) Study, conducted from September 1999 to March 2000. The purpose of the study was to assess dietary measurement error using two self-reported dietary instruments—the food frequency questionnaire (FFQ) and the 24-hour dietary recall (24HR)—and unbiased biomarkers of energy and protein intakes: doubly labeled water and urinary nitrogen. Participants were 484 men and women aged 40–69 years from Montgomery County, Maryland. Nine percent of men and 7% of women were defined as underreporters of both energy and protein intake on 24HRs; for FFQs, the comparable values were 35% for men and 23% for women. On average, men underreported energy intake compared with total energy expenditure by 12–14% on 24HRs and 31–36% on FFQs and underreported protein intake compared with a protein biomarker by 11–12% on 24HRs and 30–34% on FFQs. Women underreported energy intake on 24HRs by 16–20% and on FFQs by 34–38% and underreported protein intake by 11–15% on 24HRs and 27–32% on FFQs. There was little underreporting of the percentage of energy from protein for men or women. These findings have important implications for nutritional epidemiology and dietary surveillance.","container-title":"American Journal of Epidemiology","DOI":"10.1093/aje/kwg092","ISSN":"0002-9262","issue":"1","journalAbbreviation":"American Journal of Epidemiology","page":"1-13","source":"Silverchair","title":"Using Intake Biomarkers to Evaluate the Extent of Dietary Misreporting in a Large Sample of Adults: The OPEN Study","title-short":"Using Intake Biomarkers to Evaluate the Extent of Dietary Misreporting in a Large Sample of Adults","volume":"158","author":[{"family":"Subar","given":"Amy F."},{"family":"Kipnis","given":"Victor"},{"family":"Troiano","given":"Richard P."},{"family":"Midthune","given":"Douglas"},{"family":"Schoeller","given":"Dale A."},{"family":"Bingham","given":"Sheila"},{"family":"Sharbaugh","given":"Carolyn O."},{"family":"Trabulsi","given":"Jillian"},{"family":"Runswick","given":"Shirley"},{"family":"Ballard-Barbash","given":"Rachel"},{"family":"Sunshine","given":"Joel"},{"family":"Schatzkin","given":"Arthur"}],"issued":{"date-parts":[["2003",7,1]]}}}],"schema":"https://github.com/citation-style-language/schema/raw/master/csl-citation.json"} </w:instrText>
      </w:r>
      <w:r w:rsidR="00524C92" w:rsidRPr="009664B1">
        <w:rPr>
          <w:rFonts w:ascii="Arial" w:hAnsi="Arial" w:cs="Arial"/>
          <w:sz w:val="22"/>
          <w:szCs w:val="22"/>
        </w:rPr>
        <w:fldChar w:fldCharType="separate"/>
      </w:r>
      <w:r w:rsidR="00935615" w:rsidRPr="00935615">
        <w:rPr>
          <w:rFonts w:ascii="Arial" w:hAnsi="Arial" w:cs="Arial"/>
          <w:kern w:val="0"/>
          <w:sz w:val="22"/>
          <w:vertAlign w:val="superscript"/>
        </w:rPr>
        <w:t>15–19</w:t>
      </w:r>
      <w:r w:rsidR="00524C92" w:rsidRPr="009664B1">
        <w:rPr>
          <w:rFonts w:ascii="Arial" w:hAnsi="Arial" w:cs="Arial"/>
          <w:sz w:val="22"/>
          <w:szCs w:val="22"/>
        </w:rPr>
        <w:fldChar w:fldCharType="end"/>
      </w:r>
      <w:r w:rsidRPr="009664B1">
        <w:rPr>
          <w:rFonts w:ascii="Arial" w:hAnsi="Arial" w:cs="Arial"/>
          <w:sz w:val="22"/>
          <w:szCs w:val="22"/>
        </w:rPr>
        <w:t xml:space="preserve">, and existing global databases </w:t>
      </w:r>
      <w:r w:rsidR="00997066" w:rsidRPr="009664B1">
        <w:rPr>
          <w:rFonts w:ascii="Arial" w:hAnsi="Arial" w:cs="Arial"/>
          <w:sz w:val="22"/>
          <w:szCs w:val="22"/>
        </w:rPr>
        <w:t xml:space="preserve">tend to </w:t>
      </w:r>
      <w:r w:rsidRPr="009664B1">
        <w:rPr>
          <w:rFonts w:ascii="Arial" w:hAnsi="Arial" w:cs="Arial"/>
          <w:sz w:val="22"/>
          <w:szCs w:val="22"/>
        </w:rPr>
        <w:t>focus on specific dietary components (e.g., fruits and vegetables, whole and refined grains, and red and processed meat) without capturing complete diets</w:t>
      </w:r>
      <w:r w:rsidR="00524C92" w:rsidRPr="009664B1">
        <w:rPr>
          <w:rFonts w:ascii="Arial" w:hAnsi="Arial" w:cs="Arial"/>
          <w:sz w:val="22"/>
          <w:szCs w:val="22"/>
        </w:rPr>
        <w:t xml:space="preserve"> </w:t>
      </w:r>
      <w:r w:rsidR="00524C92"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{"citationID":"B0gPZGhO","properties":{"formattedCitation":"\\super 4,20\\nosupersub{}","plainCitation":"4,20","noteIndex":0},"citationItems":[{"id":1942,"uris":["http://zotero.org/users/14122/items/7V65YYYU"],"itemData":{"id":1942,"type":"article-journal","abstract":"Background We aimed to systematically identify, standardise and disseminate individual-level dietary intake surveys from up to 207 countries for 54 foods, beverages and nutrients, including subnational intakes by age, sex, education and urban/rural residence, from 1980 to 2015.\nMethods Between 2008–2011 and 2014–2020, the Global Dietary Database (GDD) project systematically searched for surveys assessing individual-level intake worldwide. We prioritised nationally or subnationally representative surveys using 24-hour recalls, Food-Frequency Questionnaires or short standardised questionnaires. Data were retrieved from websites or corresponding members as individual-level food group microdata or aggregate stratum-level data. Standardisation included quality assessment; data cleaning; categorising of foods and nutrients and their units; aggregation by demographic strata and energy adjustment.\nResults We standardised and incorporated 1220 surveys into the final GDD 2017 database, together represented 188 countries and 99.0% of the world’s population in 2015. 72.1% were nationally, 17.0% subnationally, and 10.9% community-level representative. 41.2% used Food-Frequency Questionnaires; 23.4%, 24-hour recalls; 15.8%, Demographic Health Survey questionnaires; 13.1%, biomarkers and 6.4%, household surveys. 73.9% of surveys included data on children; 52.2%, by urban and rural residence; and 30.2%, by education. Most surveys were in high-income countries, followed by sub-Saharan Africa and Asia. Most commonly ascertained foods were fruits (N=803 surveys), non-starchy vegetables (N=787) and sugar-sweetened beverages (N=440); and nutrients, sodium (N=343), energy (N=256), calcium (N=224) and fibre (N=200). Least available data were on iodine, vitamin A, plant protein, selenium, added sugar and animal protein.\nConclusions This systematic search, retrieval and standardised effort provides the most comprehensive empirical evidence on dietary intakes across and within countries worldwide.","container-title":"BMJ Global Health","DOI":"10.1136/bmjgh-2020-003585","ISSN":"2059-7908","issue":"2","language":"en","license":"© Author(s) (or their employer(s)) 2021. Re-use permitted under CC BY. Published by BMJ.. https://creativecommons.org/licenses/by/4.0/This is an open access article distributed in accordance with the Creative Commons Attribution 4.0 Unported (CC BY 4.0) license, which permits others to copy, redistribute, remix, transform and build upon this work for any purpose, provided the original work is properly cited, a link to the licence is given, and indication of whether changes were made. See: https://creativecommons.org/licenses/by/4.0/.","note":"publisher: BMJ Specialist Journals\nsection: Original research\nPMID: 33547175","page":"e003585","source":"gh.bmj.com","title":"Global Dietary Database 2017: data availability and gaps on 54 major foods, beverages and nutrients among 5.6 million children and adults from 1220 surveys worldwide","title-short":"Global Dietary Database 2017","volume":"6","author":[{"family":"Miller","given":"Victoria"},{"family":"Singh","given":"Gitanjali M."},{"family":"Onopa","given":"Jennifer"},{"family":"Reedy","given":"Julia"},{"family":"Shi","given":"Peilin"},{"family":"Zhang","given":"Jianyi"},{"family":"Tahira","given":"Adeem"},{"family":"Morris","given":"Masha L. Shulkin"},{"family":"Marsden","given":"Daniel P."},{"family":"Kranz","given":"Sarah"},{"family":"Stoyell","given":"Sally"},{"family":"Webb","given":"Patrick"},{"family":"Micha","given":"Renata"},{"family":"Mozaffarian","given":"Dariush"}],"issued":{"date-parts":[["2021",2,1]]}}},{"id":3468,"uris":["http://zotero.org/users/14122/items/FUCTFMP4"],"itemData":{"id":3468,"type":"article-journal","container-title":"Bulletin of the World Health Organization","DOI":"10.2471/BLT.15.156323","ISSN":"0042-9686","issue":"12","journalAbbreviation":"Bull World Health Organ","note":"PMID: 27994286\nPMCID: PMC5153920","page":"931-934","source":"PubMed Central","title":"A global database of food and nutrient consumption","volume":"94","author":[{"family":"Khatibzadeh","given":"Shahab"},{"family":"Saheb Kashaf","given":"Michael"},{"family":"Micha","given":"Renata"},{"family":"Fahimi","given":"Saman"},{"family":"Shi","given":"Peilin"},{"family":"Elmadfa","given":"Ibrahim"},{"family":"Kalantarian","given":"Shadi"},{"family":"Wirojratana","given":"Pattra"},{"family":"Ezzati","given":"Majid"},{"family":"Powles","given":"John"},{"family":"Mozaffarian","given":"Dariush"}],"issued":{"date-parts":[["2016",12,1]]}}}],"schema":"https://github.com/citation-style-language/schema/raw/master/csl-citation.json"} </w:instrText>
      </w:r>
      <w:r w:rsidR="00524C92" w:rsidRPr="009664B1">
        <w:rPr>
          <w:rFonts w:ascii="Arial" w:hAnsi="Arial" w:cs="Arial"/>
          <w:sz w:val="22"/>
          <w:szCs w:val="22"/>
        </w:rPr>
        <w:fldChar w:fldCharType="separate"/>
      </w:r>
      <w:r w:rsidR="00935615" w:rsidRPr="00935615">
        <w:rPr>
          <w:rFonts w:ascii="Arial" w:hAnsi="Arial" w:cs="Arial"/>
          <w:kern w:val="0"/>
          <w:sz w:val="22"/>
          <w:vertAlign w:val="superscript"/>
        </w:rPr>
        <w:t>4,20</w:t>
      </w:r>
      <w:r w:rsidR="00524C92" w:rsidRPr="009664B1">
        <w:rPr>
          <w:rFonts w:ascii="Arial" w:hAnsi="Arial" w:cs="Arial"/>
          <w:sz w:val="22"/>
          <w:szCs w:val="22"/>
        </w:rPr>
        <w:fldChar w:fldCharType="end"/>
      </w:r>
      <w:r w:rsidRPr="009664B1">
        <w:rPr>
          <w:rFonts w:ascii="Arial" w:hAnsi="Arial" w:cs="Arial"/>
          <w:sz w:val="22"/>
          <w:szCs w:val="22"/>
        </w:rPr>
        <w:t xml:space="preserve">. Combining information from both sources and adjusting them to estimates of energy intake that are in line with anthropometric measures ensures that </w:t>
      </w:r>
      <w:r w:rsidR="00585BF4" w:rsidRPr="009664B1">
        <w:rPr>
          <w:rFonts w:ascii="Arial" w:hAnsi="Arial" w:cs="Arial"/>
          <w:sz w:val="22"/>
          <w:szCs w:val="22"/>
        </w:rPr>
        <w:t xml:space="preserve">the estimates of </w:t>
      </w:r>
      <w:r w:rsidRPr="009664B1">
        <w:rPr>
          <w:rFonts w:ascii="Arial" w:hAnsi="Arial" w:cs="Arial"/>
          <w:sz w:val="22"/>
          <w:szCs w:val="22"/>
        </w:rPr>
        <w:t xml:space="preserve">food intake </w:t>
      </w:r>
      <w:r w:rsidR="00585BF4" w:rsidRPr="009664B1">
        <w:rPr>
          <w:rFonts w:ascii="Arial" w:hAnsi="Arial" w:cs="Arial"/>
          <w:sz w:val="22"/>
          <w:szCs w:val="22"/>
        </w:rPr>
        <w:t>are</w:t>
      </w:r>
      <w:r w:rsidRPr="009664B1">
        <w:rPr>
          <w:rFonts w:ascii="Arial" w:hAnsi="Arial" w:cs="Arial"/>
          <w:sz w:val="22"/>
          <w:szCs w:val="22"/>
        </w:rPr>
        <w:t xml:space="preserve"> in line with observed trends in underweight, overweight, and obesity</w:t>
      </w:r>
      <w:r w:rsidR="00524C92" w:rsidRPr="009664B1">
        <w:rPr>
          <w:rFonts w:ascii="Arial" w:hAnsi="Arial" w:cs="Arial"/>
          <w:sz w:val="22"/>
          <w:szCs w:val="22"/>
        </w:rPr>
        <w:t xml:space="preserve"> </w:t>
      </w:r>
      <w:r w:rsidR="00524C92"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{"citationID":"48a9KsVt","properties":{"formattedCitation":"\\super 9\\nosupersub{}","plainCitation":"9","noteIndex":0},"citationItems":[{"id":4014,"uris":["http://zotero.org/users/14122/items/Z3TRUXWP"],"itemData":{"id":4014,"type":"article-journal","abstract":"BACKGROUND: Underweight and obesity are associated with adverse health outcomes throughout the life course. We estimated the individual and combined prevalence of underweight or thinness and obesity, and their changes, from 1990 to 2022 for adults and school-aged children and adolescents in 200 countries and territories.\nMETHODS: We used data from 3663 population-based studies with 222 million participants that measured height and weight in representative samples of the general population. We used a Bayesian hierarchical model to estimate trends in the prevalence of different BMI categories, separately for adults (age ≥20 years) and school-aged children and adolescents (age 5-19 years), from 1990 to 2022 for 200 countries and territories. For adults, we report the individual and combined prevalence of underweight (BMI &lt;18·5 kg/m2) and obesity (BMI ≥30 kg/m2). For school-aged children and adolescents, we report thinness (BMI &lt;2 SD below the median of the WHO growth reference) and obesity (BMI &gt;2 SD above the median).\nFINDINGS: From 1990 to 2022, the combined prevalence of underweight and obesity in adults decreased in 11 countries (6%) for women and 17 (9%) for men with a posterior probability of at least 0·80 that the observed changes were true decreases. The combined prevalence increased in 162 countries (81%) for women and 140 countries (70%) for men with a posterior probability of at least 0·80. In 2022, the combined prevalence of underweight and obesity was highest in island nations in the Caribbean and Polynesia and Micronesia, and countries in the Middle East and north Africa. Obesity prevalence was higher than underweight with posterior probability of at least 0·80 in 177 countries (89%) for women and 145 (73%) for men in 2022, whereas the converse was true in 16 countries (8%) for women, and 39 (20%) for men. From 1990 to 2022, the combined prevalence of thinness and obesity decreased among girls in five countries (3%) and among boys in 15 countries (8%) with a posterior probability of at least 0·80, and increased among girls in 140 countries (70%) and boys in 137 countries (69%) with a posterior probability of at least 0·80. The countries with highest combined prevalence of thinness and obesity in school-aged children and adolescents in 2022 were in Polynesia and Micronesia and the Caribbean for both sexes, and Chile and Qatar for boys. Combined prevalence was also high in some countries in south Asia, such as India and Pakistan, where thinness remained prevalent despite having declined. In 2022, obesity in school-aged children and adolescents was more prevalent than thinness with a posterior probability of at least 0·80 among girls in 133 countries (67%) and boys in 125 countries (63%), whereas the converse was true in 35 countries (18%) and 42 countries (21%), respectively. In almost all countries for both adults and school-aged children and adolescents, the increases in double burden were driven by increases in obesity, and decreases in double burden by declining underweight or thinness.\nINTERPRETATION: The combined burden of underweight and obesity has increased in most countries, driven by an increase in obesity, while underweight and thinness remain prevalent in south Asia and parts of Africa. A healthy nutrition transition that enhances access to nutritious foods is needed to address the remaining burden of underweight while curbing and reversing the increase in obesity.\nFUNDING: UK Medical Research Council, UK Research and Innovation (Research England), UK Research and Innovation (Innovate UK), and European Union.","container-title":"The Lancet","DOI":"10.1016/S0140-6736(23)02750-2","ISSN":"1474-547X","issue":"10431","journalAbbreviation":"Lancet","language":"eng","note":"PMID: 38432237\nPMCID: PMC7615769","page":"1027-1050","source":"PubMed","title":"Worldwide trends in underweight and obesity from 1990 to 2022: a pooled analysis of 3663 population-representative studies with 222 million children, adolescents, and adults","title-short":"Worldwide trends in underweight and obesity from 1990 to 2022","volume":"403","author":[{"literal":"NCD Risk Factor Collaboration (NCD-RisC)"}],"issued":{"date-parts":[["2024",3,16]]}}}],"schema":"https://github.com/citation-style-language/schema/raw/master/csl-citation.json"} </w:instrText>
      </w:r>
      <w:r w:rsidR="00524C92" w:rsidRPr="009664B1">
        <w:rPr>
          <w:rFonts w:ascii="Arial" w:hAnsi="Arial" w:cs="Arial"/>
          <w:sz w:val="22"/>
          <w:szCs w:val="22"/>
        </w:rPr>
        <w:fldChar w:fldCharType="separate"/>
      </w:r>
      <w:r w:rsidR="00935615" w:rsidRPr="00935615">
        <w:rPr>
          <w:rFonts w:ascii="Arial" w:hAnsi="Arial" w:cs="Arial"/>
          <w:kern w:val="0"/>
          <w:sz w:val="22"/>
          <w:vertAlign w:val="superscript"/>
        </w:rPr>
        <w:t>9</w:t>
      </w:r>
      <w:r w:rsidR="00524C92" w:rsidRPr="009664B1">
        <w:rPr>
          <w:rFonts w:ascii="Arial" w:hAnsi="Arial" w:cs="Arial"/>
          <w:sz w:val="22"/>
          <w:szCs w:val="22"/>
        </w:rPr>
        <w:fldChar w:fldCharType="end"/>
      </w:r>
      <w:r w:rsidRPr="009664B1">
        <w:rPr>
          <w:rFonts w:ascii="Arial" w:hAnsi="Arial" w:cs="Arial"/>
          <w:sz w:val="22"/>
          <w:szCs w:val="22"/>
        </w:rPr>
        <w:t xml:space="preserve">. </w:t>
      </w:r>
    </w:p>
    <w:p w14:paraId="546601ED" w14:textId="77777777" w:rsidR="00997066" w:rsidRPr="009664B1" w:rsidRDefault="00997066" w:rsidP="00FC0B1B">
      <w:pPr>
        <w:spacing w:line="360" w:lineRule="auto"/>
        <w:rPr>
          <w:rFonts w:ascii="Arial" w:hAnsi="Arial" w:cs="Arial"/>
          <w:sz w:val="22"/>
          <w:szCs w:val="22"/>
        </w:rPr>
      </w:pPr>
    </w:p>
    <w:p w14:paraId="3425A6B1" w14:textId="77777777" w:rsidR="00524C92" w:rsidRPr="009664B1" w:rsidRDefault="00524C92" w:rsidP="00FC0B1B">
      <w:pPr>
        <w:spacing w:line="360" w:lineRule="auto"/>
        <w:rPr>
          <w:rFonts w:ascii="Arial" w:hAnsi="Arial" w:cs="Arial"/>
          <w:sz w:val="22"/>
          <w:szCs w:val="22"/>
        </w:rPr>
      </w:pPr>
    </w:p>
    <w:p w14:paraId="1DFAA388" w14:textId="77777777" w:rsidR="00997066" w:rsidRPr="009664B1" w:rsidRDefault="00997066" w:rsidP="00FC0B1B">
      <w:pPr>
        <w:spacing w:line="360" w:lineRule="auto"/>
        <w:rPr>
          <w:rFonts w:ascii="Arial" w:hAnsi="Arial" w:cs="Arial"/>
          <w:sz w:val="22"/>
          <w:szCs w:val="22"/>
        </w:rPr>
      </w:pPr>
    </w:p>
    <w:p w14:paraId="14BE3B90" w14:textId="77777777" w:rsidR="00997066" w:rsidRPr="009664B1" w:rsidRDefault="00997066" w:rsidP="00FC0B1B">
      <w:pPr>
        <w:spacing w:line="360" w:lineRule="auto"/>
        <w:rPr>
          <w:rFonts w:ascii="Arial" w:hAnsi="Arial" w:cs="Arial"/>
          <w:sz w:val="22"/>
          <w:szCs w:val="22"/>
        </w:rPr>
      </w:pPr>
    </w:p>
    <w:p w14:paraId="1907AC2F" w14:textId="77777777" w:rsidR="00997066" w:rsidRPr="009664B1" w:rsidRDefault="00997066" w:rsidP="00FC0B1B">
      <w:pPr>
        <w:spacing w:line="360" w:lineRule="auto"/>
        <w:rPr>
          <w:rFonts w:ascii="Arial" w:hAnsi="Arial" w:cs="Arial"/>
          <w:sz w:val="22"/>
          <w:szCs w:val="22"/>
        </w:rPr>
      </w:pPr>
      <w:r w:rsidRPr="009664B1">
        <w:rPr>
          <w:rFonts w:ascii="Arial" w:hAnsi="Arial" w:cs="Arial"/>
          <w:sz w:val="22"/>
          <w:szCs w:val="22"/>
        </w:rPr>
        <w:br w:type="page"/>
      </w:r>
    </w:p>
    <w:p w14:paraId="6D86E7A5" w14:textId="2AF4F360" w:rsidR="003653BF" w:rsidRPr="009664B1" w:rsidRDefault="003653BF" w:rsidP="00FC0B1B">
      <w:pPr>
        <w:spacing w:line="360" w:lineRule="auto"/>
        <w:rPr>
          <w:rFonts w:ascii="Arial" w:hAnsi="Arial" w:cs="Arial"/>
          <w:sz w:val="22"/>
          <w:szCs w:val="22"/>
        </w:rPr>
      </w:pPr>
      <w:r w:rsidRPr="009664B1">
        <w:rPr>
          <w:rFonts w:ascii="Arial" w:hAnsi="Arial" w:cs="Arial"/>
          <w:b/>
          <w:bCs/>
          <w:sz w:val="22"/>
          <w:szCs w:val="22"/>
        </w:rPr>
        <w:lastRenderedPageBreak/>
        <w:t xml:space="preserve">Table </w:t>
      </w:r>
      <w:r w:rsidR="00524C92" w:rsidRPr="009664B1">
        <w:rPr>
          <w:rFonts w:ascii="Arial" w:hAnsi="Arial" w:cs="Arial"/>
          <w:b/>
          <w:bCs/>
          <w:sz w:val="22"/>
          <w:szCs w:val="22"/>
        </w:rPr>
        <w:t>S</w:t>
      </w:r>
      <w:r w:rsidRPr="009664B1">
        <w:rPr>
          <w:rFonts w:ascii="Arial" w:hAnsi="Arial" w:cs="Arial"/>
          <w:b/>
          <w:bCs/>
          <w:sz w:val="22"/>
          <w:szCs w:val="22"/>
        </w:rPr>
        <w:t>1.</w:t>
      </w:r>
      <w:r w:rsidRPr="009664B1">
        <w:rPr>
          <w:rFonts w:ascii="Arial" w:hAnsi="Arial" w:cs="Arial"/>
          <w:sz w:val="22"/>
          <w:szCs w:val="22"/>
        </w:rPr>
        <w:t xml:space="preserve"> Overview of estimated dietary intake in 2020 by food category, food group, and income region in grams per person per day (g/d) and kilocalories per person per day (kcal/d). The category of processed foods convert</w:t>
      </w:r>
      <w:r w:rsidR="009664B1">
        <w:rPr>
          <w:rFonts w:ascii="Arial" w:hAnsi="Arial" w:cs="Arial"/>
          <w:sz w:val="22"/>
          <w:szCs w:val="22"/>
        </w:rPr>
        <w:t>s</w:t>
      </w:r>
      <w:r w:rsidRPr="009664B1">
        <w:rPr>
          <w:rFonts w:ascii="Arial" w:hAnsi="Arial" w:cs="Arial"/>
          <w:sz w:val="22"/>
          <w:szCs w:val="22"/>
        </w:rPr>
        <w:t xml:space="preserve"> some of the previously listed foods into whether they are processed or not and are therefore not included in the total sum. All food groups except processed foods refer to primary commodity equivalents (e.g., the amount of milk or sugar contained in all unprocessed and processed foods). </w:t>
      </w:r>
    </w:p>
    <w:p w14:paraId="6B7196FB" w14:textId="77777777" w:rsidR="003653BF" w:rsidRPr="009664B1" w:rsidRDefault="003653BF" w:rsidP="00FC0B1B">
      <w:pPr>
        <w:spacing w:line="360" w:lineRule="auto"/>
        <w:rPr>
          <w:rFonts w:ascii="Arial" w:hAnsi="Arial" w:cs="Arial"/>
          <w:sz w:val="22"/>
          <w:szCs w:val="22"/>
        </w:rPr>
      </w:pPr>
      <w:r w:rsidRPr="009664B1">
        <w:rPr>
          <w:rFonts w:ascii="Arial" w:hAnsi="Arial" w:cs="Arial"/>
          <w:noProof/>
          <w:sz w:val="22"/>
          <w:szCs w:val="22"/>
        </w:rPr>
        <w:drawing>
          <wp:inline distT="0" distB="0" distL="0" distR="0" wp14:anchorId="3B883919" wp14:editId="740338A3">
            <wp:extent cx="5731510" cy="7397750"/>
            <wp:effectExtent l="0" t="0" r="0" b="6350"/>
            <wp:docPr id="1008178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78442" name=""/>
                    <pic:cNvPicPr/>
                  </pic:nvPicPr>
                  <pic:blipFill>
                    <a:blip r:embed="rId8"/>
                    <a:stretch>
                      <a:fillRect/>
                    </a:stretch>
                  </pic:blipFill>
                  <pic:spPr>
                    <a:xfrm>
                      <a:off x="0" y="0"/>
                      <a:ext cx="5731510" cy="7397750"/>
                    </a:xfrm>
                    <a:prstGeom prst="rect">
                      <a:avLst/>
                    </a:prstGeom>
                  </pic:spPr>
                </pic:pic>
              </a:graphicData>
            </a:graphic>
          </wp:inline>
        </w:drawing>
      </w:r>
    </w:p>
    <w:p w14:paraId="4E67A8A8" w14:textId="14EE4D1C" w:rsidR="00ED316C" w:rsidRPr="00ED316C" w:rsidRDefault="00ED316C" w:rsidP="00FC0B1B">
      <w:pPr>
        <w:pStyle w:val="Heading1"/>
        <w:spacing w:line="360" w:lineRule="auto"/>
        <w:rPr>
          <w:rFonts w:ascii="Arial" w:hAnsi="Arial" w:cs="Arial"/>
          <w:b/>
          <w:bCs/>
          <w:color w:val="000000" w:themeColor="text1"/>
          <w:sz w:val="24"/>
          <w:szCs w:val="24"/>
        </w:rPr>
      </w:pPr>
      <w:bookmarkStart w:id="1" w:name="_Toc195730120"/>
      <w:r w:rsidRPr="00ED316C">
        <w:rPr>
          <w:rFonts w:ascii="Arial" w:hAnsi="Arial" w:cs="Arial"/>
          <w:b/>
          <w:bCs/>
          <w:color w:val="000000" w:themeColor="text1"/>
          <w:sz w:val="24"/>
          <w:szCs w:val="24"/>
        </w:rPr>
        <w:lastRenderedPageBreak/>
        <w:t>S</w:t>
      </w:r>
      <w:r>
        <w:rPr>
          <w:rFonts w:ascii="Arial" w:hAnsi="Arial" w:cs="Arial"/>
          <w:b/>
          <w:bCs/>
          <w:color w:val="000000" w:themeColor="text1"/>
          <w:sz w:val="24"/>
          <w:szCs w:val="24"/>
        </w:rPr>
        <w:t>2</w:t>
      </w:r>
      <w:r w:rsidRPr="00ED316C">
        <w:rPr>
          <w:rFonts w:ascii="Arial" w:hAnsi="Arial" w:cs="Arial"/>
          <w:b/>
          <w:bCs/>
          <w:color w:val="000000" w:themeColor="text1"/>
          <w:sz w:val="24"/>
          <w:szCs w:val="24"/>
        </w:rPr>
        <w:tab/>
      </w:r>
      <w:r>
        <w:rPr>
          <w:rFonts w:ascii="Arial" w:hAnsi="Arial" w:cs="Arial"/>
          <w:b/>
          <w:bCs/>
          <w:color w:val="000000" w:themeColor="text1"/>
          <w:sz w:val="24"/>
          <w:szCs w:val="24"/>
        </w:rPr>
        <w:t>Nutritional assessment</w:t>
      </w:r>
      <w:bookmarkEnd w:id="1"/>
      <w:r w:rsidRPr="00ED316C">
        <w:rPr>
          <w:rFonts w:ascii="Arial" w:hAnsi="Arial" w:cs="Arial"/>
          <w:b/>
          <w:bCs/>
          <w:color w:val="000000" w:themeColor="text1"/>
          <w:sz w:val="24"/>
          <w:szCs w:val="24"/>
        </w:rPr>
        <w:t xml:space="preserve"> </w:t>
      </w:r>
    </w:p>
    <w:p w14:paraId="42C05AD4" w14:textId="77777777" w:rsidR="003653BF" w:rsidRPr="009664B1" w:rsidRDefault="003653BF" w:rsidP="00FC0B1B">
      <w:pPr>
        <w:spacing w:line="360" w:lineRule="auto"/>
        <w:rPr>
          <w:rFonts w:ascii="Arial" w:hAnsi="Arial" w:cs="Arial"/>
          <w:sz w:val="22"/>
          <w:szCs w:val="22"/>
        </w:rPr>
      </w:pPr>
    </w:p>
    <w:p w14:paraId="632BD2A4" w14:textId="2C4189C1" w:rsidR="003653BF" w:rsidRPr="009664B1" w:rsidRDefault="003653BF" w:rsidP="00FC0B1B">
      <w:pPr>
        <w:spacing w:line="360" w:lineRule="auto"/>
        <w:rPr>
          <w:rFonts w:ascii="Arial" w:hAnsi="Arial" w:cs="Arial"/>
          <w:sz w:val="22"/>
          <w:szCs w:val="22"/>
        </w:rPr>
      </w:pPr>
      <w:r w:rsidRPr="009664B1">
        <w:rPr>
          <w:rFonts w:ascii="Arial" w:hAnsi="Arial" w:cs="Arial"/>
          <w:sz w:val="22"/>
          <w:szCs w:val="22"/>
        </w:rPr>
        <w:t xml:space="preserve">We estimated nutrient intake and adequacy </w:t>
      </w:r>
      <w:r w:rsidR="000C2124" w:rsidRPr="009664B1">
        <w:rPr>
          <w:rFonts w:ascii="Arial" w:hAnsi="Arial" w:cs="Arial"/>
          <w:sz w:val="22"/>
          <w:szCs w:val="22"/>
        </w:rPr>
        <w:t xml:space="preserve">by </w:t>
      </w:r>
      <w:r w:rsidRPr="009664B1">
        <w:rPr>
          <w:rFonts w:ascii="Arial" w:hAnsi="Arial" w:cs="Arial"/>
          <w:sz w:val="22"/>
          <w:szCs w:val="22"/>
        </w:rPr>
        <w:t>combin</w:t>
      </w:r>
      <w:r w:rsidR="000C2124" w:rsidRPr="009664B1">
        <w:rPr>
          <w:rFonts w:ascii="Arial" w:hAnsi="Arial" w:cs="Arial"/>
          <w:sz w:val="22"/>
          <w:szCs w:val="22"/>
        </w:rPr>
        <w:t>ing</w:t>
      </w:r>
      <w:r w:rsidRPr="009664B1">
        <w:rPr>
          <w:rFonts w:ascii="Arial" w:hAnsi="Arial" w:cs="Arial"/>
          <w:sz w:val="22"/>
          <w:szCs w:val="22"/>
        </w:rPr>
        <w:t xml:space="preserve"> </w:t>
      </w:r>
      <w:r w:rsidR="000C2124" w:rsidRPr="009664B1">
        <w:rPr>
          <w:rFonts w:ascii="Arial" w:hAnsi="Arial" w:cs="Arial"/>
          <w:sz w:val="22"/>
          <w:szCs w:val="22"/>
        </w:rPr>
        <w:t>estimates of</w:t>
      </w:r>
      <w:r w:rsidRPr="009664B1">
        <w:rPr>
          <w:rFonts w:ascii="Arial" w:hAnsi="Arial" w:cs="Arial"/>
          <w:sz w:val="22"/>
          <w:szCs w:val="22"/>
        </w:rPr>
        <w:t xml:space="preserve"> food intake with nutrient densities and requirements</w:t>
      </w:r>
      <w:r w:rsidR="000C2124" w:rsidRPr="009664B1">
        <w:rPr>
          <w:rFonts w:ascii="Arial" w:hAnsi="Arial" w:cs="Arial"/>
          <w:sz w:val="22"/>
          <w:szCs w:val="22"/>
        </w:rPr>
        <w:t xml:space="preserve">. </w:t>
      </w:r>
      <w:r w:rsidRPr="009664B1">
        <w:rPr>
          <w:rFonts w:ascii="Arial" w:hAnsi="Arial" w:cs="Arial"/>
          <w:sz w:val="22"/>
          <w:szCs w:val="22"/>
        </w:rPr>
        <w:t>We used several sources of nutrient densities and matched them to the level of food groups used for defining the dietary patterns. For most food groups and nutrients, we relied on estimates provided by the Global Expanded Nutrient Supply (</w:t>
      </w:r>
      <w:proofErr w:type="spellStart"/>
      <w:r w:rsidRPr="009664B1">
        <w:rPr>
          <w:rFonts w:ascii="Arial" w:hAnsi="Arial" w:cs="Arial"/>
          <w:sz w:val="22"/>
          <w:szCs w:val="22"/>
        </w:rPr>
        <w:t>GENuS</w:t>
      </w:r>
      <w:proofErr w:type="spellEnd"/>
      <w:r w:rsidRPr="009664B1">
        <w:rPr>
          <w:rFonts w:ascii="Arial" w:hAnsi="Arial" w:cs="Arial"/>
          <w:sz w:val="22"/>
          <w:szCs w:val="22"/>
        </w:rPr>
        <w:t xml:space="preserve">) model. </w:t>
      </w:r>
      <w:proofErr w:type="spellStart"/>
      <w:r w:rsidRPr="009664B1">
        <w:rPr>
          <w:rFonts w:ascii="Arial" w:hAnsi="Arial" w:cs="Arial"/>
          <w:sz w:val="22"/>
          <w:szCs w:val="22"/>
        </w:rPr>
        <w:t>GENuS</w:t>
      </w:r>
      <w:proofErr w:type="spellEnd"/>
      <w:r w:rsidRPr="009664B1">
        <w:rPr>
          <w:rFonts w:ascii="Arial" w:hAnsi="Arial" w:cs="Arial"/>
          <w:sz w:val="22"/>
          <w:szCs w:val="22"/>
        </w:rPr>
        <w:t xml:space="preserve"> includes nutrient availabilities for 23 individual nutrients across 225 food categories and all countries</w:t>
      </w:r>
      <w:r w:rsidR="00CB2ACA">
        <w:rPr>
          <w:rFonts w:ascii="Arial" w:hAnsi="Arial" w:cs="Arial"/>
          <w:sz w:val="22"/>
          <w:szCs w:val="22"/>
        </w:rPr>
        <w:t xml:space="preserve"> </w:t>
      </w:r>
      <w:r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{"citationID":"IObmqZZv","properties":{"formattedCitation":"\\super 21\\nosupersub{}","plainCitation":"21","noteIndex":0},"citationItems":[{"id":1859,"uris":["http://zotero.org/users/14122/items/RVY4H5MX"],"itemData":{"id":1859,"type":"article-journal","container-title":"PLOS ONE","issue":"1","page":"e0146976","title":"Global expanded nutrient supply (GENuS) model: a new method for estimating the global dietary supply of nutrients","volume":"11","author":[{"family":"Smith","given":"Matthew R."},{"family":"Micha","given":"Renata"},{"family":"Golden","given":"Christopher D."},{"family":"Mozaffarian","given":"Dariush"},{"family":"Myers","given":"Samuel S."}],"issued":{"date-parts":[["2016"]]}}}],"schema":"https://github.com/citation-style-language/schema/raw/master/csl-citation.json"} </w:instrText>
      </w:r>
      <w:r w:rsidRPr="009664B1">
        <w:rPr>
          <w:rFonts w:ascii="Arial" w:hAnsi="Arial" w:cs="Arial"/>
          <w:sz w:val="22"/>
          <w:szCs w:val="22"/>
        </w:rPr>
        <w:fldChar w:fldCharType="separate"/>
      </w:r>
      <w:r w:rsidR="00935615" w:rsidRPr="00935615">
        <w:rPr>
          <w:rFonts w:ascii="Arial" w:hAnsi="Arial" w:cs="Arial"/>
          <w:kern w:val="0"/>
          <w:sz w:val="22"/>
          <w:vertAlign w:val="superscript"/>
        </w:rPr>
        <w:t>21</w:t>
      </w:r>
      <w:r w:rsidRPr="009664B1">
        <w:rPr>
          <w:rFonts w:ascii="Arial" w:hAnsi="Arial" w:cs="Arial"/>
          <w:sz w:val="22"/>
          <w:szCs w:val="22"/>
        </w:rPr>
        <w:fldChar w:fldCharType="end"/>
      </w:r>
      <w:r w:rsidR="00CB2ACA">
        <w:rPr>
          <w:rFonts w:ascii="Arial" w:hAnsi="Arial" w:cs="Arial"/>
          <w:sz w:val="22"/>
          <w:szCs w:val="22"/>
        </w:rPr>
        <w:t>.</w:t>
      </w:r>
      <w:r w:rsidRPr="009664B1">
        <w:rPr>
          <w:rFonts w:ascii="Arial" w:hAnsi="Arial" w:cs="Arial"/>
          <w:sz w:val="22"/>
          <w:szCs w:val="22"/>
        </w:rPr>
        <w:t xml:space="preserve"> To obtain nutrient densities, we divided national-level nutrient availabilities by matched intake values and </w:t>
      </w:r>
      <w:r w:rsidR="000C2124" w:rsidRPr="009664B1">
        <w:rPr>
          <w:rFonts w:ascii="Arial" w:hAnsi="Arial" w:cs="Arial"/>
          <w:sz w:val="22"/>
          <w:szCs w:val="22"/>
        </w:rPr>
        <w:t>then</w:t>
      </w:r>
      <w:r w:rsidRPr="009664B1">
        <w:rPr>
          <w:rFonts w:ascii="Arial" w:hAnsi="Arial" w:cs="Arial"/>
          <w:sz w:val="22"/>
          <w:szCs w:val="22"/>
        </w:rPr>
        <w:t xml:space="preserve"> aggregated the densities to the more general list of foods used in our analysis. We supplemented the data by estimates from the Harvard Nutrient Database for </w:t>
      </w:r>
      <w:r w:rsidR="000C2124" w:rsidRPr="009664B1">
        <w:rPr>
          <w:rFonts w:ascii="Arial" w:hAnsi="Arial" w:cs="Arial"/>
          <w:sz w:val="22"/>
          <w:szCs w:val="22"/>
        </w:rPr>
        <w:t xml:space="preserve">missing </w:t>
      </w:r>
      <w:r w:rsidRPr="009664B1">
        <w:rPr>
          <w:rFonts w:ascii="Arial" w:hAnsi="Arial" w:cs="Arial"/>
          <w:sz w:val="22"/>
          <w:szCs w:val="22"/>
        </w:rPr>
        <w:t xml:space="preserve">nutrients (pantothenate and vitamin B12) and selected foods and groups (whole grains, coloured vegetables, and soybeans) not comprehensively covered by </w:t>
      </w:r>
      <w:proofErr w:type="spellStart"/>
      <w:r w:rsidRPr="009664B1">
        <w:rPr>
          <w:rFonts w:ascii="Arial" w:hAnsi="Arial" w:cs="Arial"/>
          <w:sz w:val="22"/>
          <w:szCs w:val="22"/>
        </w:rPr>
        <w:t>GENuS</w:t>
      </w:r>
      <w:proofErr w:type="spellEnd"/>
      <w:r w:rsidRPr="009664B1">
        <w:rPr>
          <w:rFonts w:ascii="Arial" w:hAnsi="Arial" w:cs="Arial"/>
          <w:sz w:val="22"/>
          <w:szCs w:val="22"/>
        </w:rPr>
        <w:t>. In addition, we adopted iodine densities of foods from the USDA nutrient database</w:t>
      </w:r>
      <w:r w:rsidR="00CB2ACA">
        <w:rPr>
          <w:rFonts w:ascii="Arial" w:hAnsi="Arial" w:cs="Arial"/>
          <w:sz w:val="22"/>
          <w:szCs w:val="22"/>
        </w:rPr>
        <w:t xml:space="preserve"> </w:t>
      </w:r>
      <w:r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{"citationID":"nuso9sOB","properties":{"formattedCitation":"\\super 22\\nosupersub{}","plainCitation":"22","noteIndex":0},"citationItems":[{"id":4147,"uris":["http://zotero.org/users/14122/items/R57SWB2Z"],"itemData":{"id":4147,"type":"webpage","title":"FoodData Central","URL":"https://fdc.nal.usda.gov/","author":[{"family":"U.S. Department of Agriculture, Agricultural Research Service","given":""},{"family":"Beltsville Human Nutrition Research Center","given":""}],"accessed":{"date-parts":[["2024",6,10]]},"issued":{"date-parts":[["2024",6,10]]}}}],"schema":"https://github.com/citation-style-language/schema/raw/master/csl-citation.json"} </w:instrText>
      </w:r>
      <w:r w:rsidRPr="009664B1">
        <w:rPr>
          <w:rFonts w:ascii="Arial" w:hAnsi="Arial" w:cs="Arial"/>
          <w:sz w:val="22"/>
          <w:szCs w:val="22"/>
        </w:rPr>
        <w:fldChar w:fldCharType="separate"/>
      </w:r>
      <w:r w:rsidR="00935615" w:rsidRPr="00935615">
        <w:rPr>
          <w:rFonts w:ascii="Arial" w:hAnsi="Arial" w:cs="Arial"/>
          <w:kern w:val="0"/>
          <w:sz w:val="22"/>
          <w:vertAlign w:val="superscript"/>
        </w:rPr>
        <w:t>22</w:t>
      </w:r>
      <w:r w:rsidRPr="009664B1">
        <w:rPr>
          <w:rFonts w:ascii="Arial" w:hAnsi="Arial" w:cs="Arial"/>
          <w:sz w:val="22"/>
          <w:szCs w:val="22"/>
        </w:rPr>
        <w:fldChar w:fldCharType="end"/>
      </w:r>
      <w:r w:rsidR="00CB2ACA">
        <w:rPr>
          <w:rFonts w:ascii="Arial" w:hAnsi="Arial" w:cs="Arial"/>
          <w:sz w:val="22"/>
          <w:szCs w:val="22"/>
        </w:rPr>
        <w:t xml:space="preserve">, </w:t>
      </w:r>
      <w:r w:rsidRPr="009664B1">
        <w:rPr>
          <w:rFonts w:ascii="Arial" w:hAnsi="Arial" w:cs="Arial"/>
          <w:sz w:val="22"/>
          <w:szCs w:val="22"/>
        </w:rPr>
        <w:t>phytate densities from a dedicated and standardised food composition table</w:t>
      </w:r>
      <w:r w:rsidR="00CB2ACA">
        <w:rPr>
          <w:rFonts w:ascii="Arial" w:hAnsi="Arial" w:cs="Arial"/>
          <w:sz w:val="22"/>
          <w:szCs w:val="22"/>
        </w:rPr>
        <w:t xml:space="preserve"> </w:t>
      </w:r>
      <w:r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{"citationID":"U2et4P5j","properties":{"formattedCitation":"\\super 23\\nosupersub{}","plainCitation":"23","noteIndex":0},"citationItems":[{"id":3965,"uris":["http://zotero.org/users/14122/items/HWA6DDU8"],"itemData":{"id":3965,"type":"article-journal","abstract":"Background The prevalence of inadequate zinc intake in a population can be estimated by comparing the zinc content of the food supply with the population’s theoretical requirement for zinc. However, assumptions regarding the nutrient composition of foods, zinc requirements, and zinc absorption may affect prevalence estimates. These analyses were conducted to: (1) evaluate the effect of varying methodological assumptions on country-specific estimates of the prevalence of dietary zinc inadequacy and (2) generate a model considered to provide the best estimates. Methodology and Principal Findings National food balance data were obtained from the Food and Agriculture Organization of the United Nations. Zinc and phytate contents of these foods were estimated from three nutrient composition databases. Zinc absorption was predicted using a mathematical model (Miller equation). Theoretical mean daily per capita physiological and dietary requirements for zinc were calculated using recommendations from the Food and Nutrition Board of the Institute of Medicine and the International Zinc Nutrition Consultative Group. The estimated global prevalence of inadequate zinc intake varied between 12–66%, depending on which methodological assumptions were applied. However, country-specific rank order of the estimated prevalence of inadequate intake was conserved across all models (r = 0.57–0.99, P&lt;0.01). A “best-estimate” model, comprised of zinc and phytate data from a composite nutrient database and IZiNCG physiological requirements for absorbed zinc, estimated the global prevalence of inadequate zinc intake to be 17.3%. Conclusions and Significance Given the multiple sources of uncertainty in this method, caution must be taken in the interpretation of the estimated prevalence figures. However, the results of all models indicate that inadequate zinc intake may be fairly common globally. Inferences regarding the relative likelihood of zinc deficiency as a public health problem in different countries can be drawn based on the country-specific rank order of estimated prevalence of inadequate zinc intake.","container-title":"PLOS ONE","DOI":"10.1371/journal.pone.0050565","ISSN":"1932-6203","issue":"11","journalAbbreviation":"PLOS ONE","language":"en","note":"publisher: Public Library of Science","page":"e50565","source":"PLoS Journals","title":"Estimating the Global Prevalence of Inadequate Zinc Intake from National Food Balance Sheets: Effects of Methodological Assumptions","title-short":"Estimating the Global Prevalence of Inadequate Zinc Intake from National Food Balance Sheets","volume":"7","author":[{"family":"Wessells","given":"K. Ryan"},{"family":"Singh","given":"Gitanjali M."},{"family":"Brown","given":"Kenneth H."}],"issued":{"date-parts":[["2012",11,29]]}}}],"schema":"https://github.com/citation-style-language/schema/raw/master/csl-citation.json"} </w:instrText>
      </w:r>
      <w:r w:rsidRPr="009664B1">
        <w:rPr>
          <w:rFonts w:ascii="Arial" w:hAnsi="Arial" w:cs="Arial"/>
          <w:sz w:val="22"/>
          <w:szCs w:val="22"/>
        </w:rPr>
        <w:fldChar w:fldCharType="separate"/>
      </w:r>
      <w:r w:rsidR="00935615" w:rsidRPr="00935615">
        <w:rPr>
          <w:rFonts w:ascii="Arial" w:hAnsi="Arial" w:cs="Arial"/>
          <w:kern w:val="0"/>
          <w:sz w:val="22"/>
          <w:vertAlign w:val="superscript"/>
        </w:rPr>
        <w:t>23</w:t>
      </w:r>
      <w:r w:rsidRPr="009664B1">
        <w:rPr>
          <w:rFonts w:ascii="Arial" w:hAnsi="Arial" w:cs="Arial"/>
          <w:sz w:val="22"/>
          <w:szCs w:val="22"/>
        </w:rPr>
        <w:fldChar w:fldCharType="end"/>
      </w:r>
      <w:r w:rsidR="00CB2ACA">
        <w:rPr>
          <w:rFonts w:ascii="Arial" w:hAnsi="Arial" w:cs="Arial"/>
          <w:sz w:val="22"/>
          <w:szCs w:val="22"/>
        </w:rPr>
        <w:t xml:space="preserve">, </w:t>
      </w:r>
      <w:r w:rsidRPr="009664B1">
        <w:rPr>
          <w:rFonts w:ascii="Arial" w:hAnsi="Arial" w:cs="Arial"/>
          <w:sz w:val="22"/>
          <w:szCs w:val="22"/>
        </w:rPr>
        <w:t>and nutrient densities of algae from the latest edition of the Japanese food composition table</w:t>
      </w:r>
      <w:r w:rsidR="00CB2ACA">
        <w:rPr>
          <w:rFonts w:ascii="Arial" w:hAnsi="Arial" w:cs="Arial"/>
          <w:sz w:val="22"/>
          <w:szCs w:val="22"/>
        </w:rPr>
        <w:t xml:space="preserve"> </w:t>
      </w:r>
      <w:r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{"citationID":"pJQjSc7D","properties":{"formattedCitation":"\\super 24\\nosupersub{}","plainCitation":"24","noteIndex":0},"citationItems":[{"id":4146,"uris":["http://zotero.org/users/14122/items/4RDVER8X"],"itemData":{"id":4146,"type":"article-journal","abstract":"The latest version of the Standard Tables of Food Composition in Japan-2015- comprises the main food composition table (Standard Tables of Food Composition in Japan–2015-[Seventh revised Edition)) and three supplementary books. The supplementary books are Standard Tables of Food Composition in Japan – 2015 – (Seventh Revised Edition) – Amino Acids –, Standard Tables of Food Composition in Japan – 2015 – (Seventh Revised Edition) – Fatty Acids – and Standard Tables of Food Composition in Japan – 2015 – (Seventh Revised Edition) – Available Carbohydrates, Polyols and Organic Acids–. We believe understanding these food composition tables can give greater insight into Japan’s gastronomic culture and changes in eating habits. We expect them to play important roles as part of the East Asia food composition tables.","collection-title":"11th IFDC special issue 'Food composition and public health nutrition","container-title":"Food Chemistry","DOI":"10.1016/j.foodchem.2017.05.062","ISSN":"0308-8146","journalAbbreviation":"Food Chemistry","page":"16-21","source":"ScienceDirect","title":"Advances in food composition tables in Japan-Standard Tables Of Food Composition in Japan – 2015 – (Seventh Revised Edition)–","volume":"238","author":[{"family":"Watanabe","given":"Tomoko"},{"family":"Kawai","given":"Ryoko"}],"issued":{"date-parts":[["2018",1,1]]}}}],"schema":"https://github.com/citation-style-language/schema/raw/master/csl-citation.json"} </w:instrText>
      </w:r>
      <w:r w:rsidRPr="009664B1">
        <w:rPr>
          <w:rFonts w:ascii="Arial" w:hAnsi="Arial" w:cs="Arial"/>
          <w:sz w:val="22"/>
          <w:szCs w:val="22"/>
        </w:rPr>
        <w:fldChar w:fldCharType="separate"/>
      </w:r>
      <w:r w:rsidR="00935615" w:rsidRPr="00935615">
        <w:rPr>
          <w:rFonts w:ascii="Arial" w:hAnsi="Arial" w:cs="Arial"/>
          <w:kern w:val="0"/>
          <w:sz w:val="22"/>
          <w:vertAlign w:val="superscript"/>
        </w:rPr>
        <w:t>24</w:t>
      </w:r>
      <w:r w:rsidRPr="009664B1">
        <w:rPr>
          <w:rFonts w:ascii="Arial" w:hAnsi="Arial" w:cs="Arial"/>
          <w:sz w:val="22"/>
          <w:szCs w:val="22"/>
        </w:rPr>
        <w:fldChar w:fldCharType="end"/>
      </w:r>
      <w:r w:rsidR="00CB2ACA">
        <w:rPr>
          <w:rFonts w:ascii="Arial" w:hAnsi="Arial" w:cs="Arial"/>
          <w:sz w:val="22"/>
          <w:szCs w:val="22"/>
        </w:rPr>
        <w:t>.</w:t>
      </w:r>
    </w:p>
    <w:p w14:paraId="13E33B34" w14:textId="77777777" w:rsidR="000C2124" w:rsidRPr="009664B1" w:rsidRDefault="000C2124" w:rsidP="00FC0B1B">
      <w:pPr>
        <w:spacing w:line="360" w:lineRule="auto"/>
        <w:rPr>
          <w:rFonts w:ascii="Arial" w:hAnsi="Arial" w:cs="Arial"/>
          <w:sz w:val="22"/>
          <w:szCs w:val="22"/>
        </w:rPr>
      </w:pPr>
    </w:p>
    <w:p w14:paraId="6E1875BA" w14:textId="6DC718C9" w:rsidR="003653BF" w:rsidRPr="009664B1" w:rsidRDefault="003653BF" w:rsidP="00FC0B1B">
      <w:pPr>
        <w:spacing w:line="360" w:lineRule="auto"/>
        <w:rPr>
          <w:rFonts w:ascii="Arial" w:hAnsi="Arial" w:cs="Arial"/>
          <w:sz w:val="22"/>
          <w:szCs w:val="22"/>
        </w:rPr>
      </w:pPr>
      <w:r w:rsidRPr="009664B1">
        <w:rPr>
          <w:rFonts w:ascii="Arial" w:hAnsi="Arial" w:cs="Arial"/>
          <w:sz w:val="22"/>
          <w:szCs w:val="22"/>
        </w:rPr>
        <w:t>For comparing nutrient intake to requirements, we used a set of harmonised nutrient reference values that specify the average nutrient requirements of populations by age and sex</w:t>
      </w:r>
      <w:r w:rsidR="00CB2ACA">
        <w:rPr>
          <w:rFonts w:ascii="Arial" w:hAnsi="Arial" w:cs="Arial"/>
          <w:sz w:val="22"/>
          <w:szCs w:val="22"/>
        </w:rPr>
        <w:t xml:space="preserve"> </w:t>
      </w:r>
      <w:r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{"citationID":"b5WHCCI1","properties":{"formattedCitation":"\\super 25\\nosupersub{}","plainCitation":"25","noteIndex":0},"citationItems":[{"id":3962,"uris":["http://zotero.org/users/14122/items/XDSZWRWQ"],"itemData":{"id":3962,"type":"article-journal","abstract":"Two core nutrient intake reference values (NRVs) are required for assessing the adequacy and safety of nutrient intakes for population groups: the average requirement (AR) and the tolerable upper level of intake (UL). Applications of such assessments include providing advice to improve intakes, formulating complementary foods, estimating the amounts of nutrients to be added to fortified foods and monitoring changes in intake, and product labeling at the global, national, or regional level. However, there is a lack of unity across country-level organizations in the methodological approach used to derive NRVs, and ARs and ULs are lacking in many compilations, thus limiting the ability to assess nutrient intakes for their population groups. Because physiological requirements vary little across populations globally, and setting reference values requires determining an acceptable level of uncertainty, it is feasible to adapt current recommendations from different sources to harmonize these core reference values. The objective of this review is to demonstrate an approach for harmonizing the NRVs for ARs (here termed “H-ARs”) and ULs (“H-ULs”) that can be applied on a global scale to assessing intakes across populations. The approach incorporates the framework and terminology recommended by reports from the United Nations University, the National Academies of Sciences, Engineering, and Medicine (NASEM), the Institute of Medicine (IOM), and the European Food Safety Authority (EFSA). After reviewing available alternatives, the proposed harmonized values were selected from standards set by EFSA (for Europe) and the IOM (for the United States and Canada), giving priority to those published most recently. Justifications for the proposed values are presented, along with discussion of their limitations. Ideally, these methods should be further reviewed by an international group of experts. Meanwhile, the H-ARs and H-ULs suggested in this review can be used to assess intakes of populations for many applications in global and regional contexts.","container-title":"Advances in Nutrition","DOI":"10.1093/advances/nmz096","ISSN":"2161-8313","issue":"3","journalAbbreviation":"Advances in Nutrition","page":"469-483","source":"ScienceDirect","title":"Perspective: Proposed Harmonized Nutrient Reference Values for Populations","title-short":"Perspective","volume":"11","author":[{"family":"Allen","given":"Lindsay H"},{"family":"Carriquiry","given":"Alicia L"},{"family":"Murphy","given":"Suzanne P"}],"issued":{"date-parts":[["2020",5,1]]}}}],"schema":"https://github.com/citation-style-language/schema/raw/master/csl-citation.json"} </w:instrText>
      </w:r>
      <w:r w:rsidRPr="009664B1">
        <w:rPr>
          <w:rFonts w:ascii="Arial" w:hAnsi="Arial" w:cs="Arial"/>
          <w:sz w:val="22"/>
          <w:szCs w:val="22"/>
        </w:rPr>
        <w:fldChar w:fldCharType="separate"/>
      </w:r>
      <w:r w:rsidR="00935615" w:rsidRPr="00935615">
        <w:rPr>
          <w:rFonts w:ascii="Arial" w:hAnsi="Arial" w:cs="Arial"/>
          <w:kern w:val="0"/>
          <w:sz w:val="22"/>
          <w:vertAlign w:val="superscript"/>
        </w:rPr>
        <w:t>25</w:t>
      </w:r>
      <w:r w:rsidRPr="009664B1">
        <w:rPr>
          <w:rFonts w:ascii="Arial" w:hAnsi="Arial" w:cs="Arial"/>
          <w:sz w:val="22"/>
          <w:szCs w:val="22"/>
        </w:rPr>
        <w:fldChar w:fldCharType="end"/>
      </w:r>
      <w:r w:rsidR="00CB2ACA">
        <w:rPr>
          <w:rFonts w:ascii="Arial" w:hAnsi="Arial" w:cs="Arial"/>
          <w:sz w:val="22"/>
          <w:szCs w:val="22"/>
        </w:rPr>
        <w:t>.</w:t>
      </w:r>
      <w:r w:rsidRPr="009664B1">
        <w:rPr>
          <w:rFonts w:ascii="Arial" w:hAnsi="Arial" w:cs="Arial"/>
          <w:sz w:val="22"/>
          <w:szCs w:val="22"/>
        </w:rPr>
        <w:t xml:space="preserve"> The estimates draw primarily from reference values developed by the European Food Safety Authority (EFSA) and the National Academies of Sciences, Engineering, and Medicine of the USA (NASEM), giving priority to whichever values were developed more recently. Estimated average requirements are generally provided for a specific reference population (Europe for EFSA and the USA for NASEM). </w:t>
      </w:r>
      <w:r w:rsidR="000C2124" w:rsidRPr="009664B1">
        <w:rPr>
          <w:rFonts w:ascii="Arial" w:hAnsi="Arial" w:cs="Arial"/>
          <w:sz w:val="22"/>
          <w:szCs w:val="22"/>
        </w:rPr>
        <w:t>For our global analysis, w</w:t>
      </w:r>
      <w:r w:rsidRPr="009664B1">
        <w:rPr>
          <w:rFonts w:ascii="Arial" w:hAnsi="Arial" w:cs="Arial"/>
          <w:sz w:val="22"/>
          <w:szCs w:val="22"/>
        </w:rPr>
        <w:t xml:space="preserve">e adapted the estimated average requirements to </w:t>
      </w:r>
      <w:r w:rsidR="000C2124" w:rsidRPr="009664B1">
        <w:rPr>
          <w:rFonts w:ascii="Arial" w:hAnsi="Arial" w:cs="Arial"/>
          <w:sz w:val="22"/>
          <w:szCs w:val="22"/>
        </w:rPr>
        <w:t>other</w:t>
      </w:r>
      <w:r w:rsidRPr="009664B1">
        <w:rPr>
          <w:rFonts w:ascii="Arial" w:hAnsi="Arial" w:cs="Arial"/>
          <w:sz w:val="22"/>
          <w:szCs w:val="22"/>
        </w:rPr>
        <w:t xml:space="preserve"> populations by adjusting the reference weights used by the different institutes to the average body weights of the populations of interest. We used isometric (linear) scaling or allometric (non-linear) scaling depending on the nutrient, following the recommendations provided by the institutes from which the initial reference value originated. We harmonised all age and sex estimates to the age and sex groups used in our analysis and, in addition, calculated population averages by weighing each demographic group by its population (including pregnant and lactating women, as well as infants).</w:t>
      </w:r>
    </w:p>
    <w:p w14:paraId="3B694FFD" w14:textId="77777777" w:rsidR="003653BF" w:rsidRPr="009664B1" w:rsidRDefault="003653BF" w:rsidP="00FC0B1B">
      <w:pPr>
        <w:spacing w:line="360" w:lineRule="auto"/>
        <w:rPr>
          <w:rFonts w:ascii="Arial" w:hAnsi="Arial" w:cs="Arial"/>
          <w:sz w:val="22"/>
          <w:szCs w:val="22"/>
        </w:rPr>
      </w:pPr>
    </w:p>
    <w:p w14:paraId="522E7AA5" w14:textId="67042D16" w:rsidR="003653BF" w:rsidRPr="009664B1" w:rsidRDefault="003653BF" w:rsidP="00FC0B1B">
      <w:pPr>
        <w:spacing w:line="360" w:lineRule="auto"/>
        <w:rPr>
          <w:rFonts w:ascii="Arial" w:hAnsi="Arial" w:cs="Arial"/>
          <w:sz w:val="22"/>
          <w:szCs w:val="22"/>
        </w:rPr>
      </w:pPr>
      <w:r w:rsidRPr="009664B1">
        <w:rPr>
          <w:rFonts w:ascii="Arial" w:hAnsi="Arial" w:cs="Arial"/>
          <w:sz w:val="22"/>
          <w:szCs w:val="22"/>
        </w:rPr>
        <w:t>We accounted for changes in the bioavailability of zinc and iron modulated by food intake. For zinc, we used the equations developed by Miller and colleagues</w:t>
      </w:r>
      <w:r w:rsidR="00C55E93">
        <w:rPr>
          <w:rFonts w:ascii="Arial" w:hAnsi="Arial" w:cs="Arial"/>
          <w:sz w:val="22"/>
          <w:szCs w:val="22"/>
        </w:rPr>
        <w:t xml:space="preserve"> </w:t>
      </w:r>
      <w:r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{"citationID":"4Bp3sEy8","properties":{"formattedCitation":"\\super 26\\nosupersub{}","plainCitation":"26","noteIndex":0},"citationItems":[{"id":4148,"uris":["http://zotero.org/users/14122/items/87IS7Q7M"],"itemData":{"id":4148,"type":"article-journal","abstract":"The quantities of zinc and phytate in the diet are the primary factors determining zinc absorption. A mathematical model of zinc absorption as a function of dietary zinc and phytate can be used to predict dietary zinc requirements and, potentially, enhance our understanding of zinc absorption. Our goal was to develop a model of practical and informative value based on fundamental knowledge of the zinc absorption process and then fit the model to selected published data to assess its validity and estimate parameter values. A model of moderate mathematical complexity relating total zinc absorption to total dietary zinc and total dietary phytate was derived and fit to 21 mean data from whole day absorption studies using nonlinear regression analysis. Model validity, goodness of fit, satisfaction of regression assumptions, and quality of the parameter estimates were evaluated using standard statistical criteria. The fit had an R(2) of 0.82. The residuals were found to exhibit a normal distribution, constant variance, and independence. The parameters of the model, A(MAX), K(R), and K(P), were estimated to have values of 0.13, 0.10, and 1.2 mmol/d, respectively. Several of these estimates had wide CI attributable in part to the small number and the scatter of the data. The model was judged to be valid and of immediate value for studying and predicting absorption. A version of the model incorporating a passive absorption mechanism was not supported by the available data.","container-title":"The Journal of Nutrition","DOI":"10.1093/jn/137.1.135","ISSN":"0022-3166","issue":"1","journalAbbreviation":"J Nutr","language":"eng","note":"PMID: 17182814\nPMCID: PMC1995555","page":"135-141","source":"PubMed","title":"A mathematical model of zinc absorption in humans as a function of dietary zinc and phytate","volume":"137","author":[{"family":"Miller","given":"Leland V."},{"family":"Krebs","given":"Nancy F."},{"family":"Hambidge","given":"K. Michael"}],"issued":{"date-parts":[["2007",1]]}}}],"schema":"https://github.com/citation-style-language/schema/raw/master/csl-citation.json"} </w:instrText>
      </w:r>
      <w:r w:rsidRPr="009664B1">
        <w:rPr>
          <w:rFonts w:ascii="Arial" w:hAnsi="Arial" w:cs="Arial"/>
          <w:sz w:val="22"/>
          <w:szCs w:val="22"/>
        </w:rPr>
        <w:fldChar w:fldCharType="separate"/>
      </w:r>
      <w:r w:rsidR="00935615" w:rsidRPr="00935615">
        <w:rPr>
          <w:rFonts w:ascii="Arial" w:hAnsi="Arial" w:cs="Arial"/>
          <w:kern w:val="0"/>
          <w:sz w:val="22"/>
          <w:vertAlign w:val="superscript"/>
        </w:rPr>
        <w:t>26</w:t>
      </w:r>
      <w:r w:rsidRPr="009664B1">
        <w:rPr>
          <w:rFonts w:ascii="Arial" w:hAnsi="Arial" w:cs="Arial"/>
          <w:sz w:val="22"/>
          <w:szCs w:val="22"/>
        </w:rPr>
        <w:fldChar w:fldCharType="end"/>
      </w:r>
      <w:r w:rsidRPr="009664B1">
        <w:rPr>
          <w:rFonts w:ascii="Arial" w:hAnsi="Arial" w:cs="Arial"/>
          <w:sz w:val="22"/>
          <w:szCs w:val="22"/>
        </w:rPr>
        <w:t xml:space="preserve"> with updated parameter values from Hambidge and colleagues</w:t>
      </w:r>
      <w:r w:rsidR="00C55E93">
        <w:rPr>
          <w:rFonts w:ascii="Arial" w:hAnsi="Arial" w:cs="Arial"/>
          <w:sz w:val="22"/>
          <w:szCs w:val="22"/>
        </w:rPr>
        <w:t xml:space="preserve"> </w:t>
      </w:r>
      <w:r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{"citationID":"XZv2y8BQ","properties":{"formattedCitation":"\\super 27\\nosupersub{}","plainCitation":"27","noteIndex":0},"citationItems":[{"id":4151,"uris":["http://zotero.org/users/14122/items/XR29MLJ5"],"itemData":{"id":4151,"type":"article-journal","abstract":"Zinc has earned recognition recently as a micronutrient of outstanding and diverse biological, clinical, and global public health importance. Regulation of absorption by zinc transporters in the enterocyte, together with saturation kinetics of the absorption process into and across the enterocyte, are the principal means by which whole-body zinc homeostasis is maintained. Several physiologic factors, most notably the quantity of zinc ingested, determine the quantity of zinc absorbed and the efficiency of absorption. Other factors are age and the time over which zinc is ingested. Zinc from supplements has not been shown to be absorbed differently from that taken with meals that lack inhibitors of zinc absorption. The principal dietary factor known to impair zinc bioavailability is inositol hexa- (and penta-) phosphate or phytate. Modeling of zinc absorption as a function of dietary zinc and phytate accounts for &gt;80% of the variability in the quantity of zinc absorbed. Fitting the model to new data has resulted in continual improvement in parameter estimates, which currently indicate a maximal absorption in adults of approximately 6 mg Zn/d and that the average estimated dietary requirement doubles with 1000 mg dietary phytate/d. Intestinal excretion of endogenous zinc is regulated in response to recent absorption and to zinc status. The quantitative relation of intestinal excretion of endogenous zinc to zinc absorption is currently considered to be of major importance in the determination of zinc requirements. The effects of phytate on intestinal losses of endogenous zinc merit further investigation but are probably not of the same magnitude as its inhibitory effects on absorption of exogenous zinc.","container-title":"The American Journal of Clinical Nutrition","DOI":"10.3945/ajcn.2010.28674I","ISSN":"1938-3207","issue":"5","journalAbbreviation":"Am J Clin Nutr","language":"eng","note":"PMID: 20200254\nPMCID: PMC2854914","page":"1478S-1483S","source":"PubMed","title":"Zinc bioavailability and homeostasis","volume":"91","author":[{"family":"Hambidge","given":"K. Michael"},{"family":"Miller","given":"Leland V."},{"family":"Westcott","given":"Jamie E."},{"family":"Sheng","given":"Xiaoyang"},{"family":"Krebs","given":"Nancy F."}],"issued":{"date-parts":[["2010",5]]}}}],"schema":"https://github.com/citation-style-language/schema/raw/master/csl-citation.json"} </w:instrText>
      </w:r>
      <w:r w:rsidRPr="009664B1">
        <w:rPr>
          <w:rFonts w:ascii="Arial" w:hAnsi="Arial" w:cs="Arial"/>
          <w:sz w:val="22"/>
          <w:szCs w:val="22"/>
        </w:rPr>
        <w:fldChar w:fldCharType="separate"/>
      </w:r>
      <w:r w:rsidR="00935615" w:rsidRPr="00935615">
        <w:rPr>
          <w:rFonts w:ascii="Arial" w:hAnsi="Arial" w:cs="Arial"/>
          <w:kern w:val="0"/>
          <w:sz w:val="22"/>
          <w:vertAlign w:val="superscript"/>
        </w:rPr>
        <w:t>27</w:t>
      </w:r>
      <w:r w:rsidRPr="009664B1">
        <w:rPr>
          <w:rFonts w:ascii="Arial" w:hAnsi="Arial" w:cs="Arial"/>
          <w:sz w:val="22"/>
          <w:szCs w:val="22"/>
        </w:rPr>
        <w:fldChar w:fldCharType="end"/>
      </w:r>
      <w:r w:rsidRPr="009664B1">
        <w:rPr>
          <w:rFonts w:ascii="Arial" w:hAnsi="Arial" w:cs="Arial"/>
          <w:sz w:val="22"/>
          <w:szCs w:val="22"/>
        </w:rPr>
        <w:t xml:space="preserve"> that describe zinc absorption dependent </w:t>
      </w:r>
      <w:r w:rsidRPr="009664B1">
        <w:rPr>
          <w:rFonts w:ascii="Arial" w:hAnsi="Arial" w:cs="Arial"/>
          <w:sz w:val="22"/>
          <w:szCs w:val="22"/>
        </w:rPr>
        <w:lastRenderedPageBreak/>
        <w:t xml:space="preserve">on phytate concentrations. For iron, we separately accounted for </w:t>
      </w:r>
      <w:proofErr w:type="spellStart"/>
      <w:r w:rsidRPr="009664B1">
        <w:rPr>
          <w:rFonts w:ascii="Arial" w:hAnsi="Arial" w:cs="Arial"/>
          <w:sz w:val="22"/>
          <w:szCs w:val="22"/>
        </w:rPr>
        <w:t>heme</w:t>
      </w:r>
      <w:proofErr w:type="spellEnd"/>
      <w:r w:rsidRPr="009664B1">
        <w:rPr>
          <w:rFonts w:ascii="Arial" w:hAnsi="Arial" w:cs="Arial"/>
          <w:sz w:val="22"/>
          <w:szCs w:val="22"/>
        </w:rPr>
        <w:t xml:space="preserve"> and non-</w:t>
      </w:r>
      <w:proofErr w:type="spellStart"/>
      <w:r w:rsidRPr="009664B1">
        <w:rPr>
          <w:rFonts w:ascii="Arial" w:hAnsi="Arial" w:cs="Arial"/>
          <w:sz w:val="22"/>
          <w:szCs w:val="22"/>
        </w:rPr>
        <w:t>heme</w:t>
      </w:r>
      <w:proofErr w:type="spellEnd"/>
      <w:r w:rsidRPr="009664B1">
        <w:rPr>
          <w:rFonts w:ascii="Arial" w:hAnsi="Arial" w:cs="Arial"/>
          <w:sz w:val="22"/>
          <w:szCs w:val="22"/>
        </w:rPr>
        <w:t xml:space="preserve"> absorption. For non-</w:t>
      </w:r>
      <w:proofErr w:type="spellStart"/>
      <w:r w:rsidRPr="009664B1">
        <w:rPr>
          <w:rFonts w:ascii="Arial" w:hAnsi="Arial" w:cs="Arial"/>
          <w:sz w:val="22"/>
          <w:szCs w:val="22"/>
        </w:rPr>
        <w:t>heme</w:t>
      </w:r>
      <w:proofErr w:type="spellEnd"/>
      <w:r w:rsidRPr="009664B1">
        <w:rPr>
          <w:rFonts w:ascii="Arial" w:hAnsi="Arial" w:cs="Arial"/>
          <w:sz w:val="22"/>
          <w:szCs w:val="22"/>
        </w:rPr>
        <w:t xml:space="preserve"> absorption, we used the equations developed by Armah and colleagues</w:t>
      </w:r>
      <w:r w:rsidR="00C55E93">
        <w:rPr>
          <w:rFonts w:ascii="Arial" w:hAnsi="Arial" w:cs="Arial"/>
          <w:sz w:val="22"/>
          <w:szCs w:val="22"/>
        </w:rPr>
        <w:t xml:space="preserve"> </w:t>
      </w:r>
      <w:r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{"citationID":"kYPfjf5l","properties":{"formattedCitation":"\\super 28\\nosupersub{}","plainCitation":"28","noteIndex":0},"citationItems":[{"id":3967,"uris":["http://zotero.org/users/14122/items/QTH3UE6P"],"itemData":{"id":3967,"type":"article-journal","abstract":"Many algorithms have been developed in the past few decades to estimate nonheme iron absorption from the diet based on single meal absorption studies. Yet single meal studies exaggerate the effect of diet and other factors on absorption. Here, we propose a new algorithm based on complete diets for estimating nonheme iron absorption. We used data from 4 complete diet studies each with 12-14 participants for a total of 53 individuals (19 men and 34 women) aged 19-38 y. In each study, each participant was observed during three 1-wk periods during which they consumed different diets. The diets were typical, high, or low in meat, tea, calcium, or vitamin C. The total sample size was 159 (53 × 3) observations. We used multiple linear regression to quantify the effect of different factors on iron absorption. Serum ferritin was the most important factor in explaining differences in nonheme iron absorption, whereas the effect of dietary factors was small. When our algorithm was validated with single meal and complete diet data, the respective R(2) values were 0.57 (P &lt; 0.001) and 0.84 (P &lt; 0.0001). The results also suggest that between-person variations explain a large proportion of the differences in nonheme iron absorption. The algorithm based on complete diets we propose is useful for predicting nonheme iron absorption from the diets of different populations.","container-title":"The Journal of Nutrition","DOI":"10.3945/jn.112.169904","ISSN":"1541-6100","issue":"7","journalAbbreviation":"J Nutr","language":"eng","note":"PMID: 23700342","page":"1136-1140","source":"PubMed","title":"A complete diet-based algorithm for predicting nonheme iron absorption in adults","volume":"143","author":[{"family":"Armah","given":"Seth M."},{"family":"Carriquiry","given":"Alicia"},{"family":"Sullivan","given":"Debra"},{"family":"Cook","given":"James D."},{"family":"Reddy","given":"Manju B."}],"issued":{"date-parts":[["2013",7]]}}}],"schema":"https://github.com/citation-style-language/schema/raw/master/csl-citation.json"} </w:instrText>
      </w:r>
      <w:r w:rsidRPr="009664B1">
        <w:rPr>
          <w:rFonts w:ascii="Arial" w:hAnsi="Arial" w:cs="Arial"/>
          <w:sz w:val="22"/>
          <w:szCs w:val="22"/>
        </w:rPr>
        <w:fldChar w:fldCharType="separate"/>
      </w:r>
      <w:r w:rsidR="00935615" w:rsidRPr="00935615">
        <w:rPr>
          <w:rFonts w:ascii="Arial" w:hAnsi="Arial" w:cs="Arial"/>
          <w:kern w:val="0"/>
          <w:sz w:val="22"/>
          <w:vertAlign w:val="superscript"/>
        </w:rPr>
        <w:t>28</w:t>
      </w:r>
      <w:r w:rsidRPr="009664B1">
        <w:rPr>
          <w:rFonts w:ascii="Arial" w:hAnsi="Arial" w:cs="Arial"/>
          <w:sz w:val="22"/>
          <w:szCs w:val="22"/>
        </w:rPr>
        <w:fldChar w:fldCharType="end"/>
      </w:r>
      <w:r w:rsidRPr="009664B1">
        <w:rPr>
          <w:rFonts w:ascii="Arial" w:hAnsi="Arial" w:cs="Arial"/>
          <w:sz w:val="22"/>
          <w:szCs w:val="22"/>
        </w:rPr>
        <w:t xml:space="preserve"> that describe absorption dependent on the dietary content of non-</w:t>
      </w:r>
      <w:proofErr w:type="spellStart"/>
      <w:r w:rsidRPr="009664B1">
        <w:rPr>
          <w:rFonts w:ascii="Arial" w:hAnsi="Arial" w:cs="Arial"/>
          <w:sz w:val="22"/>
          <w:szCs w:val="22"/>
        </w:rPr>
        <w:t>heme</w:t>
      </w:r>
      <w:proofErr w:type="spellEnd"/>
      <w:r w:rsidRPr="009664B1">
        <w:rPr>
          <w:rFonts w:ascii="Arial" w:hAnsi="Arial" w:cs="Arial"/>
          <w:sz w:val="22"/>
          <w:szCs w:val="22"/>
        </w:rPr>
        <w:t xml:space="preserve">, phytate, vitamin C, calcium, meat, tea, and serum ferritin levels. </w:t>
      </w:r>
    </w:p>
    <w:p w14:paraId="5C23EEB2" w14:textId="77777777" w:rsidR="003653BF" w:rsidRPr="009664B1" w:rsidRDefault="003653BF" w:rsidP="00FC0B1B">
      <w:pPr>
        <w:spacing w:line="360" w:lineRule="auto"/>
        <w:rPr>
          <w:rFonts w:ascii="Arial" w:hAnsi="Arial" w:cs="Arial"/>
          <w:sz w:val="22"/>
          <w:szCs w:val="22"/>
        </w:rPr>
      </w:pPr>
    </w:p>
    <w:p w14:paraId="70736DB8" w14:textId="2C092EC8" w:rsidR="000C2124" w:rsidRPr="009664B1" w:rsidRDefault="000C2124" w:rsidP="00FC0B1B">
      <w:pPr>
        <w:spacing w:line="360" w:lineRule="auto"/>
        <w:rPr>
          <w:rFonts w:ascii="Arial" w:hAnsi="Arial" w:cs="Arial"/>
          <w:sz w:val="22"/>
          <w:szCs w:val="22"/>
        </w:rPr>
      </w:pPr>
      <w:r w:rsidRPr="009664B1">
        <w:rPr>
          <w:rFonts w:ascii="Arial" w:hAnsi="Arial" w:cs="Arial"/>
          <w:sz w:val="22"/>
          <w:szCs w:val="22"/>
        </w:rPr>
        <w:t>W</w:t>
      </w:r>
      <w:r w:rsidRPr="009664B1">
        <w:rPr>
          <w:rFonts w:ascii="Arial" w:hAnsi="Arial" w:cs="Arial"/>
          <w:sz w:val="22"/>
          <w:szCs w:val="22"/>
        </w:rPr>
        <w:t xml:space="preserve">e calculated </w:t>
      </w:r>
      <w:r w:rsidR="001371FA" w:rsidRPr="009664B1">
        <w:rPr>
          <w:rFonts w:ascii="Arial" w:hAnsi="Arial" w:cs="Arial"/>
          <w:sz w:val="22"/>
          <w:szCs w:val="22"/>
        </w:rPr>
        <w:t xml:space="preserve">the intake of and changes in </w:t>
      </w:r>
      <w:r w:rsidRPr="009664B1">
        <w:rPr>
          <w:rFonts w:ascii="Arial" w:hAnsi="Arial" w:cs="Arial"/>
          <w:sz w:val="22"/>
          <w:szCs w:val="22"/>
        </w:rPr>
        <w:t>nutrient</w:t>
      </w:r>
      <w:r w:rsidR="001371FA" w:rsidRPr="009664B1">
        <w:rPr>
          <w:rFonts w:ascii="Arial" w:hAnsi="Arial" w:cs="Arial"/>
          <w:sz w:val="22"/>
          <w:szCs w:val="22"/>
        </w:rPr>
        <w:t>s</w:t>
      </w:r>
      <w:r w:rsidRPr="009664B1">
        <w:rPr>
          <w:rFonts w:ascii="Arial" w:hAnsi="Arial" w:cs="Arial"/>
          <w:sz w:val="22"/>
          <w:szCs w:val="22"/>
        </w:rPr>
        <w:t xml:space="preserve"> </w:t>
      </w:r>
      <w:r w:rsidR="001371FA" w:rsidRPr="009664B1">
        <w:rPr>
          <w:rFonts w:ascii="Arial" w:hAnsi="Arial" w:cs="Arial"/>
          <w:sz w:val="22"/>
          <w:szCs w:val="22"/>
        </w:rPr>
        <w:t>across the different</w:t>
      </w:r>
      <w:r w:rsidRPr="009664B1">
        <w:rPr>
          <w:rFonts w:ascii="Arial" w:hAnsi="Arial" w:cs="Arial"/>
          <w:sz w:val="22"/>
          <w:szCs w:val="22"/>
        </w:rPr>
        <w:t xml:space="preserve"> diets and </w:t>
      </w:r>
      <w:r w:rsidR="001371FA" w:rsidRPr="009664B1">
        <w:rPr>
          <w:rFonts w:ascii="Arial" w:hAnsi="Arial" w:cs="Arial"/>
          <w:sz w:val="22"/>
          <w:szCs w:val="22"/>
        </w:rPr>
        <w:t>population groups</w:t>
      </w:r>
      <w:r w:rsidRPr="009664B1">
        <w:rPr>
          <w:rFonts w:ascii="Arial" w:hAnsi="Arial" w:cs="Arial"/>
          <w:sz w:val="22"/>
          <w:szCs w:val="22"/>
        </w:rPr>
        <w:t xml:space="preserve"> for</w:t>
      </w:r>
      <w:r w:rsidR="001371FA" w:rsidRPr="009664B1">
        <w:rPr>
          <w:rFonts w:ascii="Arial" w:hAnsi="Arial" w:cs="Arial"/>
          <w:sz w:val="22"/>
          <w:szCs w:val="22"/>
        </w:rPr>
        <w:t xml:space="preserve"> 26 nutrients. </w:t>
      </w:r>
      <w:r w:rsidR="003653BF" w:rsidRPr="009664B1">
        <w:rPr>
          <w:rFonts w:ascii="Arial" w:hAnsi="Arial" w:cs="Arial"/>
          <w:sz w:val="22"/>
          <w:szCs w:val="22"/>
        </w:rPr>
        <w:t xml:space="preserve">For nutrients for which </w:t>
      </w:r>
      <w:r w:rsidR="001371FA" w:rsidRPr="009664B1">
        <w:rPr>
          <w:rFonts w:ascii="Arial" w:hAnsi="Arial" w:cs="Arial"/>
          <w:sz w:val="22"/>
          <w:szCs w:val="22"/>
        </w:rPr>
        <w:t xml:space="preserve">adequacy-related </w:t>
      </w:r>
      <w:r w:rsidR="003653BF" w:rsidRPr="009664B1">
        <w:rPr>
          <w:rFonts w:ascii="Arial" w:hAnsi="Arial" w:cs="Arial"/>
          <w:sz w:val="22"/>
          <w:szCs w:val="22"/>
        </w:rPr>
        <w:t xml:space="preserve">average requirements were available, we also calculated nutrient adequacy ratios (NARs) as the ratio between estimated intake and recommended intake capped at one, and summed those across nutrients to derive an overall </w:t>
      </w:r>
      <w:r w:rsidR="001371FA" w:rsidRPr="009664B1">
        <w:rPr>
          <w:rFonts w:ascii="Arial" w:hAnsi="Arial" w:cs="Arial"/>
          <w:sz w:val="22"/>
          <w:szCs w:val="22"/>
        </w:rPr>
        <w:t>adequacy scores (mean adequacy ratio, MAR)</w:t>
      </w:r>
      <w:r w:rsidR="003653BF" w:rsidRPr="009664B1">
        <w:rPr>
          <w:rFonts w:ascii="Arial" w:hAnsi="Arial" w:cs="Arial"/>
          <w:sz w:val="22"/>
          <w:szCs w:val="22"/>
        </w:rPr>
        <w:t xml:space="preserve"> for each population</w:t>
      </w:r>
      <w:r w:rsidR="00275800">
        <w:rPr>
          <w:rFonts w:ascii="Arial" w:hAnsi="Arial" w:cs="Arial"/>
          <w:sz w:val="22"/>
          <w:szCs w:val="22"/>
        </w:rPr>
        <w:t xml:space="preserve"> </w:t>
      </w:r>
      <w:r w:rsidR="00275800">
        <w:rPr>
          <w:rFonts w:ascii="Arial" w:hAnsi="Arial" w:cs="Arial"/>
          <w:sz w:val="22"/>
          <w:szCs w:val="22"/>
        </w:rPr>
        <w:fldChar w:fldCharType="begin"/>
      </w:r>
      <w:r w:rsidR="00935615">
        <w:rPr>
          <w:rFonts w:ascii="Arial" w:hAnsi="Arial" w:cs="Arial"/>
          <w:sz w:val="22"/>
          <w:szCs w:val="22"/>
        </w:rPr>
        <w:instrText xml:space="preserve"> ADDIN ZOTERO_ITEM CSL_CITATION {"citationID":"09zT1JQ0","properties":{"formattedCitation":"\\super 29\\nosupersub{}","plainCitation":"29","noteIndex":0},"citationItems":[{"id":4243,"uris":["http://zotero.org/users/14122/items/RARZNPDX"],"itemData":{"id":4243,"type":"document","publisher":"Tufts University, Boston, MA","title":"Data4Diets: Building Blocks for Diet-related Food Security Analysis, Version 2.0","URL":"https://inddex.nutrition.tufts.edu/data4diets/indicator/mean-adequacy-ratio-mar","author":[{"family":"Tufts University","given":""}],"issued":{"date-parts":[["2023"]]}}}],"schema":"https://github.com/citation-style-language/schema/raw/master/csl-citation.json"} </w:instrText>
      </w:r>
      <w:r w:rsidR="00275800">
        <w:rPr>
          <w:rFonts w:ascii="Arial" w:hAnsi="Arial" w:cs="Arial"/>
          <w:sz w:val="22"/>
          <w:szCs w:val="22"/>
        </w:rPr>
        <w:fldChar w:fldCharType="separate"/>
      </w:r>
      <w:r w:rsidR="00935615" w:rsidRPr="00935615">
        <w:rPr>
          <w:rFonts w:ascii="Arial" w:hAnsi="Arial" w:cs="Arial"/>
          <w:kern w:val="0"/>
          <w:sz w:val="22"/>
          <w:vertAlign w:val="superscript"/>
        </w:rPr>
        <w:t>29</w:t>
      </w:r>
      <w:r w:rsidR="00275800">
        <w:rPr>
          <w:rFonts w:ascii="Arial" w:hAnsi="Arial" w:cs="Arial"/>
          <w:sz w:val="22"/>
          <w:szCs w:val="22"/>
        </w:rPr>
        <w:fldChar w:fldCharType="end"/>
      </w:r>
      <w:r w:rsidR="003653BF" w:rsidRPr="009664B1">
        <w:rPr>
          <w:rFonts w:ascii="Arial" w:hAnsi="Arial" w:cs="Arial"/>
          <w:sz w:val="22"/>
          <w:szCs w:val="22"/>
        </w:rPr>
        <w:t xml:space="preserve">. We omitted nutrients in this calculation whose recommended intake were based on </w:t>
      </w:r>
      <w:r w:rsidR="001371FA" w:rsidRPr="009664B1">
        <w:rPr>
          <w:rFonts w:ascii="Arial" w:hAnsi="Arial" w:cs="Arial"/>
          <w:sz w:val="22"/>
          <w:szCs w:val="22"/>
        </w:rPr>
        <w:t xml:space="preserve">balance studies and </w:t>
      </w:r>
      <w:r w:rsidR="003653BF" w:rsidRPr="009664B1">
        <w:rPr>
          <w:rFonts w:ascii="Arial" w:hAnsi="Arial" w:cs="Arial"/>
          <w:sz w:val="22"/>
          <w:szCs w:val="22"/>
        </w:rPr>
        <w:t>customary intake instead of requirements to avoid deficiency</w:t>
      </w:r>
      <w:r w:rsidR="00C55E93">
        <w:rPr>
          <w:rFonts w:ascii="Arial" w:hAnsi="Arial" w:cs="Arial"/>
          <w:sz w:val="22"/>
          <w:szCs w:val="22"/>
        </w:rPr>
        <w:t xml:space="preserve"> </w:t>
      </w:r>
      <w:r w:rsidR="00935615">
        <w:rPr>
          <w:rFonts w:ascii="Arial" w:hAnsi="Arial" w:cs="Arial"/>
          <w:sz w:val="22"/>
          <w:szCs w:val="22"/>
        </w:rPr>
        <w:fldChar w:fldCharType="begin"/>
      </w:r>
      <w:r w:rsidR="00935615">
        <w:rPr>
          <w:rFonts w:ascii="Arial" w:hAnsi="Arial" w:cs="Arial"/>
          <w:sz w:val="22"/>
          <w:szCs w:val="22"/>
        </w:rPr>
        <w:instrText xml:space="preserve"> ADDIN ZOTERO_ITEM CSL_CITATION {"citationID":"QNwhv0rN","properties":{"formattedCitation":"\\super 30,31\\nosupersub{}","plainCitation":"30,31","noteIndex":0},"citationItems":[{"id":4248,"uris":["http://zotero.org/users/14122/items/ZXKDA2XG"],"itemData":{"id":4248,"type":"article-journal","container-title":"Lancet Planetary Health","title":"A review of the quality of evidence of nutrient reference values","author":[{"family":"Bajaj","given":"Sumati"},{"family":"Springmann","given":"Marco"}],"issued":{"literal":"under review"}}},{"id":3972,"uris":["http://zotero.org/users/14122/items/KE8CDZXM"],"itemData":{"id":3972,"type":"article-journal","abstract":"This publication is linked to the following EFSA Journal articles: http://onlinelibrary.wiley.com/doi/10.2903/j.efsa.2019.5778/full, http://onlinelibrary.wiley.com/doi/10.2903/j.efsa.2019.5779/full","container-title":"EFSA Supporting Publications","DOI":"10.2903/sp.efsa.2017.e15121","ISSN":"23978325, 23978325","issue":"12","journalAbbreviation":"EFS3","language":"eng","source":"DOI.org (CSL JSON)","title":"Dietary Reference Values for nutrients Summary report","URL":"https://data.europa.eu/doi/10.2903/sp.efsa.2017.e15121","volume":"14","author":[{"literal":"European Food Safety Authority (EFSA)"}],"accessed":{"date-parts":[["2024",3,9]]},"issued":{"date-parts":[["2017",12]]}}}],"schema":"https://github.com/citation-style-language/schema/raw/master/csl-citation.json"} </w:instrText>
      </w:r>
      <w:r w:rsidR="00935615">
        <w:rPr>
          <w:rFonts w:ascii="Arial" w:hAnsi="Arial" w:cs="Arial"/>
          <w:sz w:val="22"/>
          <w:szCs w:val="22"/>
        </w:rPr>
        <w:fldChar w:fldCharType="separate"/>
      </w:r>
      <w:r w:rsidR="00935615" w:rsidRPr="00935615">
        <w:rPr>
          <w:rFonts w:ascii="Arial" w:hAnsi="Arial" w:cs="Arial"/>
          <w:kern w:val="0"/>
          <w:sz w:val="22"/>
          <w:vertAlign w:val="superscript"/>
        </w:rPr>
        <w:t>30,31</w:t>
      </w:r>
      <w:r w:rsidR="00935615">
        <w:rPr>
          <w:rFonts w:ascii="Arial" w:hAnsi="Arial" w:cs="Arial"/>
          <w:sz w:val="22"/>
          <w:szCs w:val="22"/>
        </w:rPr>
        <w:fldChar w:fldCharType="end"/>
      </w:r>
      <w:r w:rsidR="003653BF" w:rsidRPr="009664B1">
        <w:rPr>
          <w:rFonts w:ascii="Arial" w:hAnsi="Arial" w:cs="Arial"/>
          <w:sz w:val="22"/>
          <w:szCs w:val="22"/>
        </w:rPr>
        <w:t xml:space="preserve">. </w:t>
      </w:r>
      <w:r w:rsidR="001371FA" w:rsidRPr="00BB231B">
        <w:rPr>
          <w:rFonts w:ascii="Arial" w:hAnsi="Arial" w:cs="Arial"/>
          <w:sz w:val="22"/>
          <w:szCs w:val="22"/>
        </w:rPr>
        <w:t>Table S2</w:t>
      </w:r>
      <w:r w:rsidR="001371FA" w:rsidRPr="009664B1">
        <w:rPr>
          <w:rFonts w:ascii="Arial" w:hAnsi="Arial" w:cs="Arial"/>
          <w:sz w:val="22"/>
          <w:szCs w:val="22"/>
        </w:rPr>
        <w:t xml:space="preserve"> provides an overview of the nutrients included, their current average intake, and their estimated average requirement related to adequacy where available.</w:t>
      </w:r>
      <w:r w:rsidR="003653BF" w:rsidRPr="009664B1">
        <w:rPr>
          <w:rFonts w:ascii="Arial" w:hAnsi="Arial" w:cs="Arial"/>
          <w:sz w:val="22"/>
          <w:szCs w:val="22"/>
        </w:rPr>
        <w:t xml:space="preserve"> </w:t>
      </w:r>
    </w:p>
    <w:p w14:paraId="4B3DD250" w14:textId="77777777" w:rsidR="00292287" w:rsidRDefault="00292287" w:rsidP="00FC0B1B">
      <w:pPr>
        <w:spacing w:line="360" w:lineRule="auto"/>
        <w:rPr>
          <w:rFonts w:ascii="Arial" w:hAnsi="Arial" w:cs="Arial"/>
          <w:sz w:val="22"/>
          <w:szCs w:val="22"/>
        </w:rPr>
      </w:pPr>
    </w:p>
    <w:p w14:paraId="1DD743B7" w14:textId="77777777" w:rsidR="00292287" w:rsidRDefault="00292287" w:rsidP="00FC0B1B">
      <w:pPr>
        <w:spacing w:line="360" w:lineRule="auto"/>
        <w:rPr>
          <w:rFonts w:ascii="Arial" w:hAnsi="Arial" w:cs="Arial"/>
          <w:sz w:val="22"/>
          <w:szCs w:val="22"/>
        </w:rPr>
      </w:pPr>
    </w:p>
    <w:p w14:paraId="75F20B8C" w14:textId="77777777" w:rsidR="00FC0B1B" w:rsidRDefault="00FC0B1B">
      <w:pPr>
        <w:rPr>
          <w:rFonts w:ascii="Arial" w:hAnsi="Arial" w:cs="Arial"/>
          <w:b/>
          <w:bCs/>
          <w:sz w:val="22"/>
          <w:szCs w:val="22"/>
        </w:rPr>
      </w:pPr>
      <w:r>
        <w:rPr>
          <w:rFonts w:ascii="Arial" w:hAnsi="Arial" w:cs="Arial"/>
          <w:b/>
          <w:bCs/>
          <w:sz w:val="22"/>
          <w:szCs w:val="22"/>
        </w:rPr>
        <w:br w:type="page"/>
      </w:r>
    </w:p>
    <w:p w14:paraId="2AE7E3F1" w14:textId="2B3A483D" w:rsidR="00292287" w:rsidRPr="009664B1" w:rsidRDefault="00292287" w:rsidP="00FC0B1B">
      <w:pPr>
        <w:spacing w:line="360" w:lineRule="auto"/>
        <w:rPr>
          <w:rFonts w:ascii="Arial" w:hAnsi="Arial" w:cs="Arial"/>
          <w:sz w:val="22"/>
          <w:szCs w:val="22"/>
        </w:rPr>
      </w:pPr>
      <w:r w:rsidRPr="00292287">
        <w:rPr>
          <w:rFonts w:ascii="Arial" w:hAnsi="Arial" w:cs="Arial"/>
          <w:b/>
          <w:bCs/>
          <w:sz w:val="22"/>
          <w:szCs w:val="22"/>
        </w:rPr>
        <w:lastRenderedPageBreak/>
        <w:t>Table S2.</w:t>
      </w:r>
      <w:r>
        <w:rPr>
          <w:rFonts w:ascii="Arial" w:hAnsi="Arial" w:cs="Arial"/>
          <w:sz w:val="22"/>
          <w:szCs w:val="22"/>
        </w:rPr>
        <w:t xml:space="preserve"> Overview of recommend intake and current intake of nutrients included in the analysis. </w:t>
      </w:r>
    </w:p>
    <w:p w14:paraId="4D944B28" w14:textId="5478F78C" w:rsidR="003653BF" w:rsidRPr="009664B1" w:rsidRDefault="00292287" w:rsidP="00FC0B1B">
      <w:pPr>
        <w:spacing w:line="360" w:lineRule="auto"/>
        <w:rPr>
          <w:rFonts w:ascii="Arial" w:hAnsi="Arial" w:cs="Arial"/>
          <w:sz w:val="22"/>
          <w:szCs w:val="22"/>
        </w:rPr>
      </w:pPr>
      <w:r w:rsidRPr="00292287">
        <w:rPr>
          <w:rFonts w:ascii="Arial" w:hAnsi="Arial" w:cs="Arial"/>
          <w:sz w:val="22"/>
          <w:szCs w:val="22"/>
        </w:rPr>
        <w:drawing>
          <wp:inline distT="0" distB="0" distL="0" distR="0" wp14:anchorId="3FBDA787" wp14:editId="497511D7">
            <wp:extent cx="3601214" cy="5696465"/>
            <wp:effectExtent l="0" t="0" r="5715" b="6350"/>
            <wp:docPr id="188518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86405" name=""/>
                    <pic:cNvPicPr/>
                  </pic:nvPicPr>
                  <pic:blipFill>
                    <a:blip r:embed="rId9"/>
                    <a:stretch>
                      <a:fillRect/>
                    </a:stretch>
                  </pic:blipFill>
                  <pic:spPr>
                    <a:xfrm>
                      <a:off x="0" y="0"/>
                      <a:ext cx="3601214" cy="5696465"/>
                    </a:xfrm>
                    <a:prstGeom prst="rect">
                      <a:avLst/>
                    </a:prstGeom>
                  </pic:spPr>
                </pic:pic>
              </a:graphicData>
            </a:graphic>
          </wp:inline>
        </w:drawing>
      </w:r>
    </w:p>
    <w:p w14:paraId="4D1420A9" w14:textId="77777777" w:rsidR="003653BF" w:rsidRPr="009664B1" w:rsidRDefault="003653BF" w:rsidP="00FC0B1B">
      <w:pPr>
        <w:spacing w:line="360" w:lineRule="auto"/>
        <w:rPr>
          <w:rFonts w:ascii="Arial" w:hAnsi="Arial" w:cs="Arial"/>
          <w:sz w:val="22"/>
          <w:szCs w:val="22"/>
        </w:rPr>
      </w:pPr>
    </w:p>
    <w:p w14:paraId="64D853E7" w14:textId="21ECFE70" w:rsidR="003653BF" w:rsidRPr="009664B1" w:rsidRDefault="003653BF" w:rsidP="00FC0B1B">
      <w:pPr>
        <w:spacing w:line="360" w:lineRule="auto"/>
        <w:rPr>
          <w:rFonts w:ascii="Arial" w:hAnsi="Arial" w:cs="Arial"/>
          <w:sz w:val="22"/>
          <w:szCs w:val="22"/>
        </w:rPr>
      </w:pPr>
      <w:r w:rsidRPr="009664B1">
        <w:rPr>
          <w:rFonts w:ascii="Arial" w:hAnsi="Arial" w:cs="Arial"/>
          <w:sz w:val="22"/>
          <w:szCs w:val="22"/>
        </w:rPr>
        <w:br w:type="page"/>
      </w:r>
    </w:p>
    <w:p w14:paraId="1510F295" w14:textId="0A12A0AD" w:rsidR="00ED316C" w:rsidRPr="00ED316C" w:rsidRDefault="00ED316C" w:rsidP="00FC0B1B">
      <w:pPr>
        <w:pStyle w:val="Heading1"/>
        <w:spacing w:line="360" w:lineRule="auto"/>
        <w:rPr>
          <w:rFonts w:ascii="Arial" w:hAnsi="Arial" w:cs="Arial"/>
          <w:b/>
          <w:bCs/>
          <w:color w:val="000000" w:themeColor="text1"/>
          <w:sz w:val="24"/>
          <w:szCs w:val="24"/>
        </w:rPr>
      </w:pPr>
      <w:bookmarkStart w:id="2" w:name="_Toc195730121"/>
      <w:r w:rsidRPr="00ED316C">
        <w:rPr>
          <w:rFonts w:ascii="Arial" w:hAnsi="Arial" w:cs="Arial"/>
          <w:b/>
          <w:bCs/>
          <w:color w:val="000000" w:themeColor="text1"/>
          <w:sz w:val="24"/>
          <w:szCs w:val="24"/>
        </w:rPr>
        <w:lastRenderedPageBreak/>
        <w:t>S</w:t>
      </w:r>
      <w:r>
        <w:rPr>
          <w:rFonts w:ascii="Arial" w:hAnsi="Arial" w:cs="Arial"/>
          <w:b/>
          <w:bCs/>
          <w:color w:val="000000" w:themeColor="text1"/>
          <w:sz w:val="24"/>
          <w:szCs w:val="24"/>
        </w:rPr>
        <w:t>3</w:t>
      </w:r>
      <w:r w:rsidRPr="00ED316C">
        <w:rPr>
          <w:rFonts w:ascii="Arial" w:hAnsi="Arial" w:cs="Arial"/>
          <w:b/>
          <w:bCs/>
          <w:color w:val="000000" w:themeColor="text1"/>
          <w:sz w:val="24"/>
          <w:szCs w:val="24"/>
        </w:rPr>
        <w:tab/>
      </w:r>
      <w:r>
        <w:rPr>
          <w:rFonts w:ascii="Arial" w:hAnsi="Arial" w:cs="Arial"/>
          <w:b/>
          <w:bCs/>
          <w:color w:val="000000" w:themeColor="text1"/>
          <w:sz w:val="24"/>
          <w:szCs w:val="24"/>
        </w:rPr>
        <w:t>Comparative risk assessment</w:t>
      </w:r>
      <w:bookmarkEnd w:id="2"/>
      <w:r w:rsidRPr="00ED316C">
        <w:rPr>
          <w:rFonts w:ascii="Arial" w:hAnsi="Arial" w:cs="Arial"/>
          <w:b/>
          <w:bCs/>
          <w:color w:val="000000" w:themeColor="text1"/>
          <w:sz w:val="24"/>
          <w:szCs w:val="24"/>
        </w:rPr>
        <w:t xml:space="preserve"> </w:t>
      </w:r>
    </w:p>
    <w:p w14:paraId="5C6AEE03" w14:textId="77777777" w:rsidR="003653BF" w:rsidRPr="009664B1" w:rsidRDefault="003653BF" w:rsidP="00FC0B1B">
      <w:pPr>
        <w:pStyle w:val="NoSpacing"/>
        <w:spacing w:line="360" w:lineRule="auto"/>
        <w:rPr>
          <w:rFonts w:ascii="Arial" w:hAnsi="Arial" w:cs="Arial"/>
        </w:rPr>
      </w:pPr>
    </w:p>
    <w:p w14:paraId="0D39C45B" w14:textId="6BA75FE6" w:rsidR="003653BF" w:rsidRPr="009664B1" w:rsidRDefault="003653BF" w:rsidP="00FC0B1B">
      <w:pPr>
        <w:pStyle w:val="NoSpacing"/>
        <w:spacing w:line="360" w:lineRule="auto"/>
        <w:rPr>
          <w:rFonts w:ascii="Arial" w:hAnsi="Arial" w:cs="Arial"/>
        </w:rPr>
      </w:pPr>
      <w:r w:rsidRPr="009664B1">
        <w:rPr>
          <w:rFonts w:ascii="Arial" w:hAnsi="Arial" w:cs="Arial"/>
        </w:rPr>
        <w:t>We estimated the mortality and disease burden attributable to dietary and weight-related risk factors by calculating population impact fractions (PIFs) which represent the proportions of disease cases that would be avoided when the risk exposure was changed from a baseline situation to a counterfactual situation. For calculating PIFs, we used the general formula</w:t>
      </w:r>
      <w:r w:rsidRPr="009664B1">
        <w:rPr>
          <w:rFonts w:ascii="Arial" w:hAnsi="Arial" w:cs="Arial"/>
        </w:rPr>
        <w:fldChar w:fldCharType="begin" w:fldLock="1"/>
      </w:r>
      <w:r w:rsidR="00935615">
        <w:rPr>
          <w:rFonts w:ascii="Arial" w:hAnsi="Arial" w:cs="Arial"/>
        </w:rPr>
        <w:instrText xml:space="preserve"> ADDIN ZOTERO_ITEM CSL_CITATION {"citationID":"2juogbe0la","properties":{"formattedCitation":"\\super 32\\uc0\\u8211{}34\\nosupersub{}","plainCitation":"32–34","noteIndex":0},"citationItems":[{"id":"XSX8F4tB/ZQBSmoRc","uris":["http://www.mendeley.com/documents/?uuid=83d2b013-4858-455b-9f59-d66acdc14c74",["http://www.mendeley.com/documents/?uuid=83d2b013-4858-455b-9f59-d66acdc14c74"]],"itemData":{"author":[{"dropping-particle":"","family":"Murray","given":"Christopher J L","non-dropping-particle":"","parse-names":false,"suffix":""},{"dropping-particle":"","family":"Ezzati","given":"Majid","non-dropping-particle":"","parse-names":false,"suffix":""},{"dropping-particle":"","family":"Lopez","given":"Alan D","non-dropping-particle":"","parse-names":false,"suffix":""},{"dropping-particle":"","family":"Rodgers","given":"Anthony","non-dropping-particle":"","parse-names":false,"suffix":""},{"dropping-particle":"","family":"Hoorn","given":"Stephen","non-dropping-particle":"Vander","parse-names":false,"suffix":""}],"container-title":"Population Health Metrics","id":"ITEM-1","issue":"1","issued":{"date-parts":[["2003","1","17"]]},"page":"1","title":"Comparative quantification of health risks: conceptual framework and methodological issues","type":"article-journal","volume":"1"}},{"id":"XSX8F4tB/UQ1Yu57Q","uris":["http://www.mendeley.com/documents/?uuid=35b14c96-27f0-4892-a664-c378b02a9729",["http://www.mendeley.com/documents/?uuid=35b14c96-27f0-4892-a664-c378b02a9729"]],"itemData":{"DOI":"10.1016/S0140-6736(12)61766-8","ISSN":"01406736","author":[{"dropping-particle":"","family":"Lim","given":"Stephen S","non-dropping-particle":"","parse-names":false,"suffix":""},{"dropping-particle":"","family":"Vos","given":"Theo","non-dropping-particle":"","parse-names":false,"suffix":""},{"dropping-particle":"","family":"Flaxman","given":"Abraham D","non-dropping-particle":"","parse-names":false,"suffix":""},{"dropping-particle":"","family":"Danaei","given":"Goodarz","non-dropping-particle":"","parse-names":false,"suffix":""},{"dropping-particle":"","family":"Shibuya","given":"Kenji","non-dropping-particle":"","parse-names":false,"suffix":""},{"dropping-particle":"","family":"Adair-Rohani","given":"Heather","non-dropping-particle":"","parse-names":false,"suffix":""},{"dropping-particle":"","family":"AlMazroa","given":"Mohammad A","non-dropping-particle":"","parse-names":false,"suffix":""},{"dropping-particle":"","family":"Amann","given":"Markus","non-dropping-particle":"","parse-names":false,"suffix":""},{"dropping-particle":"","family":"Anderson","given":"H Ross","non-dropping-particle":"","parse-names":false,"suffix":""},{"dropping-particle":"","family":"Andrews","given":"Kathryn G","non-dropping-particle":"","parse-names":false,"suffix":""},{"dropping-particle":"","family":"Aryee","given":"Martin","non-dropping-particle":"","parse-names":false,"suffix":""},{"dropping-particle":"","family":"Atkinson","given":"Charles","non-dropping-particle":"","parse-names":false,"suffix":""},{"dropping-particle":"","family":"Bacchus","given":"Loraine J","non-dropping-particle":"","parse-names":false,"suffix":""},{"dropping-particle":"","family":"Bahalim","given":"Adil N","non-dropping-particle":"","parse-names":false,"suffix":""},{"dropping-particle":"","family":"Balakrishnan","given":"Kalpana","non-dropping-particle":"","parse-names":false,"suffix":""},{"dropping-particle":"","family":"Balmes","given":"John","non-dropping-particle":"","parse-names":false,"suffix":""},{"dropping-particle":"","family":"Barker-Collo","given":"Suzanne","non-dropping-particle":"","parse-names":false,"suffix":""},{"dropping-particle":"","family":"Baxter","given":"Amanda","non-dropping-particle":"","parse-names":false,"suffix":""},{"dropping-particle":"","family":"Bell","given":"Michelle L","non-dropping-particle":"","parse-names":false,"suffix":""},{"dropping-particle":"","family":"Blore","given":"Jed D","non-dropping-particle":"","parse-names":false,"suffix":""},{"dropping-particle":"","family":"Blyth","given":"Fiona","non-dropping-particle":"","parse-names":false,"suffix":""},{"dropping-particle":"","family":"Bonner","given":"Carissa","non-dropping-particle":"","parse-names":false,"suffix":""},{"dropping-particle":"","family":"Borges","given":"Guilherme","non-dropping-particle":"","parse-names":false,"suffix":""},{"dropping-particle":"","family":"Bourne","given":"Rupert","non-dropping-particle":"","parse-names":false,"suffix":""},{"dropping-particle":"","family":"Boussinesq","given":"Michel","non-dropping-particle":"","parse-names":false,"suffix":""},{"dropping-particle":"","family":"Brauer","given":"Michael","non-dropping-particle":"","parse-names":false,"suffix":""},{"dropping-particle":"","family":"Brooks","given":"Peter","non-dropping-particle":"","parse-names":false,"suffix":""},{"dropping-particle":"","family":"Bruce","given":"Nigel G","non-dropping-particle":"","parse-names":false,"suffix":""},{"dropping-particle":"","family":"Brunekreef","given":"Bert","non-dropping-particle":"","parse-names":false,"suffix":""},{"dropping-particle":"","family":"Bryan-Hancock","given":"Claire","non-dropping-particle":"","parse-names":false,"suffix":""},{"dropping-particle":"","family":"Bucello","given":"Chiara","non-dropping-particle":"","parse-names":false,"suffix":""},{"dropping-particle":"","family":"Buchbinder","given":"Rachelle","non-dropping-particle":"","parse-names":false,"suffix":""},{"dropping-particle":"","family":"Bull","given":"Fiona","non-dropping-particle":"","parse-names":false,"suffix":""},{"dropping-particle":"","family":"Burnett","given":"Richard T","non-dropping-particle":"","parse-names":false,"suffix":""},{"dropping-particle":"","family":"Byers","given":"Tim E","non-dropping-particle":"","parse-names":false,"suffix":""},{"dropping-particle":"","family":"Calabria","given":"Bianca","non-dropping-particle":"","parse-names":false,"suffix":""},{"dropping-particle":"","family":"Carapetis","given":"Jonathan","non-dropping-particle":"","parse-names":false,"suffix":""},{"dropping-particle":"","family":"Carnahan","given":"Emily","non-dropping-particle":"","parse-names":false,"suffix":""},{"dropping-particle":"","family":"Chafe","given":"Zoe","non-dropping-particle":"","parse-names":false,"suffix":""},{"dropping-particle":"","family":"Charlson","given":"Fiona","non-dropping-particle":"","parse-names":false,"suffix":""},{"dropping-particle":"","family":"Chen","given":"Honglei","non-dropping-particle":"","parse-names":false,"suffix":""},{"dropping-particle":"","family":"Chen","given":"Jian Shen","non-dropping-particle":"","parse-names":false,"suffix":""},{"dropping-particle":"","family":"Cheng","given":"Andrew Tai-Ann","non-dropping-particle":"","parse-names":false,"suffix":""},{"dropping-particle":"","family":"Child","given":"Jennifer Christine","non-dropping-particle":"","parse-names":false,"suffix":""},{"dropping-particle":"","family":"Cohen","given":"Aaron","non-dropping-particle":"","parse-names":false,"suffix":""},{"dropping-particle":"","family":"Colson","given":"K Ellicott","non-dropping-particle":"","parse-names":false,"suffix":""},{"dropping-particle":"","family":"Cowie","given":"Benjamin C","non-dropping-particle":"","parse-names":false,"suffix":""},{"dropping-particle":"","family":"Darby","given":"Sarah","non-dropping-particle":"","parse-names":false,"suffix":""},{"dropping-particle":"","family":"Darling","given":"Susan","non-dropping-particle":"","parse-names":false,"suffix":""},{"dropping-particle":"","family":"Davis","given":"Adrian","non-dropping-particle":"","parse-names":false,"suffix":""},{"dropping-particle":"","family":"Degenhardt","given":"Louisa","non-dropping-particle":"","parse-names":false,"suffix":""},{"dropping-particle":"","family":"Dentener","given":"Frank","non-dropping-particle":"","parse-names":false,"suffix":""},{"dropping-particle":"","family":"Jarlais","given":"Don C","non-dropping-particle":"Des","parse-names":false,"suffix":""},{"dropping-particle":"","family":"Devries","given":"Karen","non-dropping-particle":"","parse-names":false,"suffix":""},{"dropping-particle":"","family":"Dherani","given":"Mukesh","non-dropping-particle":"","parse-names":false,"suffix":""},{"dropping-particle":"","family":"Ding","given":"Eric L","non-dropping-particle":"","parse-names":false,"suffix":""},{"dropping-particle":"","family":"Dorsey","given":"E Ray","non-dropping-particle":"","parse-names":false,"suffix":""},{"dropping-particle":"","family":"Driscoll","given":"Tim","non-dropping-particle":"","parse-names":false,"suffix":""},{"dropping-particle":"","family":"Edmond","given":"Karen","non-dropping-particle":"","parse-names":false,"suffix":""},{"dropping-particle":"","family":"Ali","given":"Suad Eltahir","non-dropping-particle":"","parse-names":false,"suffix":""},{"dropping-particle":"","family":"Engell","given":"Rebecca E","non-dropping-particle":"","parse-names":false,"suffix":""},{"dropping-particle":"","family":"Erwin","given":"Patricia J","non-dropping-particle":"","parse-names":false,"suffix":""},{"dropping-particle":"","family":"Fahimi","given":"Saman","non-dropping-particle":"","parse-names":false,"suffix":""},{"dropping-particle":"","family":"Falder","given":"Gail","non-dropping-particle":"","parse-names":false,"suffix":""},{"dropping-particle":"","family":"Farzadfar","given":"Farshad","non-dropping-particle":"","parse-names":false,"suffix":""},{"dropping-particle":"","family":"Ferrari","given":"Alize","non-dropping-particle":"","parse-names":false,"suffix":""},{"dropping-particle":"","family":"Finucane","given":"Mariel M","non-dropping-particle":"","parse-names":false,"suffix":""},{"dropping-particle":"","family":"Flaxman","given":"Seth","non-dropping-particle":"","parse-names":false,"suffix":""},{"dropping-particle":"","family":"Fowkes","given":"Francis Gerry R","non-dropping-particle":"","parse-names":false,"suffix":""},{"dropping-particle":"","family":"Freedman","given":"Greg","non-dropping-particle":"","parse-names":false,"suffix":""},{"dropping-particle":"","family":"Freeman","given":"Michael K","non-dropping-particle":"","parse-names":false,"suffix":""},{"dropping-particle":"","family":"Gakidou","given":"Emmanuela","non-dropping-particle":"","parse-names":false,"suffix":""},{"dropping-particle":"","family":"Ghosh","given":"Santu","non-dropping-particle":"","parse-names":false,"suffix":""},{"dropping-particle":"","family":"Giovannucci","given":"Edward","non-dropping-particle":"","parse-names":false,"suffix":""},{"dropping-particle":"","family":"Gmel","given":"Gerhard","non-dropping-particle":"","parse-names":false,"suffix":""},{"dropping-particle":"","family":"Graham","given":"Kathryn","non-dropping-particle":"","parse-names":false,"suffix":""},{"dropping-particle":"","family":"Grainger","given":"Rebecca","non-dropping-particle":"","parse-names":false,"suffix":""},{"dropping-particle":"","family":"Grant","given":"Bridget","non-dropping-particle":"","parse-names":false,"suffix":""},{"dropping-particle":"","family":"Gunnell","given":"David","non-dropping-particle":"","parse-names":false,"suffix":""},{"dropping-particle":"","family":"Gutierrez","given":"Hialy R","non-dropping-particle":"","parse-names":false,"suffix":""},{"dropping-particle":"","family":"Hall","given":"Wayne","non-dropping-particle":"","parse-names":false,"suffix":""},{"dropping-particle":"","family":"Hoek","given":"Hans W","non-dropping-particle":"","parse-names":false,"suffix":""},{"dropping-particle":"","family":"Hogan","given":"Anthony","non-dropping-particle":"","parse-names":false,"suffix":""},{"dropping-particle":"","family":"Hosgood","given":"H Dean","non-dropping-particle":"","parse-names":false,"suffix":""},{"dropping-particle":"","family":"Hoy","given":"Damian","non-dropping-particle":"","parse-names":false,"suffix":""},{"dropping-particle":"","family":"Hu","given":"Howard","non-dropping-particle":"","parse-names":false,"suffix":""},{"dropping-particle":"","family":"Hubbell","given":"Bryan J","non-dropping-particle":"","parse-names":false,"suffix":""},{"dropping-particle":"","family":"Hutchings","given":"Sally J","non-dropping-particle":"","parse-names":false,"suffix":""},{"dropping-particle":"","family":"Ibeanusi","given":"Sydney E","non-dropping-particle":"","parse-names":false,"suffix":""},{"dropping-particle":"","family":"Jacklyn","given":"Gemma L","non-dropping-particle":"","parse-names":false,"suffix":""},{"dropping-particle":"","family":"Jasrasaria","given":"Rashmi","non-dropping-particle":"","parse-names":false,"suffix":""},{"dropping-particle":"","family":"Jonas","given":"Jost B","non-dropping-particle":"","parse-names":false,"suffix":""},{"dropping-particle":"","family":"Kan","given":"Haidong","non-dropping-particle":"","parse-names":false,"suffix":""},{"dropping-particle":"","family":"Kanis","given":"John A","non-dropping-particle":"","parse-names":false,"suffix":""},{"dropping-particle":"","family":"Kassebaum","given":"Nicholas","non-dropping-particle":"","parse-names":false,"suffix":""},{"dropping-particle":"","family":"Kawakami","given":"Norito","non-dropping-particle":"","parse-names":false,"suffix":""},{"dropping-particle":"","family":"Khang","given":"Young-Ho","non-dropping-particle":"","parse-names":false,"suffix":""},{"dropping-particle":"","family":"Khatibzadeh","given":"Shahab","non-dropping-particle":"","parse-names":false,"suffix":""},{"dropping-particle":"","family":"Khoo","given":"Jon-Paul","non-dropping-particle":"","parse-names":false,"suffix":""},{"dropping-particle":"","family":"Kok","given":"Cindy","non-dropping-particle":"","parse-names":false,"suffix":""},{"dropping-particle":"","family":"Laden","given":"Francine","non-dropping-particle":"","parse-names":false,"suffix":""},{"dropping-particle":"","family":"Lalloo","given":"Ratilal","non-dropping-particle":"","parse-names":false,"suffix":""},{"dropping-particle":"","family":"Lan","given":"Qing","non-dropping-particle":"","parse-names":false,"suffix":""},{"dropping-particle":"","family":"Lathlean","given":"Tim","non-dropping-particle":"","parse-names":false,"suffix":""},{"dropping-particle":"","family":"Leasher","given":"Janet L","non-dropping-particle":"","parse-names":false,"suffix":""},{"dropping-particle":"","family":"Leigh","given":"James","non-dropping-particle":"","parse-names":false,"suffix":""},{"dropping-particle":"","family":"Li","given":"Yang","non-dropping-particle":"","parse-names":false,"suffix":""},{"dropping-particle":"","family":"Lin","given":"John Kent","non-dropping-particle":"","parse-names":false,"suffix":""},{"dropping-particle":"","family":"Lipshultz","given":"Steven E","non-dropping-particle":"","parse-names":false,"suffix":""},{"dropping-particle":"","family":"London","given":"Stephanie","non-dropping-particle":"","parse-names":false,"suffix":""},{"dropping-particle":"","family":"Lozano","given":"Rafael","non-dropping-particle":"","parse-names":false,"suffix":""},{"dropping-particle":"","family":"Lu","given":"Yuan","non-dropping-particle":"","parse-names":false,"suffix":""},{"dropping-particle":"","family":"Mak","given":"Joelle","non-dropping-particle":"","parse-names":false,"suffix":""},{"dropping-particle":"","family":"Malekzadeh","given":"Reza","non-dropping-particle":"","parse-names":false,"suffix":""},{"dropping-particle":"","family":"Mallinger","given":"Leslie","non-dropping-particle":"","parse-names":false,"suffix":""},{"dropping-particle":"","family":"Marcenes","given":"Wagner","non-dropping-particle":"","parse-names":false,"suffix":""},{"dropping-particle":"","family":"March","given":"Lyn","non-dropping-particle":"","parse-names":false,"suffix":""},{"dropping-particle":"","family":"Marks","given":"Robin","non-dropping-particle":"","parse-names":false,"suffix":""},{"dropping-particle":"","family":"Martin","given":"Randall","non-dropping-particle":"","parse-names":false,"suffix":""},{"dropping-particle":"","family":"McGale","given":"Paul","non-dropping-particle":"","parse-names":false,"suffix":""},{"dropping-particle":"","family":"McGrath","given":"John","non-dropping-particle":"","parse-names":false,"suffix":""},{"dropping-particle":"","family":"Mehta","given":"Sumi","non-dropping-particle":"","parse-names":false,"suffix":""},{"dropping-particle":"","family":"Memish","given":"Ziad A","non-dropping-particle":"","parse-names":false,"suffix":""},{"dropping-particle":"","family":"Mensah","given":"George A","non-dropping-particle":"","parse-names":false,"suffix":""},{"dropping-particle":"","family":"Merriman","given":"Tony R","non-dropping-particle":"","parse-names":false,"suffix":""},{"dropping-particle":"","family":"Micha","given":"Renata","non-dropping-particle":"","parse-names":false,"suffix":""},{"dropping-particle":"","family":"Michaud","given":"Catherine","non-dropping-particle":"","parse-names":false,"suffix":""},{"dropping-particle":"","family":"Mishra","given":"Vinod","non-dropping-particle":"","parse-names":false,"suffix":""},{"dropping-particle":"","family":"Hanafiah","given":"Khayriyyah Mohd","non-dropping-particle":"","parse-names":false,"suffix":""},{"dropping-particle":"","family":"Mokdad","given":"Ali A","non-dropping-particle":"","parse-names":false,"suffix":""},{"dropping-particle":"","family":"Morawska","given":"Lidia","non-dropping-particle":"","parse-names":false,"suffix":""},{"dropping-particle":"","family":"Mozaffarian","given":"Dariush","non-dropping-particle":"","parse-names":false,"suffix":""},{"dropping-particle":"","family":"Murphy","given":"Tasha","non-dropping-particle":"","parse-names":false,"suffix":""},{"dropping-particle":"","family":"Naghavi","given":"Mohsen","non-dropping-particle":"","parse-names":false,"suffix":""},{"dropping-particle":"","family":"Neal","given":"Bruce","non-dropping-particle":"","parse-names":false,"suffix":""},{"dropping-particle":"","family":"Nelson","given":"Paul K","non-dropping-particle":"","parse-names":false,"suffix":""},{"dropping-particle":"","family":"Nolla","given":"Joan Miquel","non-dropping-particle":"","parse-names":false,"suffix":""},{"dropping-particle":"","family":"Norman","given":"Rosana","non-dropping-particle":"","parse-names":false,"suffix":""},{"dropping-particle":"","family":"Olives","given":"Casey","non-dropping-particle":"","parse-names":false,"suffix":""},{"dropping-particle":"","family":"Omer","given":"Saad B","non-dropping-particle":"","parse-names":false,"suffix":""},{"dropping-particle":"","family":"Orchard","given":"Jessica","non-dropping-particle":"","parse-names":false,"suffix":""},{"dropping-particle":"","family":"Osborne","given":"Richard","non-dropping-particle":"","parse-names":false,"suffix":""},{"dropping-particle":"","family":"Ostro","given":"Bart","non-dropping-particle":"","parse-names":false,"suffix":""},{"dropping-particle":"","family":"Page","given":"Andrew","non-dropping-particle":"","parse-names":false,"suffix":""},{"dropping-particle":"","family":"Pandey","given":"Kiran D","non-dropping-particle":"","parse-names":false,"suffix":""},{"dropping-particle":"","family":"Parry","given":"Charles D H","non-dropping-particle":"","parse-names":false,"suffix":""},{"dropping-particle":"","family":"Passmore","given":"Erin","non-dropping-particle":"","parse-names":false,"suffix":""},{"dropping-particle":"","family":"Patra","given":"Jayadeep","non-dropping-particle":"","parse-names":false,"suffix":""},{"dropping-particle":"","family":"Pearce","given":"Neil","non-dropping-particle":"","parse-names":false,"suffix":""},{"dropping-particle":"","family":"Pelizzari","given":"Pamela M","non-dropping-particle":"","parse-names":false,"suffix":""},{"dropping-particle":"","family":"Petzold","given":"Max","non-dropping-particle":"","parse-names":false,"suffix":""},{"dropping-particle":"","family":"Phillips","given":"Michael R","non-dropping-particle":"","parse-names":false,"suffix":""},{"dropping-particle":"","family":"Pope","given":"Dan","non-dropping-particle":"","parse-names":false,"suffix":""},{"dropping-particle":"","family":"Pope","given":"C Arden","non-dropping-particle":"","parse-names":false,"suffix":""},{"dropping-particle":"","family":"Powles","given":"John","non-dropping-particle":"","parse-names":false,"suffix":""},{"dropping-particle":"","family":"Rao","given":"Mayuree","non-dropping-particle":"","parse-names":false,"suffix":""},{"dropping-particle":"","family":"Razavi","given":"Homie","non-dropping-particle":"","parse-names":false,"suffix":""},{"dropping-particle":"","family":"Rehfuess","given":"Eva A","non-dropping-particle":"","parse-names":false,"suffix":""},{"dropping-particle":"","family":"Rehm","given":"Jürgen T","non-dropping-particle":"","parse-names":false,"suffix":""},{"dropping-particle":"","family":"Ritz","given":"Beate","non-dropping-particle":"","parse-names":false,"suffix":""},{"dropping-particle":"","family":"Rivara","given":"Frederick P","non-dropping-particle":"","parse-names":false,"suffix":""},{"dropping-particle":"","family":"Roberts","given":"Thomas","non-dropping-particle":"","parse-names":false,"suffix":""},{"dropping-particle":"","family":"Robinson","given":"Carolyn","non-dropping-particle":"","parse-names":false,"suffix":""},{"dropping-particle":"","family":"Rodriguez-Portales","given":"Jose A","non-dropping-particle":"","parse-names":false,"suffix":""},{"dropping-particle":"","family":"Romieu","given":"Isabelle","non-dropping-particle":"","parse-names":false,"suffix":""},{"dropping-particle":"","family":"Room","given":"Robin","non-dropping-particle":"","parse-names":false,"suffix":""},{"dropping-particle":"","family":"Rosenfeld","given":"Lisa C","non-dropping-particle":"","parse-names":false,"suffix":""},{"dropping-particle":"","family":"Roy","given":"Ananya","non-dropping-particle":"","parse-names":false,"suffix":""},{"dropping-particle":"","family":"Rushton","given":"Lesley","non-dropping-particle":"","parse-names":false,"suffix":""},{"dropping-particle":"","family":"Salomon","given":"Joshua A","non-dropping-particle":"","parse-names":false,"suffix":""},{"dropping-particle":"","family":"Sampson","given":"Uchechukwu","non-dropping-particle":"","parse-names":false,"suffix":""},{"dropping-particle":"","family":"Sanchez-Riera","given":"Lidia","non-dropping-particle":"","parse-names":false,"suffix":""},{"dropping-particle":"","family":"Sanman","given":"Ella","non-dropping-particle":"","parse-names":false,"suffix":""},{"dropping-particle":"","family":"Sapkota","given":"Amir","non-dropping-particle":"","parse-names":false,"suffix":""},{"dropping-particle":"","family":"Seedat","given":"Soraya","non-dropping-particle":"","parse-names":false,"suffix":""},{"dropping-particle":"","family":"Shi","given":"Peilin","non-dropping-particle":"","parse-names":false,"suffix":""},{"dropping-particle":"","family":"Shield","given":"Kevin","non-dropping-particle":"","parse-names":false,"suffix":""},{"dropping-particle":"","family":"Shivakoti","given":"Rupak","non-dropping-particle":"","parse-names":false,"suffix":""},{"dropping-particle":"","family":"Singh","given":"Gitanjali M","non-dropping-particle":"","parse-names":false,"suffix":""},{"dropping-particle":"","family":"Sleet","given":"David A","non-dropping-particle":"","parse-names":false,"suffix":""},{"dropping-particle":"","family":"Smith","given":"Emma","non-dropping-particle":"","parse-names":false,"suffix":""},{"dropping-particle":"","family":"Smith","given":"Kirk R","non-dropping-particle":"","parse-names":false,"suffix":""},{"dropping-particle":"","family":"Stapelberg","given":"Nicolas J C","non-dropping-particle":"","parse-names":false,"suffix":""},{"dropping-particle":"","family":"Steenland","given":"Kyle","non-dropping-particle":"","parse-names":false,"suffix":""},{"dropping-particle":"","family":"Stöckl","given":"Heidi","non-dropping-particle":"","parse-names":false,"suffix":""},{"dropping-particle":"","family":"Stovner","given":"Lars Jacob","non-dropping-particle":"","parse-names":false,"suffix":""},{"dropping-particle":"","family":"Straif","given":"Kurt","non-dropping-particle":"","parse-names":false,"suffix":""},{"dropping-particle":"","family":"Straney","given":"Lahn","non-dropping-particle":"","parse-names":false,"suffix":""},{"dropping-particle":"","family":"Thurston","given":"George D","non-dropping-particle":"","parse-names":false,"suffix":""},{"dropping-particle":"","family":"Tran","given":"Jimmy H","non-dropping-particle":"","parse-names":false,"suffix":""},{"dropping-particle":"","family":"Dingenen","given":"Rita","non-dropping-particle":"Van","parse-names":false,"suffix":""},{"dropping-particle":"","family":"Donkelaar","given":"Aaron","non-dropping-particle":"van","parse-names":false,"suffix":""},{"dropping-particle":"","family":"Veerman","given":"J Lennert","non-dropping-particle":"","parse-names":false,"suffix":""},{"dropping-particle":"","family":"Vijayakumar","given":"Lakshmi","non-dropping-particle":"","parse-names":false,"suffix":""},{"dropping-particle":"","family":"Weintraub","given":"Robert","non-dropping-particle":"","parse-names":false,"suffix":""},{"dropping-particle":"","family":"Weissman","given":"Myrna M","non-dropping-particle":"","parse-names":false,"suffix":""},{"dropping-particle":"","family":"White","given":"Richard A","non-dropping-particle":"","parse-names":false,"suffix":""},{"dropping-particle":"","family":"Whiteford","given":"Harvey","non-dropping-particle":"","parse-names":false,"suffix":""},{"dropping-particle":"","family":"Wiersma","given":"Steven T","non-dropping-particle":"","parse-names":false,"suffix":""},{"dropping-particle":"","family":"Wilkinson","given":"James D","non-dropping-particle":"","parse-names":false,"suffix":""},{"dropping-particle":"","family":"Williams","given":"Hywel C","non-dropping-particle":"","parse-names":false,"suffix":""},{"dropping-particle":"","family":"Williams","given":"Warwick","non-dropping-particle":"","parse-names":false,"suffix":""},{"dropping-particle":"","family":"Wilson","given":"Nicholas","non-dropping-particle":"","parse-names":false,"suffix":""},{"dropping-particle":"","family":"Woolf","given":"Anthony D","non-dropping-particle":"","parse-names":false,"suffix":""},{"dropping-particle":"","family":"Yip","given":"Paul","non-dropping-particle":"","parse-names":false,"suffix":""},{"dropping-particle":"","family":"Zielinski","given":"Jan M","non-dropping-particle":"","parse-names":false,"suffix":""},{"dropping-particle":"","family":"Lopez","given":"Alan D","non-dropping-particle":"","parse-names":false,"suffix":""},{"dropping-particle":"","family":"Murray","given":"Christopher J L","non-dropping-particle":"","parse-names":false,"suffix":""},{"dropping-particle":"","family":"Ezzati","given":"Majid","non-dropping-particle":"","parse-names":false,"suffix":""}],"container-title":"The Lancet","id":"ITEM-2","issue":"9859","issued":{"date-parts":[["2012","8","29"]]},"language":"en","page":"2224-2260","title":"A comparative risk assessment of burden of disease and injury attributable to 67 risk factors and risk factor clusters in 21 regions, 1990–2010: a systematic analysis for the Global Burden of Disease Study 2010","type":"article-journal","volume":"380"}},{"id":"XSX8F4tB/KTB87vAX","uris":["http://www.mendeley.com/documents/?uuid=a83b53a6-01d9-4f31-a0d7-c3cc7e732d95",["http://www.mendeley.com/documents/?uuid=a83b53a6-01d9-4f31-a0d7-c3cc7e732d95"]],"itemData":{"DOI":"10.1016/S0140-6736(15)00128-2","ISSN":"01406736","author":[{"dropping-particle":"","family":"Forouzanfar","given":"Mohammad H","non-dropping-particle":"","parse-names":false,"suffix":""},{"dropping-particle":"","family":"Alexander","given":"Lily","non-dropping-particle":"","parse-names":false,"suffix":""},{"dropping-particle":"","family":"Anderson","given":"H Ross","non-dropping-particle":"","parse-names":false,"suffix":""},{"dropping-particle":"","family":"Bachman","given":"Victoria F","non-dropping-particle":"","parse-names":false,"suffix":""},{"dropping-particle":"","family":"Biryukov","given":"Stan","non-dropping-particle":"","parse-names":false,"suffix":""},{"dropping-particle":"","family":"Brauer","given":"Michael","non-dropping-particle":"","parse-names":false,"suffix":""},{"dropping-particle":"","family":"Burnett","given":"Richard","non-dropping-particle":"","parse-names":false,"suffix":""},{"dropping-particle":"","family":"Casey","given":"Daniel","non-dropping-particle":"","parse-names":false,"suffix":""},{"dropping-particle":"","family":"Coates","given":"Matthew M","non-dropping-particle":"","parse-names":false,"suffix":""},{"dropping-particle":"","family":"Cohen","given":"Aaron","non-dropping-particle":"","parse-names":false,"suffix":""},{"dropping-particle":"","family":"Delwiche","given":"Kristen","non-dropping-particle":"","parse-names":false,"suffix":""},{"dropping-particle":"","family":"Estep","given":"Kara","non-dropping-particle":"","parse-names":false,"suffix":""},{"dropping-particle":"","family":"Frostad","given":"Joseph J","non-dropping-particle":"","parse-names":false,"suffix":""},{"dropping-particle":"","family":"Kc","given":"Astha","non-dropping-particle":"","parse-names":false,"suffix":""},{"dropping-particle":"","family":"Kyu","given":"Hmwe H","non-dropping-particle":"","parse-names":false,"suffix":""},{"dropping-particle":"","family":"Moradi-Lakeh","given":"Maziar","non-dropping-particle":"","parse-names":false,"suffix":""},{"dropping-particle":"","family":"Ng","given":"Marie","non-dropping-particle":"","parse-names":false,"suffix":""},{"dropping-particle":"","family":"Slepak","given":"Erica Leigh","non-dropping-particle":"","parse-names":false,"suffix":""},{"dropping-particle":"","family":"Thomas","given":"Bernadette A","non-dropping-particle":"","parse-names":false,"suffix":""},{"dropping-particle":"","family":"Wagner","given":"Joseph","non-dropping-particle":"","parse-names":false,"suffix":""},{"dropping-particle":"","family":"Aasvang","given":"Gunn Marit","non-dropping-particle":"","parse-names":false,"suffix":""},{"dropping-particle":"","family":"Abbafati","given":"Cristiana","non-dropping-particle":"","parse-names":false,"suffix":""},{"dropping-particle":"","family":"Ozgoren","given":"Ayse Abbasoglu","non-dropping-particle":"","parse-names":false,"suffix":""},{"dropping-particle":"","family":"Abd-Allah","given":"Foad","non-dropping-particle":"","parse-names":false,"suffix":""},{"dropping-particle":"","family":"Abera","given":"Semaw F","non-dropping-particle":"","parse-names":false,"suffix":""},{"dropping-particle":"","family":"Aboyans","given":"Victor","non-dropping-particle":"","parse-names":false,"suffix":""},{"dropping-particle":"","family":"Abraham","given":"Biju","non-dropping-particle":"","parse-names":false,"suffix":""},{"dropping-particle":"","family":"Abraham","given":"Jerry Puthenpurakal","non-dropping-particle":"","parse-names":false,"suffix":""},{"dropping-particle":"","family":"Abubakar","given":"Ibrahim","non-dropping-particle":"","parse-names":false,"suffix":""},{"dropping-particle":"","family":"Abu-Rmeileh","given":"Niveen M E","non-dropping-particle":"","parse-names":false,"suffix":""},{"dropping-particle":"","family":"Aburto","given":"Tania C","non-dropping-particle":"","parse-names":false,"suffix":""},{"dropping-particle":"","family":"Achoki","given":"Tom","non-dropping-particle":"","parse-names":false,"suffix":""},{"dropping-particle":"","family":"Adelekan","given":"Ademola","non-dropping-particle":"","parse-names":false,"suffix":""},{"dropping-particle":"","family":"Adofo","given":"Koranteng","non-dropping-particle":"","parse-names":false,"suffix":""},{"dropping-particle":"","family":"Adou","given":"Arsène K","non-dropping-particle":"","parse-names":false,"suffix":""},{"dropping-particle":"","family":"Adsuar","given":"José C","non-dropping-particle":"","parse-names":false,"suffix":""},{"dropping-particle":"","family":"Afshin","given":"Ashkan","non-dropping-particle":"","parse-names":false,"suffix":""},{"dropping-particle":"","family":"Agardh","given":"Emilie E","non-dropping-particle":"","parse-names":false,"suffix":""},{"dropping-particle":"","family":"Khabouri","given":"Mazin J","non-dropping-particle":"Al","parse-names":false,"suffix":""},{"dropping-particle":"","family":"Lami","given":"Faris H","non-dropping-particle":"Al","parse-names":false,"suffix":""},{"dropping-particle":"","family":"Alam","given":"Sayed Saidul","non-dropping-particle":"","parse-names":false,"suffix":""},{"dropping-particle":"","family":"Alasfoor","given":"Deena","non-dropping-particle":"","parse-names":false,"suffix":""},{"dropping-particle":"","family":"Albittar","given":"Mohammed I","non-dropping-particle":"","parse-names":false,"suffix":""},{"dropping-particle":"","family":"Alegretti","given":"Miguel A","non-dropping-particle":"","parse-names":false,"suffix":""},{"dropping-particle":"V","family":"Aleman","given":"Alicia","non-dropping-particle":"","parse-names":false,"suffix":""},{"dropping-particle":"","family":"Alemu","given":"Zewdie A","non-dropping-particle":"","parse-names":false,"suffix":""},{"dropping-particle":"","family":"Alfonso-Cristancho","given":"Rafael","non-dropping-particle":"","parse-names":false,"suffix":""},{"dropping-particle":"","family":"Alhabib","given":"Samia","non-dropping-particle":"","parse-names":false,"suffix":""},{"dropping-particle":"","family":"Ali","given":"Raghib","non-dropping-particle":"","parse-names":false,"suffix":""},{"dropping-particle":"","family":"Ali","given":"Mohammed K","non-dropping-particle":"","parse-names":false,"suffix":""},{"dropping-particle":"","family":"Alla","given":"François","non-dropping-particle":"","parse-names":false,"suffix":""},{"dropping-particle":"","family":"Allebeck","given":"Peter","non-dropping-particle":"","parse-names":false,"suffix":""},{"dropping-particle":"","family":"Allen","given":"Peter J","non-dropping-particle":"","parse-names":false,"suffix":""},{"dropping-particle":"","family":"Alsharif","given":"Ubai","non-dropping-particle":"","parse-names":false,"suffix":""},{"dropping-particle":"","family":"Alvarez","given":"Elena","non-dropping-particle":"","parse-names":false,"suffix":""},{"dropping-particle":"","family":"Alvis-Guzman","given":"Nelson","non-dropping-particle":"","parse-names":false,"suffix":""},{"dropping-particle":"","family":"Amankwaa","given":"Adansi A","non-dropping-particle":"","parse-names":false,"suffix":""},{"dropping-particle":"","family":"Amare","given":"Azmeraw T","non-dropping-particle":"","parse-names":false,"suffix":""},{"dropping-particle":"","family":"Ameh","given":"Emmanuel A","non-dropping-particle":"","parse-names":false,"suffix":""},{"dropping-particle":"","family":"Ameli","given":"Omid","non-dropping-particle":"","parse-names":false,"suffix":""},{"dropping-particle":"","family":"Amini","given":"Heresh","non-dropping-particle":"","parse-names":false,"suffix":""},{"dropping-particle":"","family":"Ammar","given":"Walid","non-dropping-particle":"","parse-names":false,"suffix":""},{"dropping-particle":"","family":"Anderson","given":"Benjamin O","non-dropping-particle":"","parse-names":false,"suffix":""},{"dropping-particle":"","family":"Antonio","given":"Carl Abelardo T","non-dropping-particle":"","parse-names":false,"suffix":""},{"dropping-particle":"","family":"Anwari","given":"Palwasha","non-dropping-particle":"","parse-names":false,"suffix":""},{"dropping-particle":"","family":"Cunningham","given":"Solveig Argeseanu","non-dropping-particle":"","parse-names":false,"suffix":""},{"dropping-particle":"","family":"Arnlöv","given":"Johan","non-dropping-particle":"","parse-names":false,"suffix":""},{"dropping-particle":"","family":"Arsenijevic","given":"Valentina S Arsic","non-dropping-particle":"","parse-names":false,"suffix":""},{"dropping-particle":"","family":"Artaman","given":"Al","non-dropping-particle":"","parse-names":false,"suffix":""},{"dropping-particle":"","family":"Asghar","given":"Rana J","non-dropping-particle":"","parse-names":false,"suffix":""},{"dropping-particle":"","family":"Assadi","given":"Reza","non-dropping-particle":"","parse-names":false,"suffix":""},{"dropping-particle":"","family":"Atkins","given":"Lydia S","non-dropping-particle":"","parse-names":false,"suffix":""},{"dropping-particle":"","family":"Atkinson","given":"Charles","non-dropping-particle":"","parse-names":false,"suffix":""},{"dropping-particle":"","family":"Avila","given":"Marco A","non-dropping-particle":"","parse-names":false,"suffix":""},{"dropping-particle":"","family":"Awuah","given":"Baffour","non-dropping-particle":"","parse-names":false,"suffix":""},{"dropping-particle":"","family":"Badawi","given":"Alaa","non-dropping-particle":"","parse-names":false,"suffix":""},{"dropping-particle":"","family":"Bahit","given":"Maria C","non-dropping-particle":"","parse-names":false,"suffix":""},{"dropping-particle":"","family":"Bakfalouni","given":"Talal","non-dropping-particle":"","parse-names":false,"suffix":""},{"dropping-particle":"","family":"Balakrishnan","given":"Kalpana","non-dropping-particle":"","parse-names":false,"suffix":""},{"dropping-particle":"","family":"Balalla","given":"Shivanthi","non-dropping-particle":"","parse-names":false,"suffix":""},{"dropping-particle":"","family":"Balu","given":"Ravi Kumar","non-dropping-particle":"","parse-names":false,"suffix":""},{"dropping-particle":"","family":"Banerjee","given":"Amitava","non-dropping-particle":"","parse-names":false,"suffix":""},{"dropping-particle":"","family":"Barber","given":"Ryan M","non-dropping-particle":"","parse-names":false,"suffix":""},{"dropping-particle":"","family":"Barker-Collo","given":"Suzanne L","non-dropping-particle":"","parse-names":false,"suffix":""},{"dropping-particle":"","family":"Barquera","given":"Simon","non-dropping-particle":"","parse-names":false,"suffix":""},{"dropping-particle":"","family":"Barregard","given":"Lars","non-dropping-particle":"","parse-names":false,"suffix":""},{"dropping-particle":"","family":"Barrero","given":"Lope H","non-dropping-particle":"","parse-names":false,"suffix":""},{"dropping-particle":"","family":"Barrientos-Gutierrez","given":"Tonatiuh","non-dropping-particle":"","parse-names":false,"suffix":""},{"dropping-particle":"","family":"Basto-Abreu","given":"Ana C","non-dropping-particle":"","parse-names":false,"suffix":""},{"dropping-particle":"","family":"Basu","given":"Arindam","non-dropping-particle":"","parse-names":false,"suffix":""},{"dropping-particle":"","family":"Basu","given":"Sanjay","non-dropping-particle":"","parse-names":false,"suffix":""},{"dropping-particle":"","family":"Basulaiman","given":"Mohammed O","non-dropping-particle":"","parse-names":false,"suffix":""},{"dropping-particle":"","family":"Ruvalcaba","given":"Carolina Batis","non-dropping-particle":"","parse-names":false,"suffix":""},{"dropping-particle":"","family":"Beardsley","given":"Justin","non-dropping-particle":"","parse-names":false,"suffix":""},{"dropping-particle":"","family":"Bedi","given":"Neeraj","non-dropping-particle":"","parse-names":false,"suffix":""},{"dropping-particle":"","family":"Bekele","given":"Tolesa","non-dropping-particle":"","parse-names":false,"suffix":""},{"dropping-particle":"","family":"Bell","given":"Michelle L","non-dropping-particle":"","parse-names":false,"suffix":""},{"dropping-particle":"","family":"Benjet","given":"Corina","non-dropping-particle":"","parse-names":false,"suffix":""},{"dropping-particle":"","family":"Bennett","given":"Derrick A","non-dropping-particle":"","parse-names":false,"suffix":""},{"dropping-particle":"","family":"Benzian","given":"Habib","non-dropping-particle":"","parse-names":false,"suffix":""},{"dropping-particle":"","family":"Bernabé","given":"Eduardo","non-dropping-particle":"","parse-names":false,"suffix":""},{"dropping-particle":"","family":"Beyene","given":"Tariku J","non-dropping-particle":"","parse-names":false,"suffix":""},{"dropping-particle":"","family":"Bhala","given":"Neeraj","non-dropping-particle":"","parse-names":false,"suffix":""},{"dropping-particle":"","family":"Bhalla","given":"Ashish","non-dropping-particle":"","parse-names":false,"suffix":""},{"dropping-particle":"","family":"Bhutta","given":"Zulfiqar A","non-dropping-particle":"","parse-names":false,"suffix":""},{"dropping-particle":"","family":"Bikbov","given":"Boris","non-dropping-particle":"","parse-names":false,"suffix":""},{"dropping-particle":"Bin","family":"Abdulhak","given":"Aref A","non-dropping-particle":"","parse-names":false,"suffix":""},{"dropping-particle":"","family":"Blore","given":"Jed D","non-dropping-particle":"","parse-names":false,"suffix":""},{"dropping-particle":"","family":"Blyth","given":"Fiona M","non-dropping-particle":"","parse-names":false,"suffix":""},{"dropping-particle":"","family":"Bohensky","given":"Megan A","non-dropping-particle":"","parse-names":false,"suffix":""},{"dropping-particle":"","family":"Başara","given":"Berrak Bora","non-dropping-particle":"","parse-names":false,"suffix":""},{"dropping-particle":"","family":"Borges","given":"Guilherme","non-dropping-particle":"","parse-names":false,"suffix":""},{"dropping-particle":"","family":"Bornstein","given":"Natan M","non-dropping-particle":"","parse-names":false,"suffix":""},{"dropping-particle":"","family":"Bose","given":"Dipan","non-dropping-particle":"","parse-names":false,"suffix":""},{"dropping-particle":"","family":"Boufous","given":"Soufiane","non-dropping-particle":"","parse-names":false,"suffix":""},{"dropping-particle":"","family":"Bourne","given":"Rupert R","non-dropping-particle":"","parse-names":false,"suffix":""},{"dropping-particle":"","family":"Brainin","given":"Michael","non-dropping-particle":"","parse-names":false,"suffix":""},{"dropping-particle":"","family":"Brazinova","given":"Alexandra","non-dropping-particle":"","parse-names":false,"suffix":""},{"dropping-particle":"","family":"Breitborde","given":"Nicholas J","non-dropping-particle":"","parse-names":false,"suffix":""},{"dropping-particle":"","family":"Brenner","given":"Hermann","non-dropping-particle":"","parse-names":false,"suffix":""},{"dropping-particle":"","family":"Briggs","given":"Adam D M","non-dropping-particle":"","parse-names":false,"suffix":""},{"dropping-particle":"","family":"Broday","given":"David M","non-dropping-particle":"","parse-names":false,"suffix":""},{"dropping-particle":"","family":"Brooks","given":"Peter M","non-dropping-particle":"","parse-names":false,"suffix":""},{"dropping-particle":"","family":"Bruce","given":"Nigel G","non-dropping-particle":"","parse-names":false,"suffix":""},{"dropping-particle":"","family":"Brugha","given":"Traolach S","non-dropping-particle":"","parse-names":false,"suffix":""},{"dropping-particle":"","family":"Brunekreef","given":"Bert","non-dropping-particle":"","parse-names":false,"suffix":""},{"dropping-particle":"","family":"Buchbinder","given":"Rachelle","non-dropping-particle":"","parse-names":false,"suffix":""},{"dropping-particle":"","family":"Bui","given":"Linh N","non-dropping-particle":"","parse-names":false,"suffix":""},{"dropping-particle":"","family":"Bukhman","given":"Gene","non-dropping-particle":"","parse-names":false,"suffix":""},{"dropping-particle":"","family":"Bulloch","given":"Andrew G","non-dropping-particle":"","parse-names":false,"suffix":""},{"dropping-particle":"","family":"Burch","given":"Michael","non-dropping-particle":"","parse-names":false,"suffix":""},{"dropping-particle":"","family":"Burney","given":"Peter G J","non-dropping-particle":"","parse-names":false,"suffix":""},{"dropping-particle":"","family":"Campos-Nonato","given":"Ismael R","non-dropping-particle":"","parse-names":false,"suffix":""},{"dropping-particle":"","family":"Campuzano","given":"Julio C","non-dropping-particle":"","parse-names":false,"suffix":""},{"dropping-particle":"","family":"Cantoral","given":"Alejandra J","non-dropping-particle":"","parse-names":false,"suffix":""},{"dropping-particle":"","family":"Caravanos","given":"Jack","non-dropping-particle":"","parse-names":false,"suffix":""},{"dropping-particle":"","family":"Cárdenas","given":"Rosario","non-dropping-particle":"","parse-names":false,"suffix":""},{"dropping-particle":"","family":"Cardis","given":"Elisabeth","non-dropping-particle":"","parse-names":false,"suffix":""},{"dropping-particle":"","family":"Carpenter","given":"David O","non-dropping-particle":"","parse-names":false,"suffix":""},{"dropping-particle":"","family":"Caso","given":"Valeria","non-dropping-particle":"","parse-names":false,"suffix":""},{"dropping-particle":"","family":"Castañeda-Orjuela","given":"Carlos A","non-dropping-particle":"","parse-names":false,"suffix":""},{"dropping-particle":"","family":"Castro","given":"Ruben E","non-dropping-particle":"","parse-names":false,"suffix":""},{"dropping-particle":"","family":"Catalá-López","given":"Ferrán","non-dropping-particle":"","parse-names":false,"suffix":""},{"dropping-particle":"","family":"Cavalleri","given":"Fiorella","non-dropping-particle":"","parse-names":false,"suffix":""},{"dropping-particle":"","family":"Çavlin","given":"Alanur","non-dropping-particle":"","parse-names":false,"suffix":""},{"dropping-particle":"","family":"Chadha","given":"Vineet K","non-dropping-particle":"","parse-names":false,"suffix":""},{"dropping-particle":"","family":"Chang","given":"Jung-chen","non-dropping-particle":"","parse-names":false,"suffix":""},{"dropping-particle":"","family":"Charlson","given":"Fiona J","non-dropping-particle":"","parse-names":false,"suffix":""},{"dropping-particle":"","family":"Chen","given":"Honglei","non-dropping-particle":"","parse-names":false,"suffix":""},{"dropping-particle":"","family":"Chen","given":"Wanqing","non-dropping-particle":"","parse-names":false,"suffix":""},{"dropping-particle":"","family":"Chen","given":"Zhengming","non-dropping-particle":"","parse-names":false,"suffix":""},{"dropping-particle":"","family":"Chiang","given":"Peggy P","non-dropping-particle":"","parse-names":false,"suffix":""},{"dropping-particle":"","family":"Chimed-Ochir","given":"Odgerel","non-dropping-particle":"","parse-names":false,"suffix":""},{"dropping-particle":"","family":"Chowdhury","given":"Rajiv","non-dropping-particle":"","parse-names":false,"suffix":""},{"dropping-particle":"","family":"Christophi","given":"Costas A","non-dropping-particle":"","parse-names":false,"suffix":""},{"dropping-particle":"","family":"Chuang","given":"Ting-Wu","non-dropping-particle":"","parse-names":false,"suffix":""},{"dropping-particle":"","family":"Chugh","given":"Sumeet S","non-dropping-particle":"","parse-names":false,"suffix":""},{"dropping-particle":"","family":"Cirillo","given":"Massimo","non-dropping-particle":"","parse-names":false,"suffix":""},{"dropping-particle":"","family":"Claßen","given":"Thomas K D","non-dropping-particle":"","parse-names":false,"suffix":""},{"dropping-particle":"","family":"Colistro","given":"Valentina","non-dropping-particle":"","parse-names":false,"suffix":""},{"dropping-particle":"","family":"Colomar","given":"Mercedes","non-dropping-particle":"","parse-names":false,"suffix":""},{"dropping-particle":"","family":"Colquhoun","given":"Samantha M","non-dropping-particle":"","parse-names":false,"suffix":""},{"dropping-particle":"","family":"Contreras","given":"Alejandra G","non-dropping-particle":"","parse-names":false,"suffix":""},{"dropping-particle":"","family":"Cooper","given":"Cyrus","non-dropping-particle":"","parse-names":false,"suffix":""},{"dropping-particle":"","family":"Cooperrider","given":"Kimberly","non-dropping-particle":"","parse-names":false,"suffix":""},{"dropping-particle":"","family":"Cooper","given":"Leslie T","non-dropping-particle":"","parse-names":false,"suffix":""},{"dropping-particle":"","family":"Coresh","given":"Josef","non-dropping-particle":"","parse-names":false,"suffix":""},{"dropping-particle":"","family":"Courville","given":"Karen J","non-dropping-particle":"","parse-names":false,"suffix":""},{"dropping-particle":"","family":"Criqui","given":"Michael H","non-dropping-particle":"","parse-names":false,"suffix":""},{"dropping-particle":"","family":"Cuevas-Nasu","given":"Lucia","non-dropping-particle":"","parse-names":false,"suffix":""},{"dropping-particle":"","family":"Damsere-Derry","given":"James","non-dropping-particle":"","parse-names":false,"suffix":""},{"dropping-particle":"","family":"Danawi","given":"Hadi","non-dropping-particle":"","parse-names":false,"suffix":""},{"dropping-particle":"","family":"Dandona","given":"Lalit","non-dropping-particle":"","parse-names":false,"suffix":""},{"dropping-particle":"","family":"Dandona","given":"Rakhi","non-dropping-particle":"","parse-names":false,"suffix":""},{"dropping-particle":"","family":"Dargan","given":"Paul I","non-dropping-particle":"","parse-names":false,"suffix":""},{"dropping-particle":"","family":"Davis","given":"Adrian","non-dropping-particle":"","parse-names":false,"suffix":""},{"dropping-particle":"V","family":"Davitoiu","given":"Dragos","non-dropping-particle":"","parse-names":false,"suffix":""},{"dropping-particle":"","family":"Dayama","given":"Anand","non-dropping-particle":"","parse-names":false,"suffix":""},{"dropping-particle":"","family":"Castro","given":"E Filipa","non-dropping-particle":"de","parse-names":false,"suffix":""},{"dropping-particle":"","family":"la Cruz-Góngora","given":"Vanessa","non-dropping-particle":"De","parse-names":false,"suffix":""},{"dropping-particle":"","family":"Leo","given":"Diego","non-dropping-particle":"De","parse-names":false,"suffix":""},{"dropping-particle":"","family":"Lima","given":"Graça","non-dropping-particle":"de","parse-names":false,"suffix":""},{"dropping-particle":"","family":"Degenhardt","given":"Louisa","non-dropping-particle":"","parse-names":false,"suffix":""},{"dropping-particle":"","family":"Pozo-Cruz","given":"Borja","non-dropping-particle":"del","parse-names":false,"suffix":""},{"dropping-particle":"","family":"Dellavalle","given":"Robert P","non-dropping-particle":"","parse-names":false,"suffix":""},{"dropping-particle":"","family":"Deribe","given":"Kebede","non-dropping-particle":"","parse-names":false,"suffix":""},{"dropping-particle":"","family":"Derrett","given":"Sarah","non-dropping-particle":"","parse-names":false,"suffix":""},{"dropping-particle":"Des","family":"Jarlais","given":"Don C","non-dropping-particle":"","parse-names":false,"suffix":""},{"dropping-particle":"","family":"Dessalegn","given":"Muluken","non-dropping-particle":"","parse-names":false,"suffix":""},{"dropping-particle":"","family":"deVeber","given":"Gabrielle A","non-dropping-particle":"","parse-names":false,"suffix":""},{"dropping-particle":"","family":"Devries","given":"Karen M","non-dropping-particle":"","parse-names":false,"suffix":""},{"dropping-particle":"","family":"Dharmaratne","given":"Samath D","non-dropping-particle":"","parse-names":false,"suffix":""},{"dropping-particle":"","family":"Dherani","given":"Mukesh K","non-dropping-particle":"","parse-names":false,"suffix":""},{"dropping-particle":"","family":"Dicker","given":"Daniel","non-dropping-particle":"","parse-names":false,"suffix":""},{"dropping-particle":"","family":"Ding","given":"Eric L","non-dropping-particle":"","parse-names":false,"suffix":""},{"dropping-particle":"","family":"Dokova","given":"Klara","non-dropping-particle":"","parse-names":false,"suffix":""},{"dropping-particle":"","family":"Dorsey","given":"E Ray","non-dropping-particle":"","parse-names":false,"suffix":""},{"dropping-particle":"","family":"Driscoll","given":"Tim R","non-dropping-particle":"","parse-names":false,"suffix":""},{"dropping-particle":"","family":"Duan","given":"Leilei","non-dropping-particle":"","parse-names":false,"suffix":""},{"dropping-particle":"","family":"Durrani","given":"Adnan M","non-dropping-particle":"","parse-names":false,"suffix":""},{"dropping-particle":"","family":"Ebel","given":"Beth E","non-dropping-particle":"","parse-names":false,"suffix":""},{"dropping-particle":"","family":"Ellenbogen","given":"Richard G","non-dropping-particle":"","parse-names":false,"suffix":""},{"dropping-particle":"","family":"Elshrek","given":"Yousef M","non-dropping-particle":"","parse-names":false,"suffix":""},{"dropping-particle":"","family":"Endres","given":"Matthias","non-dropping-particle":"","parse-names":false,"suffix":""},{"dropping-particle":"","family":"Ermakov","given":"Sergey P","non-dropping-particle":"","parse-names":false,"suffix":""},{"dropping-particle":"","family":"Erskine","given":"Holly E","non-dropping-particle":"","parse-names":false,"suffix":""},{"dropping-particle":"","family":"Eshrati","given":"Babak","non-dropping-particle":"","parse-names":false,"suffix":""},{"dropping-particle":"","family":"Esteghamati","given":"Alireza","non-dropping-particle":"","parse-names":false,"suffix":""},{"dropping-particle":"","family":"Fahimi","given":"Saman","non-dropping-particle":"","parse-names":false,"suffix":""},{"dropping-particle":"","family":"Faraon","given":"Emerito Jose A","non-dropping-particle":"","parse-names":false,"suffix":""},{"dropping-particle":"","family":"Farzadfar","given":"Farshad","non-dropping-particle":"","parse-names":false,"suffix":""},{"dropping-particle":"","family":"Fay","given":"Derek F J","non-dropping-particle":"","parse-names":false,"suffix":""},{"dropping-particle":"","family":"Feigin","given":"Valery L","non-dropping-particle":"","parse-names":false,"suffix":""},{"dropping-particle":"","family":"Feigl","given":"Andrea B","non-dropping-particle":"","parse-names":false,"suffix":""},{"dropping-particle":"","family":"Fereshtehnejad","given":"Seyed-Mohammad","non-dropping-particle":"","parse-names":false,"suffix":""},{"dropping-particle":"","family":"Ferrari","given":"Alize J","non-dropping-particle":"","parse-names":false,"suffix":""},{"dropping-particle":"","family":"Ferri","given":"Cleusa P","non-dropping-particle":"","parse-names":false,"suffix":""},{"dropping-particle":"","family":"Flaxman","given":"Abraham D","non-dropping-particle":"","parse-names":false,"suffix":""},{"dropping-particle":"","family":"Fleming","given":"Thomas D","non-dropping-particle":"","parse-names":false,"suffix":""},{"dropping-particle":"","family":"Foigt","given":"Nataliya","non-dropping-particle":"","parse-names":false,"suffix":""},{"dropping-particle":"","family":"Foreman","given":"Kyle J","non-dropping-particle":"","parse-names":false,"suffix":""},{"dropping-particle":"","family":"Paleo","given":"Urbano Fra","non-dropping-particle":"","parse-names":false,"suffix":""},{"dropping-particle":"","family":"Franklin","given":"Richard C","non-dropping-particle":"","parse-names":false,"suffix":""},{"dropping-particle":"","family":"Gabbe","given":"Belinda","non-dropping-particle":"","parse-names":false,"suffix":""},{"dropping-particle":"","family":"Gaffikin","given":"Lynne","non-dropping-particle":"","parse-names":false,"suffix":""},{"dropping-particle":"","family":"Gakidou","given":"Emmanuela","non-dropping-particle":"","parse-names":false,"suffix":""},{"dropping-particle":"","family":"Gamkrelidze","given":"Amiran","non-dropping-particle":"","parse-names":false,"suffix":""},{"dropping-particle":"","family":"Gankpé","given":"Fortuné G","non-dropping-particle":"","parse-names":false,"suffix":""},{"dropping-particle":"","family":"Gansevoort","given":"Ron T","non-dropping-particle":"","parse-names":false,"suffix":""},{"dropping-particle":"","family":"García-Guerra","given":"Francisco A","non-dropping-particle":"","parse-names":false,"suffix":""},{"dropping-particle":"","family":"Gasana","given":"Evariste","non-dropping-particle":"","parse-names":false,"suffix":""},{"dropping-particle":"","family":"Geleijnse","given":"Johanna M","non-dropping-particle":"","parse-names":false,"suffix":""},{"dropping-particle":"","family":"Gessner","given":"Bradford D","non-dropping-particle":"","parse-names":false,"suffix":""},{"dropping-particle":"","family":"Gething","given":"Pete","non-dropping-particle":"","parse-names":false,"suffix":""},{"dropping-particle":"","family":"Gibney","given":"Katherine B","non-dropping-particle":"","parse-names":false,"suffix":""},{"dropping-particle":"","family":"Gillum","given":"Richard F","non-dropping-particle":"","parse-names":false,"suffix":""},{"dropping-particle":"","family":"Ginawi","given":"Ibrahim A M","non-dropping-particle":"","parse-names":false,"suffix":""},{"dropping-particle":"","family":"Giroud","given":"Maurice","non-dropping-particle":"","parse-names":false,"suffix":""},{"dropping-particle":"","family":"Giussani","given":"Giorgia","non-dropping-particle":"","parse-names":false,"suffix":""},{"dropping-particle":"","family":"Goenka","given":"Shifalika","non-dropping-particle":"","parse-names":false,"suffix":""},{"dropping-particle":"","family":"Goginashvili","given":"Ketevan","non-dropping-particle":"","parse-names":false,"suffix":""},{"dropping-particle":"","family":"Dantes","given":"Hector Gomez","non-dropping-particle":"","parse-names":false,"suffix":""},{"dropping-particle":"","family":"Gona","given":"Philimon","non-dropping-particle":"","parse-names":false,"suffix":""},{"dropping-particle":"","family":"Cosio","given":"Teresita Gonzalez","non-dropping-particle":"de","parse-names":false,"suffix":""},{"dropping-particle":"","family":"González-Castell","given":"Dinorah","non-dropping-particle":"","parse-names":false,"suffix":""},{"dropping-particle":"","family":"Gotay","given":"Carolyn C","non-dropping-particle":"","parse-names":false,"suffix":""},{"dropping-particle":"","family":"Goto","given":"Atsushi","non-dropping-particle":"","parse-names":false,"suffix":""},{"dropping-particle":"","family":"Gouda","given":"Hebe N","non-dropping-particle":"","parse-names":false,"suffix":""},{"dropping-particle":"","family":"Guerrant","given":"Richard L","non-dropping-particle":"","parse-names":false,"suffix":""},{"dropping-particle":"","family":"Gugnani","given":"Harish C","non-dropping-particle":"","parse-names":false,"suffix":""},{"dropping-particle":"","family":"Guillemin","given":"Francis","non-dropping-particle":"","parse-names":false,"suffix":""},{"dropping-particle":"","family":"Gunnell","given":"David","non-dropping-particle":"","parse-names":false,"suffix":""},{"dropping-particle":"","family":"Gupta","given":"Rahul","non-dropping-particle":"","parse-names":false,"suffix":""},{"dropping-particle":"","family":"Gupta","given":"Rajeev","non-dropping-particle":"","parse-names":false,"suffix":""},{"dropping-particle":"","family":"Gutiérrez","given":"Reyna A","non-dropping-particle":"","parse-names":false,"suffix":""},{"dropping-particle":"","family":"Hafezi-Nejad","given":"Nima","non-dropping-particle":"","parse-names":false,"suffix":""},{"dropping-particle":"","family":"Hagan","given":"Holly","non-dropping-particle":"","parse-names":false,"suffix":""},{"dropping-particle":"","family":"Hagstromer","given":"Maria","non-dropping-particle":"","parse-names":false,"suffix":""},{"dropping-particle":"","family":"Halasa","given":"Yara A","non-dropping-particle":"","parse-names":false,"suffix":""},{"dropping-particle":"","family":"Hamadeh","given":"Randah R","non-dropping-particle":"","parse-names":false,"suffix":""},{"dropping-particle":"","family":"Hammami","given":"Mouhanad","non-dropping-particle":"","parse-names":false,"suffix":""},{"dropping-particle":"","family":"Hankey","given":"Graeme J","non-dropping-particle":"","parse-names":false,"suffix":""},{"dropping-particle":"","family":"Hao","given":"Yuantao","non-dropping-particle":"","parse-names":false,"suffix":""},{"dropping-particle":"","family":"Harb","given":"Hilda L","non-dropping-particle":"","parse-names":false,"suffix":""},{"dropping-particle":"","family":"Haregu","given":"Tilahun Nigatu","non-dropping-particle":"","parse-names":false,"suffix":""},{"dropping-particle":"","family":"Haro","given":"Josep Maria","non-dropping-particle":"","parse-names":false,"suffix":""},{"dropping-particle":"","family":"Havmoeller","given":"Rasmus","non-dropping-particle":"","parse-names":false,"suffix":""},{"dropping-particle":"","family":"Hay","given":"Simon I","non-dropping-particle":"","parse-names":false,"suffix":""},{"dropping-particle":"","family":"Hedayati","given":"Mohammad T","non-dropping-particle":"","parse-names":false,"suffix":""},{"dropping-particle":"","family":"Heredia-Pi","given":"Ileana B","non-dropping-particle":"","parse-names":false,"suffix":""},{"dropping-particle":"","family":"Hernandez","given":"Lucia","non-dropping-particle":"","parse-names":false,"suffix":""},{"dropping-particle":"","family":"Heuton","given":"Kyle R","non-dropping-particle":"","parse-names":false,"suffix":""},{"dropping-particle":"","family":"Heydarpour","given":"Pouria","non-dropping-particle":"","parse-names":false,"suffix":""},{"dropping-particle":"","family":"Hijar","given":"Martha","non-dropping-particle":"","parse-names":false,"suffix":""},{"dropping-particle":"","family":"Hoek","given":"Hans W","non-dropping-particle":"","parse-names":false,"suffix":""},{"dropping-particle":"","family":"Hoffman","given":"Howard J","non-dropping-particle":"","parse-names":false,"suffix":""},{"dropping-particle":"","family":"Hornberger","given":"John C","non-dropping-particle":"","parse-names":false,"suffix":""},{"dropping-particle":"","family":"Hosgood","given":"H Dean","non-dropping-particle":"","parse-names":false,"suffix":""},{"dropping-particle":"","family":"Hoy","given":"Damian G","non-dropping-particle":"","parse-names":false,"suffix":""},{"dropping-particle":"","family":"Hsairi","given":"Mohamed","non-dropping-particle":"","parse-names":false,"suffix":""},{"dropping-particle":"","family":"Hu","given":"Guoqing","non-dropping-particle":"","parse-names":false,"suffix":""},{"dropping-particle":"","family":"Hu","given":"Howard","non-dropping-particle":"","parse-names":false,"suffix":""},{"dropping-particle":"","family":"Huang","given":"Cheng","non-dropping-particle":"","parse-names":false,"suffix":""},{"dropping-particle":"","family":"Huang","given":"John J","non-dropping-particle":"","parse-names":false,"suffix":""},{"dropping-particle":"","family":"Hubbell","given":"Bryan J","non-dropping-particle":"","parse-names":false,"suffix":""},{"dropping-particle":"","family":"Huiart","given":"Laetitia","non-dropping-particle":"","parse-names":false,"suffix":""},{"dropping-particle":"","family":"Husseini","given":"Abdullatif","non-dropping-particle":"","parse-names":false,"suffix":""},{"dropping-particle":"","family":"Iannarone","given":"Marissa L","non-dropping-particle":"","parse-names":false,"suffix":""},{"dropping-particle":"","family":"Iburg","given":"Kim M","non-dropping-particle":"","parse-names":false,"suffix":""},{"dropping-particle":"","family":"Idrisov","given":"Bulat T","non-dropping-particle":"","parse-names":false,"suffix":""},{"dropping-particle":"","family":"Ikeda","given":"Nayu","non-dropping-particle":"","parse-names":false,"suffix":""},{"dropping-particle":"","family":"Innos","given":"Kaire","non-dropping-particle":"","parse-names":false,"suffix":""},{"dropping-particle":"","family":"Inoue","given":"Manami","non-dropping-particle":"","parse-names":false,"suffix":""},{"dropping-particle":"","family":"Islami","given":"Farhad","non-dropping-particle":"","parse-names":false,"suffix":""},{"dropping-particle":"","family":"Ismayilova","given":"Samaya","non-dropping-particle":"","parse-names":false,"suffix":""},{"dropping-particle":"","family":"Jacobsen","given":"Kathryn H","non-dropping-particle":"","parse-names":false,"suffix":""},{"dropping-particle":"","family":"Jansen","given":"Henrica A","non-dropping-particle":"","parse-names":false,"suffix":""},{"dropping-particle":"","family":"Jarvis","given":"Deborah L","non-dropping-particle":"","parse-names":false,"suffix":""},{"dropping-particle":"","family":"Jassal","given":"Simerjot K","non-dropping-particle":"","parse-names":false,"suffix":""},{"dropping-particle":"","family":"Jauregui","given":"Alejandra","non-dropping-particle":"","parse-names":false,"suffix":""},{"dropping-particle":"","family":"Jayaraman","given":"Sudha","non-dropping-particle":"","parse-names":false,"suffix":""},{"dropping-particle":"","family":"Jeemon","given":"Panniyammakal","non-dropping-particle":"","parse-names":false,"suffix":""},{"dropping-particle":"","family":"Jensen","given":"Paul N","non-dropping-particle":"","parse-names":false,"suffix":""},{"dropping-particle":"","family":"Jha","given":"Vivekanand","non-dropping-particle":"","parse-names":false,"suffix":""},{"dropping-particle":"","family":"Jiang","given":"Fan","non-dropping-particle":"","parse-names":false,"suffix":""},{"dropping-particle":"","family":"Jiang","given":"Guohong","non-dropping-particle":"","parse-names":false,"suffix":""},{"dropping-particle":"","family":"Jiang","given":"Ying","non-dropping-particle":"","parse-names":false,"suffix":""},{"dropping-particle":"","family":"Jonas","given":"Jost B","non-dropping-particle":"","parse-names":false,"suffix":""},{"dropping-particle":"","family":"Juel","given":"Knud","non-dropping-particle":"","parse-names":false,"suffix":""},{"dropping-particle":"","family":"Kan","given":"Haidong","non-dropping-particle":"","parse-names":false,"suffix":""},{"dropping-particle":"","family":"Roseline","given":"Sidibe S Kany","non-dropping-particle":"","parse-names":false,"suffix":""},{"dropping-particle":"","family":"Karam","given":"Nadim E","non-dropping-particle":"","parse-names":false,"suffix":""},{"dropping-particle":"","family":"Karch","given":"André","non-dropping-particle":"","parse-names":false,"suffix":""},{"dropping-particle":"","family":"Karema","given":"Corine K","non-dropping-particle":"","parse-names":false,"suffix":""},{"dropping-particle":"","family":"Karthikeyan","given":"Ganesan","non-dropping-particle":"","parse-names":false,"suffix":""},{"dropping-particle":"","family":"Kaul","given":"Anil","non-dropping-particle":"","parse-names":false,"suffix":""},{"dropping-particle":"","family":"Kawakami","given":"Norito","non-dropping-particle":"","parse-names":false,"suffix":""},{"dropping-particle":"","family":"Kazi","given":"Dhruv S","non-dropping-particle":"","parse-names":false,"suffix":""},{"dropping-particle":"","family":"Kemp","given":"Andrew H","non-dropping-particle":"","parse-names":false,"suffix":""},{"dropping-particle":"","family":"Kengne","given":"Andre P","non-dropping-particle":"","parse-names":false,"suffix":""},{"dropping-particle":"","family":"Keren","given":"Andre","non-dropping-particle":"","parse-names":false,"suffix":""},{"dropping-particle":"","family":"Khader","given":"Yousef S","non-dropping-particle":"","parse-names":false,"suffix":""},{"dropping-particle":"","family":"Khalifa","given":"Shams Eldin Ali Hassan","non-dropping-particle":"","parse-names":false,"suffix":""},{"dropping-particle":"","family":"Khan","given":"Ejaz A","non-dropping-particle":"","parse-names":false,"suffix":""},{"dropping-particle":"","family":"Khang","given":"Young-Ho","non-dropping-particle":"","parse-names":false,"suffix":""},{"dropping-particle":"","family":"Khatibzadeh","given":"Shahab","non-dropping-particle":"","parse-names":false,"suffix":""},{"dropping-particle":"","family":"Khonelidze","given":"Irma","non-dropping-particle":"","parse-names":false,"suffix":""},{"dropping-particle":"","family":"Kieling","given":"Christian","non-dropping-particle":"","parse-names":false,"suffix":""},{"dropping-particle":"","family":"Kim","given":"Daniel","non-dropping-particle":"","parse-names":false,"suffix":""},{"dropping-particle":"","family":"Kim","given":"Sungroul","non-dropping-particle":"","parse-names":false,"suffix":""},{"dropping-particle":"","family":"Kim","given":"Yunjin","non-dropping-particle":"","parse-names":false,"suffix":""},{"dropping-particle":"","family":"Kimokoti","given":"Ruth W","non-dropping-particle":"","parse-names":false,"suffix":""},{"dropping-particle":"","family":"Kinfu","given":"Yohannes","non-dropping-particle":"","parse-names":false,"suffix":""},{"dropping-particle":"","family":"Kinge","given":"Jonas M","non-dropping-particle":"","parse-names":false,"suffix":""},{"dropping-particle":"","family":"Kissela","given":"Brett M","non-dropping-particle":"","parse-names":false,"suffix":""},{"dropping-particle":"","family":"Kivipelto","given":"Miia","non-dropping-particle":"","parse-names":false,"suffix":""},{"dropping-particle":"","family":"Knibbs","given":"Luke D","non-dropping-particle":"","parse-names":false,"suffix":""},{"dropping-particle":"","family":"Knudsen","given":"Ann Kristin","non-dropping-particle":"","parse-names":false,"suffix":""},{"dropping-particle":"","family":"Kokubo","given":"Yoshihiro","non-dropping-particle":"","parse-names":false,"suffix":""},{"dropping-particle":"","family":"Kose","given":"M Rifat","non-dropping-particle":"","parse-names":false,"suffix":""},{"dropping-particle":"","family":"Kosen","given":"Soewarta","non-dropping-particle":"","parse-names":false,"suffix":""},{"dropping-particle":"","family":"Kraemer","given":"Alexander","non-dropping-particle":"","parse-names":false,"suffix":""},{"dropping-particle":"","family":"Kravchenko","given":"Michael","non-dropping-particle":"","parse-names":false,"suffix":""},{"dropping-particle":"","family":"Krishnaswami","given":"Sanjay","non-dropping-particle":"","parse-names":false,"suffix":""},{"dropping-particle":"","family":"Kromhout","given":"Hans","non-dropping-particle":"","parse-names":false,"suffix":""},{"dropping-particle":"","family":"Ku","given":"Tiffany","non-dropping-particle":"","parse-names":false,"suffix":""},{"dropping-particle":"","family":"Defo","given":"Barthelemy Kuate","non-dropping-particle":"","parse-names":false,"suffix":""},{"dropping-particle":"","family":"Bicer","given":"Burcu Kucuk","non-dropping-particle":"","parse-names":false,"suffix":""},{"dropping-particle":"","family":"Kuipers","given":"Ernst J","non-dropping-particle":"","parse-names":false,"suffix":""},{"dropping-particle":"","family":"Kulkarni","given":"Chanda","non-dropping-particle":"","parse-names":false,"suffix":""},{"dropping-particle":"","family":"Kulkarni","given":"Veena S","non-dropping-particle":"","parse-names":false,"suffix":""},{"dropping-particle":"","family":"Kumar","given":"G Anil","non-dropping-particle":"","parse-names":false,"suffix":""},{"dropping-particle":"","family":"Kwan","given":"Gene F","non-dropping-particle":"","parse-names":false,"suffix":""},{"dropping-particle":"","family":"Lai","given":"Taavi","non-dropping-particle":"","parse-names":false,"suffix":""},{"dropping-particle":"","family":"Balaji","given":"Arjun Lakshmana","non-dropping-particle":"","parse-names":false,"suffix":""},{"dropping-particle":"","family":"Lalloo","given":"Ratilal","non-dropping-particle":"","parse-names":false,"suffix":""},{"dropping-particle":"","family":"Lallukka","given":"Tea","non-dropping-particle":"","parse-names":false,"suffix":""},{"dropping-particle":"","family":"Lam","given":"Hilton","non-dropping-particle":"","parse-names":false,"suffix":""},{"dropping-particle":"","family":"Lan","given":"Qing","non-dropping-particle":"","parse-names":false,"suffix":""},{"dropping-particle":"","family":"Lansingh","given":"Van C","non-dropping-particle":"","parse-names":false,"suffix":""},{"dropping-particle":"","family":"Larson","given":"Heidi J","non-dropping-particle":"","parse-names":false,"suffix":""},{"dropping-particle":"","family":"Larsson","given":"Anders","non-dropping-particle":"","parse-names":false,"suffix":""},{"dropping-particle":"","family":"Laryea","given":"Dennis O","non-dropping-particle":"","parse-names":false,"suffix":""},{"dropping-particle":"","family":"Lavados","given":"Pablo M","non-dropping-particle":"","parse-names":false,"suffix":""},{"dropping-particle":"","family":"Lawrynowicz","given":"Alicia E","non-dropping-particle":"","parse-names":false,"suffix":""},{"dropping-particle":"","family":"Leasher","given":"Janet L","non-dropping-particle":"","parse-names":false,"suffix":""},{"dropping-particle":"","family":"Lee","given":"Jong-Tae","non-dropping-particle":"","parse-names":false,"suffix":""},{"dropping-particle":"","family":"Leigh","given":"James","non-dropping-particle":"","parse-names":false,"suffix":""},{"dropping-particle":"","family":"Leung","given":"Ricky","non-dropping-particle":"","parse-names":false,"suffix":""},{"dropping-particle":"","family":"Levi","given":"Miriam","non-dropping-particle":"","parse-names":false,"suffix":""},{"dropping-particle":"","family":"Li","given":"Yichong","non-dropping-particle":"","parse-names":false,"suffix":""},{"dropping-particle":"","family":"Li","given":"Yongmei","non-dropping-particle":"","parse-names":false,"suffix":""},{"dropping-particle":"","family":"Liang","given":"Juan","non-dropping-particle":"","parse-names":false,"suffix":""},{"dropping-particle":"","family":"Liang","given":"Xiaofeng","non-dropping-particle":"","parse-names":false,"suffix":""},{"dropping-particle":"","family":"Lim","given":"Stephen S","non-dropping-particle":"","parse-names":false,"suffix":""},{"dropping-particle":"","family":"Lindsay","given":"M Patrice","non-dropping-particle":"","parse-names":false,"suffix":""},{"dropping-particle":"","family":"Lipshultz","given":"Steven E","non-dropping-particle":"","parse-names":false,"suffix":""},{"dropping-particle":"","family":"Liu","given":"Shiwei","non-dropping-particle":"","parse-names":false,"suffix":""},{"dropping-particle":"","family":"Liu","given":"Yang","non-dropping-particle":"","parse-names":false,"suffix":""},{"dropping-particle":"","family":"Lloyd","given":"Belinda K","non-dropping-particle":"","parse-names":false,"suffix":""},{"dropping-particle":"","family":"Logroscino","given":"Giancarlo","non-dropping-particle":"","parse-names":false,"suffix":""},{"dropping-particle":"","family":"London","given":"Stephanie J","non-dropping-particle":"","parse-names":false,"suffix":""},{"dropping-particle":"","family":"Lopez","given":"Nancy","non-dropping-particle":"","parse-names":false,"suffix":""},{"dropping-particle":"","family":"Lortet-Tieulent","given":"Joannie","non-dropping-particle":"","parse-names":false,"suffix":""},{"dropping-particle":"","family":"Lotufo","given":"Paulo A","non-dropping-particle":"","parse-names":false,"suffix":""},{"dropping-particle":"","family":"Lozano","given":"Rafael","non-dropping-particle":"","parse-names":false,"suffix":""},{"dropping-particle":"","family":"Lunevicius","given":"Raimundas","non-dropping-particle":"","parse-names":false,"suffix":""},{"dropping-particle":"","family":"Ma","given":"Jixiang","non-dropping-particle":"","parse-names":false,"suffix":""},{"dropping-particle":"","family":"Ma","given":"Stefan","non-dropping-particle":"","parse-names":false,"suffix":""},{"dropping-particle":"","family":"Machado","given":"Vasco M P","non-dropping-particle":"","parse-names":false,"suffix":""},{"dropping-particle":"","family":"MacIntyre","given":"Michael F","non-dropping-particle":"","parse-names":false,"suffix":""},{"dropping-particle":"","family":"Magis-Rodriguez","given":"Carlos","non-dropping-particle":"","parse-names":false,"suffix":""},{"dropping-particle":"","family":"Mahdi","given":"Abbas A","non-dropping-particle":"","parse-names":false,"suffix":""},{"dropping-particle":"","family":"Majdan","given":"Marek","non-dropping-particle":"","parse-names":false,"suffix":""},{"dropping-particle":"","family":"Malekzadeh","given":"Reza","non-dropping-particle":"","parse-names":false,"suffix":""},{"dropping-particle":"","family":"Mangalam","given":"Srikanth","non-dropping-particle":"","parse-names":false,"suffix":""},{"dropping-particle":"","family":"Mapoma","given":"Christopher C","non-dropping-particle":"","parse-names":false,"suffix":""},{"dropping-particle":"","family":"Marape","given":"Marape","non-dropping-particle":"","parse-names":false,"suffix":""},{"dropping-particle":"","family":"Marcenes","given":"Wagner","non-dropping-particle":"","parse-names":false,"suffix":""},{"dropping-particle":"","family":"Margolis","given":"David J","non-dropping-particle":"","parse-names":false,"suffix":""},{"dropping-particle":"","family":"Margono","given":"Christopher","non-dropping-particle":"","parse-names":false,"suffix":""},{"dropping-particle":"","family":"Marks","given":"Guy B","non-dropping-particle":"","parse-names":false,"suffix":""},{"dropping-particle":"V","family":"Martin","given":"Randall","non-dropping-particle":"","parse-names":false,"suffix":""},{"dropping-particle":"","family":"Marzan","given":"Melvin B","non-dropping-particle":"","parse-names":false,"suffix":""},{"dropping-particle":"","family":"Mashal","given":"Mohammad T","non-dropping-particle":"","parse-names":false,"suffix":""},{"dropping-particle":"","family":"Masiye","given":"Felix","non-dropping-particle":"","parse-names":false,"suffix":""},{"dropping-particle":"","family":"Mason-Jones","given":"Amanda J","non-dropping-particle":"","parse-names":false,"suffix":""},{"dropping-particle":"","family":"Matsushita","given":"Kunihiro","non-dropping-particle":"","parse-names":false,"suffix":""},{"dropping-particle":"","family":"Matzopoulos","given":"Richard","non-dropping-particle":"","parse-names":false,"suffix":""},{"dropping-particle":"","family":"Mayosi","given":"Bongani M","non-dropping-particle":"","parse-names":false,"suffix":""},{"dropping-particle":"","family":"Mazorodze","given":"Tasara T","non-dropping-particle":"","parse-names":false,"suffix":""},{"dropping-particle":"","family":"McKay","given":"Abigail C","non-dropping-particle":"","parse-names":false,"suffix":""},{"dropping-particle":"","family":"McKee","given":"Martin","non-dropping-particle":"","parse-names":false,"suffix":""},{"dropping-particle":"","family":"McLain","given":"Abigail","non-dropping-particle":"","parse-names":false,"suffix":""},{"dropping-particle":"","family":"Meaney","given":"Peter A","non-dropping-particle":"","parse-names":false,"suffix":""},{"dropping-particle":"","family":"Medina","given":"Catalina","non-dropping-particle":"","parse-names":false,"suffix":""},{"dropping-particle":"","family":"Mehndiratta","given":"Man Mohan","non-dropping-particle":"","parse-names":false,"suffix":""},{"dropping-particle":"","family":"Mejia-Rodriguez","given":"Fabiola","non-dropping-particle":"","parse-names":false,"suffix":""},{"dropping-particle":"","family":"Mekonnen","given":"Wubegzier","non-dropping-particle":"","parse-names":false,"suffix":""},{"dropping-particle":"","family":"Melaku","given":"Yohannes A","non-dropping-particle":"","parse-names":false,"suffix":""},{"dropping-particle":"","family":"Meltzer","given":"Michele","non-dropping-particle":"","parse-names":false,"suffix":""},{"dropping-particle":"","family":"Memish","given":"Ziad A","non-dropping-particle":"","parse-names":false,"suffix":""},{"dropping-particle":"","family":"Mendoza","given":"Walter","non-dropping-particle":"","parse-names":false,"suffix":""},{"dropping-particle":"","family":"Mensah","given":"George A","non-dropping-particle":"","parse-names":false,"suffix":""},{"dropping-particle":"","family":"Meretoja","given":"Atte","non-dropping-particle":"","parse-names":false,"suffix":""},{"dropping-particle":"","family":"Mhimbira","given":"Francis Apolinary","non-dropping-particle":"","parse-names":false,"suffix":""},{"dropping-particle":"","family":"Micha","given":"Renata","non-dropping-particle":"","parse-names":false,"suffix":""},{"dropping-particle":"","family":"Miller","given":"Ted R","non-dropping-particle":"","parse-names":false,"suffix":""},{"dropping-particle":"","family":"Mills","given":"Edward J","non-dropping-particle":"","parse-names":false,"suffix":""},{"dropping-particle":"","family":"Misganaw","given":"Awoke","non-dropping-particle":"","parse-names":false,"suffix":""},{"dropping-particle":"","family":"Mishra","given":"Santosh","non-dropping-particle":"","parse-names":false,"suffix":""},{"dropping-particle":"","family":"Ibrahim","given":"Norlinah Mohamed","non-dropping-particle":"","parse-names":false,"suffix":""},{"dropping-particle":"","family":"Mohammad","given":"Karzan A","non-dropping-particle":"","parse-names":false,"suffix":""},{"dropping-particle":"","family":"Mokdad","given":"Ali H","non-dropping-particle":"","parse-names":false,"suffix":""},{"dropping-particle":"","family":"Mola","given":"Glen L","non-dropping-particle":"","parse-names":false,"suffix":""},{"dropping-particle":"","family":"Monasta","given":"Lorenzo","non-dropping-particle":"","parse-names":false,"suffix":""},{"dropping-particle":"","family":"Hernandez","given":"Julio C Montañez","non-dropping-particle":"","parse-names":false,"suffix":""},{"dropping-particle":"","family":"Montico","given":"Marcella","non-dropping-particle":"","parse-names":false,"suffix":""},{"dropping-particle":"","family":"Moore","given":"Ami R","non-dropping-particle":"","parse-names":false,"suffix":""},{"dropping-particle":"","family":"Morawska","given":"Lidia","non-dropping-particle":"","parse-names":false,"suffix":""},{"dropping-particle":"","family":"Mori","given":"Rintaro","non-dropping-particle":"","parse-names":false,"suffix":""},{"dropping-particle":"","family":"Moschandreas","given":"Joanna","non-dropping-particle":"","parse-names":false,"suffix":""},{"dropping-particle":"","family":"Moturi","given":"Wilkister N","non-dropping-particle":"","parse-names":false,"suffix":""},{"dropping-particle":"","family":"Mozaffarian","given":"Dariush","non-dropping-particle":"","parse-names":false,"suffix":""},{"dropping-particle":"","family":"Mueller","given":"Ulrich O","non-dropping-particle":"","parse-names":false,"suffix":""},{"dropping-particle":"","family":"Mukaigawara","given":"Mitsuru","non-dropping-particle":"","parse-names":false,"suffix":""},{"dropping-particle":"","family":"Mullany","given":"Erin C","non-dropping-particle":"","parse-names":false,"suffix":""},{"dropping-particle":"","family":"Murthy","given":"Kinnari S","non-dropping-particle":"","parse-names":false,"suffix":""},{"dropping-particle":"","family":"Naghavi","given":"Mohsen","non-dropping-particle":"","parse-names":false,"suffix":""},{"dropping-particle":"","family":"Nahas","given":"Ziad","non-dropping-particle":"","parse-names":false,"suffix":""},{"dropping-particle":"","family":"Naheed","given":"Aliya","non-dropping-particle":"","parse-names":false,"suffix":""},{"dropping-particle":"","family":"Naidoo","given":"Kovin S","non-dropping-particle":"","parse-names":false,"suffix":""},{"dropping-particle":"","family":"Naldi","given":"Luigi","non-dropping-particle":"","parse-names":false,"suffix":""},{"dropping-particle":"","family":"Nand","given":"Devina","non-dropping-particle":"","parse-names":false,"suffix":""},{"dropping-particle":"","family":"Nangia","given":"Vinay","non-dropping-particle":"","parse-names":false,"suffix":""},{"dropping-particle":"","family":"Narayan","given":"K M Venkat","non-dropping-particle":"","parse-names":false,"suffix":""},{"dropping-particle":"","family":"Nash","given":"Denis","non-dropping-particle":"","parse-names":false,"suffix":""},{"dropping-particle":"","family":"Neal","given":"Bruce","non-dropping-particle":"","parse-names":false,"suffix":""},{"dropping-particle":"","family":"Nejjari","given":"Chakib","non-dropping-particle":"","parse-names":false,"suffix":""},{"dropping-particle":"","family":"Neupane","given":"Sudan P","non-dropping-particle":"","parse-names":false,"suffix":""},{"dropping-particle":"","family":"Newton","given":"Charles R","non-dropping-particle":"","parse-names":false,"suffix":""},{"dropping-particle":"","family":"Ngalesoni","given":"Frida N","non-dropping-particle":"","parse-names":false,"suffix":""},{"dropping-particle":"","family":"Dieu Ngirabega","given":"Jean","non-dropping-particle":"de","parse-names":false,"suffix":""},{"dropping-particle":"","family":"Nguyen","given":"Grant","non-dropping-particle":"","parse-names":false,"suffix":""},{"dropping-particle":"","family":"Nguyen","given":"Nhung T","non-dropping-particle":"","parse-names":false,"suffix":""},{"dropping-particle":"","family":"Nieuwenhuijsen","given":"Mark J","non-dropping-particle":"","parse-names":false,"suffix":""},{"dropping-particle":"","family":"Nisar","given":"Muhammad I","non-dropping-particle":"","parse-names":false,"suffix":""},{"dropping-particle":"","family":"Nogueira","given":"José R","non-dropping-particle":"","parse-names":false,"suffix":""},{"dropping-particle":"","family":"Nolla","given":"Joan M","non-dropping-particle":"","parse-names":false,"suffix":""},{"dropping-particle":"","family":"Nolte","given":"Sandra","non-dropping-particle":"","parse-names":false,"suffix":""},{"dropping-particle":"","family":"Norheim","given":"Ole F","non-dropping-particle":"","parse-names":false,"suffix":""},{"dropping-particle":"","family":"Norman","given":"Rosana E","non-dropping-particle":"","parse-names":false,"suffix":""},{"dropping-particle":"","family":"Norrving","given":"Bo","non-dropping-particle":"","parse-names":false,"suffix":""},{"dropping-particle":"","family":"Nyakarahuka","given":"Luke","non-dropping-particle":"","parse-names":false,"suffix":""},{"dropping-particle":"","family":"Oh","given":"In-Hwan","non-dropping-particle":"","parse-names":false,"suffix":""},{"dropping-particle":"","family":"Ohkubo","given":"Takayoshi","non-dropping-particle":"","parse-names":false,"suffix":""},{"dropping-particle":"","family":"Olusanya","given":"Bolajoko O","non-dropping-particle":"","parse-names":false,"suffix":""},{"dropping-particle":"","family":"Omer","given":"Saad B","non-dropping-particle":"","parse-names":false,"suffix":""},{"dropping-particle":"","family":"Opio","given":"John Nelson","non-dropping-particle":"","parse-names":false,"suffix":""},{"dropping-particle":"","family":"Orozco","given":"Ricardo","non-dropping-particle":"","parse-names":false,"suffix":""},{"dropping-particle":"","family":"Pagcatipunan","given":"Rodolfo S","non-dropping-particle":"","parse-names":false,"suffix":""},{"dropping-particle":"","family":"Pain","given":"Amanda W","non-dropping-particle":"","parse-names":false,"suffix":""},{"dropping-particle":"","family":"Pandian","given":"Jeyaraj D","non-dropping-particle":"","parse-names":false,"suffix":""},{"dropping-particle":"","family":"Panelo","given":"Carlo Irwin A","non-dropping-particle":"","parse-names":false,"suffix":""},{"dropping-particle":"","family":"Papachristou","given":"Christina","non-dropping-particle":"","parse-names":false,"suffix":""},{"dropping-particle":"","family":"Park","given":"Eun-Kee","non-dropping-particle":"","parse-names":false,"suffix":""},{"dropping-particle":"","family":"Parry","given":"Charles D","non-dropping-particle":"","parse-names":false,"suffix":""},{"dropping-particle":"","family":"Caicedo","given":"Angel J Paternina","non-dropping-particle":"","parse-names":false,"suffix":""},{"dropping-particle":"","family":"Patten","given":"Scott B","non-dropping-particle":"","parse-names":false,"suffix":""},{"dropping-particle":"","family":"Paul","given":"Vinod K","non-dropping-particle":"","parse-names":false,"suffix":""},{"dropping-particle":"","family":"Pavlin","given":"Boris I","non-dropping-particle":"","parse-names":false,"suffix":""},{"dropping-particle":"","family":"Pearce","given":"Neil","non-dropping-particle":"","parse-names":false,"suffix":""},{"dropping-particle":"","family":"Pedraza","given":"Lilia S","non-dropping-particle":"","parse-names":false,"suffix":""},{"dropping-particle":"","family":"Pedroza","given":"Andrea","non-dropping-particle":"","parse-names":false,"suffix":""},{"dropping-particle":"","family":"Stokic","given":"Ljiljana Pejin","non-dropping-particle":"","parse-names":false,"suffix":""},{"dropping-particle":"","family":"Pekericli","given":"Ayfer","non-dropping-particle":"","parse-names":false,"suffix":""},{"dropping-particle":"","family":"Pereira","given":"David M","non-dropping-particle":"","parse-names":false,"suffix":""},{"dropping-particle":"","family":"Perez-Padilla","given":"Rogelio","non-dropping-particle":"","parse-names":false,"suffix":""},{"dropping-particle":"","family":"Perez-Ruiz","given":"Fernando","non-dropping-particle":"","parse-names":false,"suffix":""},{"dropping-particle":"","family":"Perico","given":"Norberto","non-dropping-particle":"","parse-names":false,"suffix":""},{"dropping-particle":"","family":"Perry","given":"Samuel A L","non-dropping-particle":"","parse-names":false,"suffix":""},{"dropping-particle":"","family":"Pervaiz","given":"Aslam","non-dropping-particle":"","parse-names":false,"suffix":""},{"dropping-particle":"","family":"Pesudovs","given":"Konrad","non-dropping-particle":"","parse-names":false,"suffix":""},{"dropping-particle":"","family":"Peterson","given":"Carrie B","non-dropping-particle":"","parse-names":false,"suffix":""},{"dropping-particle":"","family":"Petzold","given":"Max","non-dropping-particle":"","parse-names":false,"suffix":""},{"dropping-particle":"","family":"Phillips","given":"Michael R","non-dropping-particle":"","parse-names":false,"suffix":""},{"dropping-particle":"","family":"Phua","given":"Hwee Pin","non-dropping-particle":"","parse-names":false,"suffix":""},{"dropping-particle":"","family":"Plass","given":"Dietrich","non-dropping-particle":"","parse-names":false,"suffix":""},{"dropping-particle":"","family":"Poenaru","given":"Dan","non-dropping-particle":"","parse-names":false,"suffix":""},{"dropping-particle":"V","family":"Polanczyk","given":"Guilherme","non-dropping-particle":"","parse-names":false,"suffix":""},{"dropping-particle":"","family":"Polinder","given":"Suzanne","non-dropping-particle":"","parse-names":false,"suffix":""},{"dropping-particle":"","family":"Pond","given":"Constance D","non-dropping-particle":"","parse-names":false,"suffix":""},{"dropping-particle":"","family":"Pope","given":"C Arden","non-dropping-particle":"","parse-names":false,"suffix":""},{"dropping-particle":"","family":"Pope","given":"Daniel","non-dropping-particle":"","parse-names":false,"suffix":""},{"dropping-particle":"","family":"Popova","given":"Svetlana","non-dropping-particle":"","parse-names":false,"suffix":""},{"dropping-particle":"","family":"Pourmalek","given":"Farshad","non-dropping-particle":"","parse-names":false,"suffix":""},{"dropping-particle":"","family":"Powles","given":"John","non-dropping-particle":"","parse-names":false,"suffix":""},{"dropping-particle":"","family":"Prabhakaran","given":"Dorairaj","non-dropping-particle":"","parse-names":false,"suffix":""},{"dropping-particle":"","family":"Prasad","given":"Noela M","non-dropping-particle":"","parse-names":false,"suffix":""},{"dropping-particle":"","family":"Qato","given":"Dima M","non-dropping-particle":"","parse-names":false,"suffix":""},{"dropping-particle":"","family":"Quezada","given":"Amado D","non-dropping-particle":"","parse-names":false,"suffix":""},{"dropping-particle":"","family":"Quistberg","given":"D Alex A","non-dropping-particle":"","parse-names":false,"suffix":""},{"dropping-particle":"","family":"Racapé","given":"Lionel","non-dropping-particle":"","parse-names":false,"suffix":""},{"dropping-particle":"","family":"Rafay","given":"Anwar","non-dropping-particle":"","parse-names":false,"suffix":""},{"dropping-particle":"","family":"Rahimi","given":"Kazem","non-dropping-particle":"","parse-names":false,"suffix":""},{"dropping-particle":"","family":"Rahimi-Movaghar","given":"Vafa","non-dropping-particle":"","parse-names":false,"suffix":""},{"dropping-particle":"","family":"Rahman","given":"Sajjad Ur","non-dropping-particle":"","parse-names":false,"suffix":""},{"dropping-particle":"","family":"Raju","given":"Murugesan","non-dropping-particle":"","parse-names":false,"suffix":""},{"dropping-particle":"","family":"Rakovac","given":"Ivo","non-dropping-particle":"","parse-names":false,"suffix":""},{"dropping-particle":"","family":"Rana","given":"Saleem M","non-dropping-particle":"","parse-names":false,"suffix":""},{"dropping-particle":"","family":"Rao","given":"Mayuree","non-dropping-particle":"","parse-names":false,"suffix":""},{"dropping-particle":"","family":"Razavi","given":"Homie","non-dropping-particle":"","parse-names":false,"suffix":""},{"dropping-particle":"","family":"Reddy","given":"K Srinath","non-dropping-particle":"","parse-names":false,"suffix":""},{"dropping-particle":"","family":"Refaat","given":"Amany H","non-dropping-particle":"","parse-names":false,"suffix":""},{"dropping-particle":"","family":"Rehm","given":"Jürgen","non-dropping-particle":"","parse-names":false,"suffix":""},{"dropping-particle":"","family":"Remuzzi","given":"Giuseppe","non-dropping-particle":"","parse-names":false,"suffix":""},{"dropping-particle":"","family":"Ribeiro","given":"Antonio L","non-dropping-particle":"","parse-names":false,"suffix":""},{"dropping-particle":"","family":"Riccio","given":"Patricia M","non-dropping-particle":"","parse-names":false,"suffix":""},{"dropping-particle":"","family":"Richardson","given":"Lee","non-dropping-particle":"","parse-names":false,"suffix":""},{"dropping-particle":"","family":"Riederer","given":"Anne","non-dropping-particle":"","parse-names":false,"suffix":""},{"dropping-particle":"","family":"Robinson","given":"Margaret","non-dropping-particle":"","parse-names":false,"suffix":""},{"dropping-particle":"","family":"Roca","given":"Anna","non-dropping-particle":"","parse-names":false,"suffix":""},{"dropping-particle":"","family":"Rodriguez","given":"Alina","non-dropping-particle":"","parse-names":false,"suffix":""},{"dropping-particle":"","family":"Rojas-Rueda","given":"David","non-dropping-particle":"","parse-names":false,"suffix":""},{"dropping-particle":"","family":"Romieu","given":"Isabelle","non-dropping-particle":"","parse-names":false,"suffix":""},{"dropping-particle":"","family":"Ronfani","given":"Luca","non-dropping-particle":"","parse-names":false,"suffix":""},{"dropping-particle":"","family":"Room","given":"Robin","non-dropping-particle":"","parse-names":false,"suffix":""},{"dropping-particle":"","family":"Roy","given":"Nobhojit","non-dropping-particle":"","parse-names":false,"suffix":""},{"dropping-particle":"","family":"Ruhago","given":"George M","non-dropping-particle":"","parse-names":false,"suffix":""},{"dropping-particle":"","family":"Rushton","given":"Lesley","non-dropping-particle":"","parse-names":false,"suffix":""},{"dropping-particle":"","family":"Sabin","given":"Nsanzimana","non-dropping-particle":"","parse-names":false,"suffix":""},{"dropping-particle":"","family":"Sacco","given":"Ralph L","non-dropping-particle":"","parse-names":false,"suffix":""},{"dropping-particle":"","family":"Saha","given":"Sukanta","non-dropping-particle":"","parse-names":false,"suffix":""},{"dropping-particle":"","family":"Sahathevan","given":"Ramesh","non-dropping-particle":"","parse-names":false,"suffix":""},{"dropping-particle":"","family":"Sahraian","given":"Mohammad Ali","non-dropping-particle":"","parse-names":false,"suffix":""},{"dropping-particle":"","family":"Salomon","given":"Joshua A","non-dropping-particle":"","parse-names":false,"suffix":""},{"dropping-particle":"","family":"Salvo","given":"Deborah","non-dropping-particle":"","parse-names":false,"suffix":""},{"dropping-particle":"","family":"Sampson","given":"Uchechukwu K","non-dropping-particle":"","parse-names":false,"suffix":""},{"dropping-particle":"","family":"Sanabria","given":"Juan R","non-dropping-particle":"","parse-names":false,"suffix":""},{"dropping-particle":"","family":"Sanchez","given":"Luz Maria","non-dropping-particle":"","parse-names":false,"suffix":""},{"dropping-particle":"","family":"Sánchez-Pimienta","given":"Tania G","non-dropping-particle":"","parse-names":false,"suffix":""},{"dropping-particle":"","family":"Sanchez-Riera","given":"Lidia","non-dropping-particle":"","parse-names":false,"suffix":""},{"dropping-particle":"","family":"Sandar","given":"Logan","non-dropping-particle":"","parse-names":false,"suffix":""},{"dropping-particle":"","family":"Santos","given":"Itamar S","non-dropping-particle":"","parse-names":false,"suffix":""},{"dropping-particle":"","family":"Sapkota","given":"Amir","non-dropping-particle":"","parse-names":false,"suffix":""},{"dropping-particle":"","family":"Satpathy","given":"Maheswar","non-dropping-particle":"","parse-names":false,"suffix":""},{"dropping-particle":"","family":"Saunders","given":"James E","non-dropping-particle":"","parse-names":false,"suffix":""},{"dropping-particle":"","family":"Sawhney","given":"Monika","non-dropping-particle":"","parse-names":false,"suffix":""},{"dropping-particle":"","family":"Saylan","given":"Mete I","non-dropping-particle":"","parse-names":false,"suffix":""},{"dropping-particle":"","family":"Scarborough","given":"Peter","non-dropping-particle":"","parse-names":false,"suffix":""},{"dropping-particle":"","family":"Schmidt","given":"Jürgen C","non-dropping-particle":"","parse-names":false,"suffix":""},{"dropping-particle":"","family":"Schneider","given":"Ione J C","non-dropping-particle":"","parse-names":false,"suffix":""},{"dropping-particle":"","family":"Schöttker","given":"Ben","non-dropping-particle":"","parse-names":false,"suffix":""},{"dropping-particle":"","family":"Schwebel","given":"David C","non-dropping-particle":"","parse-names":false,"suffix":""},{"dropping-particle":"","family":"Scott","given":"James G","non-dropping-particle":"","parse-names":false,"suffix":""},{"dropping-particle":"","family":"Seedat","given":"Soraya","non-dropping-particle":"","parse-names":false,"suffix":""},{"dropping-particle":"","family":"Sepanlou","given":"Sadaf G","non-dropping-particle":"","parse-names":false,"suffix":""},{"dropping-particle":"","family":"Serdar","given":"Berrin","non-dropping-particle":"","parse-names":false,"suffix":""},{"dropping-particle":"","family":"Servan-Mori","given":"Edson E","non-dropping-particle":"","parse-names":false,"suffix":""},{"dropping-particle":"","family":"Shaddick","given":"Gavin","non-dropping-particle":"","parse-names":false,"suffix":""},{"dropping-particle":"","family":"Shahraz","given":"Saeid","non-dropping-particle":"","parse-names":false,"suffix":""},{"dropping-particle":"","family":"Levy","given":"Teresa Shamah","non-dropping-particle":"","parse-names":false,"suffix":""},{"dropping-particle":"","family":"Shangguan","given":"Siyi","non-dropping-particle":"","parse-names":false,"suffix":""},{"dropping-particle":"","family":"She","given":"Jun","non-dropping-particle":"","parse-names":false,"suffix":""},{"dropping-particle":"","family":"Sheikhbahaei","given":"Sara","non-dropping-particle":"","parse-names":false,"suffix":""},{"dropping-particle":"","family":"Shibuya","given":"Kenji","non-dropping-particle":"","parse-names":false,"suffix":""},{"dropping-particle":"","family":"Shin","given":"Hwashin H","non-dropping-particle":"","parse-names":false,"suffix":""},{"dropping-particle":"","family":"Shinohara","given":"Yukito","non-dropping-particle":"","parse-names":false,"suffix":""},{"dropping-particle":"","family":"Shiri","given":"Rahman","non-dropping-particle":"","parse-names":false,"suffix":""},{"dropping-particle":"","family":"Shishani","given":"Kawkab","non-dropping-particle":"","parse-names":false,"suffix":""},{"dropping-particle":"","family":"Shiue","given":"Ivy","non-dropping-particle":"","parse-names":false,"suffix":""},{"dropping-particle":"","family":"Sigfusdottir","given":"Inga D","non-dropping-particle":"","parse-names":false,"suffix":""},{"dropping-particle":"","family":"Silberberg","given":"Donald H","non-dropping-particle":"","parse-names":false,"suffix":""},{"dropping-particle":"","family":"Simard","given":"Edgar P","non-dropping-particle":"","parse-names":false,"suffix":""},{"dropping-particle":"","family":"Sindi","given":"Shireen","non-dropping-particle":"","parse-names":false,"suffix":""},{"dropping-particle":"","family":"Singh","given":"Abhishek","non-dropping-particle":"","parse-names":false,"suffix":""},{"dropping-particle":"","family":"Singh","given":"Gitanjali M","non-dropping-particle":"","parse-names":false,"suffix":""},{"dropping-particle":"","family":"Singh","given":"Jasvinder A","non-dropping-particle":"","parse-names":false,"suffix":""},{"dropping-particle":"","family":"Skirbekk","given":"Vegard","non-dropping-particle":"","parse-names":false,"suffix":""},{"dropping-particle":"","family":"Sliwa","given":"Karen","non-dropping-particle":"","parse-names":false,"suffix":""},{"dropping-particle":"","family":"Soljak","given":"Michael","non-dropping-particle":"","parse-names":false,"suffix":""},{"dropping-particle":"","family":"Soneji","given":"Samir","non-dropping-particle":"","parse-names":false,"suffix":""},{"dropping-particle":"","family":"Søreide","given":"Kjetil","non-dropping-particle":"","parse-names":false,"suffix":""},{"dropping-particle":"","family":"Soshnikov","given":"Sergey","non-dropping-particle":"","parse-names":false,"suffix":""},{"dropping-particle":"","family":"Sposato","given":"Luciano A","non-dropping-particle":"","parse-names":false,"suffix":""},{"dropping-particle":"","family":"Sreeramareddy","given":"Chandrashekhar T","non-dropping-particle":"","parse-names":false,"suffix":""},{"dropping-particle":"","family":"Stapelberg","given":"Nicolas J C","non-dropping-particle":"","parse-names":false,"suffix":""},{"dropping-particle":"","family":"Stathopoulou","given":"Vasiliki","non-dropping-particle":"","parse-names":false,"suffix":""},{"dropping-particle":"","family":"Steckling","given":"Nadine","non-dropping-particle":"","parse-names":false,"suffix":""},{"dropping-particle":"","family":"Stein","given":"Dan J","non-dropping-particle":"","parse-names":false,"suffix":""},{"dropping-particle":"","family":"Stein","given":"Murray B","non-dropping-particle":"","parse-names":false,"suffix":""},{"dropping-particle":"","family":"Stephens","given":"Natalie","non-dropping-particle":"","parse-names":false,"suffix":""},{"dropping-particle":"","family":"Stöckl","given":"Heidi","non-dropping-particle":"","parse-names":false,"suffix":""},{"dropping-particle":"","family":"Straif","given":"Kurt","non-dropping-particle":"","parse-names":false,"suffix":""},{"dropping-particle":"","family":"Stroumpoulis","given":"Konstantinos","non-dropping-particle":"","parse-names":false,"suffix":""},{"dropping-particle":"","family":"Sturua","given":"Lela","non-dropping-particle":"","parse-names":false,"suffix":""},{"dropping-particle":"","family":"Sunguya","given":"Bruno F","non-dropping-particle":"","parse-names":false,"suffix":""},{"dropping-particle":"","family":"Swaminathan","given":"Soumya","non-dropping-particle":"","parse-names":false,"suffix":""},{"dropping-particle":"","family":"Swaroop","given":"Mamta","non-dropping-particle":"","parse-names":false,"suffix":""},{"dropping-particle":"","family":"Sykes","given":"Bryan L","non-dropping-particle":"","parse-names":false,"suffix":""},{"dropping-particle":"","family":"Tabb","given":"Karen M","non-dropping-particle":"","parse-names":false,"suffix":""},{"dropping-particle":"","family":"Takahashi","given":"Ken","non-dropping-particle":"","parse-names":false,"suffix":""},{"dropping-particle":"","family":"Talongwa","given":"Roberto T","non-dropping-particle":"","parse-names":false,"suffix":""},{"dropping-particle":"","family":"Tandon","given":"Nikhil","non-dropping-particle":"","parse-names":false,"suffix":""},{"dropping-particle":"","family":"Tanne","given":"David","non-dropping-particle":"","parse-names":false,"suffix":""},{"dropping-particle":"","family":"Tanner","given":"Marcel","non-dropping-particle":"","parse-names":false,"suffix":""},{"dropping-particle":"","family":"Tavakkoli","given":"Mohammad","non-dropping-particle":"","parse-names":false,"suffix":""},{"dropping-particle":"","family":"Ao","given":"Braden J","non-dropping-particle":"Te","parse-names":false,"suffix":""},{"dropping-particle":"","family":"Teixeira","given":"Carolina M","non-dropping-particle":"","parse-names":false,"suffix":""},{"dropping-particle":"","family":"Téllez Rojo","given":"Martha M","non-dropping-particle":"","parse-names":false,"suffix":""},{"dropping-particle":"","family":"Terkawi","given":"Abdullah S","non-dropping-particle":"","parse-names":false,"suffix":""},{"dropping-particle":"","family":"Texcalac-Sangrador","given":"José Luis","non-dropping-particle":"","parse-names":false,"suffix":""},{"dropping-particle":"V","family":"Thackway","given":"Sarah","non-dropping-particle":"","parse-names":false,"suffix":""},{"dropping-particle":"","family":"Thomson","given":"Blake","non-dropping-particle":"","parse-names":false,"suffix":""},{"dropping-particle":"","family":"Thorne-Lyman","given":"Andrew L","non-dropping-particle":"","parse-names":false,"suffix":""},{"dropping-particle":"","family":"Thrift","given":"Amanda G","non-dropping-particle":"","parse-names":false,"suffix":""},{"dropping-particle":"","family":"Thurston","given":"George D","non-dropping-particle":"","parse-names":false,"suffix":""},{"dropping-particle":"","family":"Tillmann","given":"Taavi","non-dropping-particle":"","parse-names":false,"suffix":""},{"dropping-particle":"","family":"Tobollik","given":"Myriam","non-dropping-particle":"","parse-names":false,"suffix":""},{"dropping-particle":"","family":"Tonelli","given":"Marcello","non-dropping-particle":"","parse-names":false,"suffix":""},{"dropping-particle":"","family":"Topouzis","given":"Fotis","non-dropping-particle":"","parse-names":false,"suffix":""},{"dropping-particle":"","family":"Towbin","given":"Jeffrey A","non-dropping-particle":"","parse-names":false,"suffix":""},{"dropping-particle":"","family":"Toyoshima","given":"Hideaki","non-dropping-particle":"","parse-names":false,"suffix":""},{"dropping-particle":"","family":"Traebert","given":"Jefferson","non-dropping-particle":"","parse-names":false,"suffix":""},{"dropping-particle":"","family":"Tran","given":"Bach X","non-dropping-particle":"","parse-names":false,"suffix":""},{"dropping-particle":"","family":"Trasande","given":"Leonardo","non-dropping-particle":"","parse-names":false,"suffix":""},{"dropping-particle":"","family":"Trillini","given":"Matias","non-dropping-particle":"","parse-names":false,"suffix":""},{"dropping-particle":"","family":"Trujillo","given":"Ulises","non-dropping-particle":"","parse-names":false,"suffix":""},{"dropping-particle":"","family":"Dimbuene","given":"Zacharie Tsala","non-dropping-particle":"","parse-names":false,"suffix":""},{"dropping-particle":"","family":"Tsilimbaris","given":"Miltiadis","non-dropping-particle":"","parse-names":false,"suffix":""},{"dropping-particle":"","family":"Tuzcu","given":"Emin Murat","non-dropping-particle":"","parse-names":false,"suffix":""},{"dropping-particle":"","family":"Uchendu","given":"Uche S","non-dropping-particle":"","parse-names":false,"suffix":""},{"dropping-particle":"","family":"Ukwaja","given":"Kingsley N","non-dropping-particle":"","parse-names":false,"suffix":""},{"dropping-particle":"","family":"Uzun","given":"Selen B","non-dropping-particle":"","parse-names":false,"suffix":""},{"dropping-particle":"","family":"Vijver","given":"Steven","non-dropping-particle":"van de","parse-names":false,"suffix":""},{"dropping-particle":"","family":"Dingenen","given":"Rita","non-dropping-particle":"Van","parse-names":false,"suffix":""},{"dropping-particle":"","family":"Gool","given":"Coen H","non-dropping-particle":"van","parse-names":false,"suffix":""},{"dropping-particle":"","family":"Os","given":"Jim","non-dropping-particle":"van","parse-names":false,"suffix":""},{"dropping-particle":"","family":"Varakin","given":"Yuri Y","non-dropping-particle":"","parse-names":false,"suffix":""},{"dropping-particle":"","family":"Vasankari","given":"Tommi J","non-dropping-particle":"","parse-names":false,"suffix":""},{"dropping-particle":"","family":"Vasconcelos","given":"Ana Maria N","non-dropping-particle":"","parse-names":false,"suffix":""},{"dropping-particle":"","family":"Vavilala","given":"Monica S","non-dropping-particle":"","parse-names":false,"suffix":""},{"dropping-particle":"","family":"Veerman","given":"Lennert J","non-dropping-particle":"","parse-names":false,"suffix":""},{"dropping-particle":"","family":"Velasquez-Melendez","given":"Gustavo","non-dropping-particle":"","parse-names":false,"suffix":""},{"dropping-particle":"","family":"Venketasubramanian","given":"N","non-dropping-particle":"","parse-names":false,"suffix":""},{"dropping-particle":"","family":"Vijayakumar","given":"Lakshmi","non-dropping-particle":"","parse-names":false,"suffix":""},{"dropping-particle":"","family":"Villalpando","given":"Salvador","non-dropping-particle":"","parse-names":false,"suffix":""},{"dropping-particle":"","family":"Violante","given":"Francesco S","non-dropping-particle":"","parse-names":false,"suffix":""},{"dropping-particle":"","family":"Vlassov","given":"Vasiliy Victorovich","non-dropping-particle":"","parse-names":false,"suffix":""},{"dropping-particle":"","family":"Vollset","given":"Stein Emil","non-dropping-particle":"","parse-names":false,"suffix":""},{"dropping-particle":"","family":"Wagner","given":"Gregory R","non-dropping-particle":"","parse-names":false,"suffix":""},{"dropping-particle":"","family":"Waller","given":"Stephen G","non-dropping-particle":"","parse-names":false,"suffix":""},{"dropping-particle":"","family":"Wallin","given":"Mitchell T","non-dropping-particle":"","parse-names":false,"suffix":""},{"dropping-particle":"","family":"Wan","given":"Xia","non-dropping-particle":"","parse-names":false,"suffix":""},{"dropping-particle":"","family":"Wang","given":"Haidong","non-dropping-particle":"","parse-names":false,"suffix":""},{"dropping-particle":"","family":"Wang","given":"JianLi","non-dropping-particle":"","parse-names":false,"suffix":""},{"dropping-particle":"","family":"Wang","given":"Linhong","non-dropping-particle":"","parse-names":false,"suffix":""},{"dropping-particle":"","family":"Wang","given":"Wenzhi","non-dropping-particle":"","parse-names":false,"suffix":""},{"dropping-particle":"","family":"Wang","given":"Yanping","non-dropping-particle":"","parse-names":false,"suffix":""},{"dropping-particle":"","family":"Warouw","given":"Tati S","non-dropping-particle":"","parse-names":false,"suffix":""},{"dropping-particle":"","family":"Watts","given":"Charlotte H","non-dropping-particle":"","parse-names":false,"suffix":""},{"dropping-particle":"","family":"Weichenthal","given":"Scott","non-dropping-particle":"","parse-names":false,"suffix":""},{"dropping-particle":"","family":"Weiderpass","given":"Elisabete","non-dropping-particle":"","parse-names":false,"suffix":""},{"dropping-particle":"","family":"Weintraub","given":"Robert G","non-dropping-particle":"","parse-names":false,"suffix":""},{"dropping-particle":"","family":"Werdecker","given":"Andrea","non-dropping-particle":"","parse-names":false,"suffix":""},{"dropping-particle":"","family":"Wessells","given":"K Ryan","non-dropping-particle":"","parse-names":false,"suffix":""},{"dropping-particle":"","family":"Westerman","given":"Ronny","non-dropping-particle":"","parse-names":false,"suffix":""},{"dropping-particle":"","family":"Whiteford","given":"Harvey A","non-dropping-particle":"","parse-names":false,"suffix":""},{"dropping-particle":"","family":"Wilkinson","given":"James D","non-dropping-particle":"","parse-names":false,"suffix":""},{"dropping-particle":"","family":"Williams","given":"Hywel C","non-dropping-particle":"","parse-names":false,"suffix":""},{"dropping-particle":"","family":"Williams","given":"Thomas N","non-dropping-particle":"","parse-names":false,"suffix":""},{"dropping-particle":"","family":"Woldeyohannes","given":"Solomon M","non-dropping-particle":"","parse-names":false,"suffix":""},{"dropping-particle":"","family":"Wolfe","given":"Charles D A","non-dropping-particle":"","parse-names":false,"suffix":""},{"dropping-particle":"","family":"Wong","given":"John Q","non-dropping-particle":"","parse-names":false,"suffix":""},{"dropping-particle":"","family":"Woolf","given":"Anthony D","non-dropping-particle":"","parse-names":false,"suffix":""},{"dropping-particle":"","family":"Wright","given":"Jonathan L","non-dropping-particle":"","parse-names":false,"suffix":""},{"dropping-particle":"","family":"Wurtz","given":"Brittany","non-dropping-particle":"","parse-names":false,"suffix":""},{"dropping-particle":"","family":"Xu","given":"Gelin","non-dropping-particle":"","parse-names":false,"suffix":""},{"dropping-particle":"","family":"Yan","given":"Lijing L","non-dropping-particle":"","parse-names":false,"suffix":""},{"dropping-particle":"","family":"Yang","given":"Gonghuan","non-dropping-particle":"","parse-names":false,"suffix":""},{"dropping-particle":"","family":"Yano","given":"Yuichiro","non-dropping-particle":"","parse-names":false,"suffix":""},{"dropping-particle":"","family":"Ye","given":"Pengpeng","non-dropping-particle":"","parse-names":false,"suffix":""},{"dropping-particle":"","family":"Yenesew","given":"Muluken","non-dropping-particle":"","parse-names":false,"suffix":""},{"dropping-particle":"","family":"Yentür","given":"Gökalp K","non-dropping-particle":"","parse-names":false,"suffix":""},{"dropping-particle":"","family":"Yip","given":"Paul","non-dropping-particle":"","parse-names":false,"suffix":""},{"dropping-particle":"","family":"Yonemoto","given":"Naohiro","non-dropping-particle":"","parse-names":false,"suffix":""},{"dropping-particle":"","family":"Yoon","given":"Seok-Jun","non-dropping-particle":"","parse-names":false,"suffix":""},{"dropping-particle":"","family":"Younis","given":"Mustafa Z","non-dropping-particle":"","parse-names":false,"suffix":""},{"dropping-particle":"","family":"Younoussi","given":"Zourkaleini","non-dropping-particle":"","parse-names":false,"suffix":""},{"dropping-particle":"","family":"Yu","given":"Chuanhua","non-dropping-particle":"","parse-names":false,"suffix":""},{"dropping-particle":"","family":"Zaki","given":"Maysaa E","non-dropping-particle":"","parse-names":false,"suffix":""},{"dropping-particle":"","family":"Zhao","given":"Yong","non-dropping-particle":"","parse-names":false,"suffix":""},{"dropping-particle":"","family":"Zheng","given":"Yingfeng","non-dropping-particle":"","parse-names":false,"suffix":""},{"dropping-particle":"","family":"Zhou","given":"Maigeng","non-dropping-particle":"","parse-names":false,"suffix":""},{"dropping-particle":"","family":"Zhu","given":"Jun","non-dropping-particle":"","parse-names":false,"suffix":""},{"dropping-particle":"","family":"Zhu","given":"Shankuan","non-dropping-particle":"","parse-names":false,"suffix":""},{"dropping-particle":"","family":"Zou","given":"Xiaonong","non-dropping-particle":"","parse-names":false,"suffix":""},{"dropping-particle":"","family":"Zunt","given":"Joseph R","non-dropping-particle":"","parse-names":false,"suffix":""},{"dropping-particle":"","family":"Lopez","given":"Alan D","non-dropping-particle":"","parse-names":false,"suffix":""},{"dropping-particle":"","family":"Vos","given":"Theo","non-dropping-particle":"","parse-names":false,"suffix":""},{"dropping-particle":"","family":"Murray","given":"Christopher J","non-dropping-particle":"","parse-names":false,"suffix":""}],"container-title":"The Lancet","id":"ITEM-3","issue":"10010","issued":{"date-parts":[["2015","2","20"]]},"language":"en","page":"2287-2323","title":"Global, regional, and national comparative risk assessment of 79 behavioural, environmental and occupational, and metabolic risks or clusters of risks in 188 countries, 1990–2013: a systematic analysis for the Global Burden of Disease Study 2013","type":"article-journal","volume":"386"}}],"schema":"https://github.com/citation-style-language/schema/raw/master/csl-citation.json"}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32–34</w:t>
      </w:r>
      <w:r w:rsidRPr="009664B1">
        <w:rPr>
          <w:rFonts w:ascii="Arial" w:hAnsi="Arial" w:cs="Arial"/>
        </w:rPr>
        <w:fldChar w:fldCharType="end"/>
      </w:r>
      <w:r w:rsidRPr="009664B1">
        <w:rPr>
          <w:rFonts w:ascii="Arial" w:hAnsi="Arial" w:cs="Arial"/>
        </w:rPr>
        <w:t>:</w:t>
      </w:r>
    </w:p>
    <w:p w14:paraId="7C2E93AC" w14:textId="77777777" w:rsidR="003653BF" w:rsidRPr="009664B1" w:rsidRDefault="003653BF" w:rsidP="00FC0B1B">
      <w:pPr>
        <w:pStyle w:val="NoSpacing"/>
        <w:spacing w:line="360" w:lineRule="auto"/>
        <w:rPr>
          <w:rFonts w:ascii="Arial" w:hAnsi="Arial" w:cs="Arial"/>
        </w:rPr>
      </w:pPr>
      <w:r w:rsidRPr="009664B1">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
        <w:gridCol w:w="7626"/>
        <w:gridCol w:w="699"/>
      </w:tblGrid>
      <w:tr w:rsidR="003653BF" w:rsidRPr="009664B1" w14:paraId="52572A90" w14:textId="77777777" w:rsidTr="004D5ADB">
        <w:tc>
          <w:tcPr>
            <w:tcW w:w="704" w:type="dxa"/>
          </w:tcPr>
          <w:p w14:paraId="21E42BAA" w14:textId="77777777" w:rsidR="003653BF" w:rsidRPr="009664B1" w:rsidRDefault="003653BF" w:rsidP="00FC0B1B">
            <w:pPr>
              <w:pStyle w:val="NoSpacing"/>
              <w:spacing w:line="360" w:lineRule="auto"/>
              <w:rPr>
                <w:rFonts w:ascii="Arial" w:hAnsi="Arial" w:cs="Arial"/>
              </w:rPr>
            </w:pPr>
          </w:p>
        </w:tc>
        <w:tc>
          <w:tcPr>
            <w:tcW w:w="7655" w:type="dxa"/>
          </w:tcPr>
          <w:p w14:paraId="496BEE1A" w14:textId="77777777" w:rsidR="003653BF" w:rsidRPr="009664B1" w:rsidRDefault="003653BF" w:rsidP="00FC0B1B">
            <w:pPr>
              <w:pStyle w:val="NoSpacing"/>
              <w:spacing w:line="360" w:lineRule="auto"/>
              <w:rPr>
                <w:rFonts w:ascii="Arial" w:hAnsi="Arial" w:cs="Arial"/>
              </w:rPr>
            </w:pPr>
            <m:oMathPara>
              <m:oMath>
                <m:r>
                  <w:rPr>
                    <w:rFonts w:ascii="Cambria Math" w:hAnsi="Cambria Math" w:cs="Arial"/>
                  </w:rPr>
                  <m:t>PIF=</m:t>
                </m:r>
                <m:f>
                  <m:fPr>
                    <m:ctrlPr>
                      <w:rPr>
                        <w:rFonts w:ascii="Cambria Math" w:hAnsi="Cambria Math" w:cs="Arial"/>
                        <w:i/>
                      </w:rPr>
                    </m:ctrlPr>
                  </m:fPr>
                  <m:num>
                    <m:nary>
                      <m:naryPr>
                        <m:limLoc m:val="undOvr"/>
                        <m:subHide m:val="1"/>
                        <m:supHide m:val="1"/>
                        <m:ctrlPr>
                          <w:rPr>
                            <w:rFonts w:ascii="Cambria Math" w:hAnsi="Cambria Math" w:cs="Arial"/>
                            <w:i/>
                          </w:rPr>
                        </m:ctrlPr>
                      </m:naryPr>
                      <m:sub/>
                      <m:sup/>
                      <m:e>
                        <m:r>
                          <w:rPr>
                            <w:rFonts w:ascii="Cambria Math" w:hAnsi="Cambria Math" w:cs="Arial"/>
                          </w:rPr>
                          <m:t>RR</m:t>
                        </m:r>
                        <m:d>
                          <m:dPr>
                            <m:ctrlPr>
                              <w:rPr>
                                <w:rFonts w:ascii="Cambria Math" w:hAnsi="Cambria Math" w:cs="Arial"/>
                                <w:i/>
                              </w:rPr>
                            </m:ctrlPr>
                          </m:dPr>
                          <m:e>
                            <m:r>
                              <w:rPr>
                                <w:rFonts w:ascii="Cambria Math" w:hAnsi="Cambria Math" w:cs="Arial"/>
                              </w:rPr>
                              <m:t>x</m:t>
                            </m:r>
                          </m:e>
                        </m:d>
                        <m:r>
                          <w:rPr>
                            <w:rFonts w:ascii="Cambria Math" w:hAnsi="Cambria Math" w:cs="Arial"/>
                          </w:rPr>
                          <m:t>P</m:t>
                        </m:r>
                        <m:d>
                          <m:dPr>
                            <m:ctrlPr>
                              <w:rPr>
                                <w:rFonts w:ascii="Cambria Math" w:hAnsi="Cambria Math" w:cs="Arial"/>
                                <w:i/>
                              </w:rPr>
                            </m:ctrlPr>
                          </m:dPr>
                          <m:e>
                            <m:r>
                              <w:rPr>
                                <w:rFonts w:ascii="Cambria Math" w:hAnsi="Cambria Math" w:cs="Arial"/>
                              </w:rPr>
                              <m:t>x</m:t>
                            </m:r>
                          </m:e>
                        </m:d>
                        <m:r>
                          <w:rPr>
                            <w:rFonts w:ascii="Cambria Math" w:hAnsi="Cambria Math" w:cs="Arial"/>
                          </w:rPr>
                          <m:t>dx-</m:t>
                        </m:r>
                        <m:nary>
                          <m:naryPr>
                            <m:limLoc m:val="undOvr"/>
                            <m:subHide m:val="1"/>
                            <m:supHide m:val="1"/>
                            <m:ctrlPr>
                              <w:rPr>
                                <w:rFonts w:ascii="Cambria Math" w:hAnsi="Cambria Math" w:cs="Arial"/>
                                <w:i/>
                              </w:rPr>
                            </m:ctrlPr>
                          </m:naryPr>
                          <m:sub/>
                          <m:sup/>
                          <m:e>
                            <m:r>
                              <w:rPr>
                                <w:rFonts w:ascii="Cambria Math" w:hAnsi="Cambria Math" w:cs="Arial"/>
                              </w:rPr>
                              <m:t>RR</m:t>
                            </m:r>
                            <m:d>
                              <m:dPr>
                                <m:ctrlPr>
                                  <w:rPr>
                                    <w:rFonts w:ascii="Cambria Math" w:hAnsi="Cambria Math" w:cs="Arial"/>
                                    <w:i/>
                                  </w:rPr>
                                </m:ctrlPr>
                              </m:dPr>
                              <m:e>
                                <m:r>
                                  <w:rPr>
                                    <w:rFonts w:ascii="Cambria Math" w:hAnsi="Cambria Math" w:cs="Arial"/>
                                  </w:rPr>
                                  <m:t>x</m:t>
                                </m:r>
                              </m:e>
                            </m:d>
                            <m:sSup>
                              <m:sSupPr>
                                <m:ctrlPr>
                                  <w:rPr>
                                    <w:rFonts w:ascii="Cambria Math" w:hAnsi="Cambria Math" w:cs="Arial"/>
                                    <w:i/>
                                  </w:rPr>
                                </m:ctrlPr>
                              </m:sSupPr>
                              <m:e>
                                <m:r>
                                  <w:rPr>
                                    <w:rFonts w:ascii="Cambria Math" w:hAnsi="Cambria Math" w:cs="Arial"/>
                                  </w:rPr>
                                  <m:t>P</m:t>
                                </m:r>
                              </m:e>
                              <m:sup>
                                <m:r>
                                  <w:rPr>
                                    <w:rFonts w:ascii="Cambria Math" w:hAnsi="Cambria Math" w:cs="Arial"/>
                                  </w:rPr>
                                  <m:t>'</m:t>
                                </m:r>
                              </m:sup>
                            </m:sSup>
                            <m:d>
                              <m:dPr>
                                <m:ctrlPr>
                                  <w:rPr>
                                    <w:rFonts w:ascii="Cambria Math" w:hAnsi="Cambria Math" w:cs="Arial"/>
                                    <w:i/>
                                  </w:rPr>
                                </m:ctrlPr>
                              </m:dPr>
                              <m:e>
                                <m:r>
                                  <w:rPr>
                                    <w:rFonts w:ascii="Cambria Math" w:hAnsi="Cambria Math" w:cs="Arial"/>
                                  </w:rPr>
                                  <m:t>x</m:t>
                                </m:r>
                              </m:e>
                            </m:d>
                            <m:r>
                              <w:rPr>
                                <w:rFonts w:ascii="Cambria Math" w:hAnsi="Cambria Math" w:cs="Arial"/>
                              </w:rPr>
                              <m:t>dx</m:t>
                            </m:r>
                          </m:e>
                        </m:nary>
                      </m:e>
                    </m:nary>
                  </m:num>
                  <m:den>
                    <m:nary>
                      <m:naryPr>
                        <m:limLoc m:val="undOvr"/>
                        <m:subHide m:val="1"/>
                        <m:supHide m:val="1"/>
                        <m:ctrlPr>
                          <w:rPr>
                            <w:rFonts w:ascii="Cambria Math" w:hAnsi="Cambria Math" w:cs="Arial"/>
                            <w:i/>
                          </w:rPr>
                        </m:ctrlPr>
                      </m:naryPr>
                      <m:sub/>
                      <m:sup/>
                      <m:e>
                        <m:r>
                          <w:rPr>
                            <w:rFonts w:ascii="Cambria Math" w:hAnsi="Cambria Math" w:cs="Arial"/>
                          </w:rPr>
                          <m:t>RR</m:t>
                        </m:r>
                        <m:d>
                          <m:dPr>
                            <m:ctrlPr>
                              <w:rPr>
                                <w:rFonts w:ascii="Cambria Math" w:hAnsi="Cambria Math" w:cs="Arial"/>
                                <w:i/>
                              </w:rPr>
                            </m:ctrlPr>
                          </m:dPr>
                          <m:e>
                            <m:r>
                              <w:rPr>
                                <w:rFonts w:ascii="Cambria Math" w:hAnsi="Cambria Math" w:cs="Arial"/>
                              </w:rPr>
                              <m:t>x</m:t>
                            </m:r>
                          </m:e>
                        </m:d>
                        <m:r>
                          <w:rPr>
                            <w:rFonts w:ascii="Cambria Math" w:hAnsi="Cambria Math" w:cs="Arial"/>
                          </w:rPr>
                          <m:t>P</m:t>
                        </m:r>
                        <m:d>
                          <m:dPr>
                            <m:ctrlPr>
                              <w:rPr>
                                <w:rFonts w:ascii="Cambria Math" w:hAnsi="Cambria Math" w:cs="Arial"/>
                                <w:i/>
                              </w:rPr>
                            </m:ctrlPr>
                          </m:dPr>
                          <m:e>
                            <m:r>
                              <w:rPr>
                                <w:rFonts w:ascii="Cambria Math" w:hAnsi="Cambria Math" w:cs="Arial"/>
                              </w:rPr>
                              <m:t>x</m:t>
                            </m:r>
                          </m:e>
                        </m:d>
                        <m:r>
                          <w:rPr>
                            <w:rFonts w:ascii="Cambria Math" w:hAnsi="Cambria Math" w:cs="Arial"/>
                          </w:rPr>
                          <m:t>dx</m:t>
                        </m:r>
                      </m:e>
                    </m:nary>
                  </m:den>
                </m:f>
              </m:oMath>
            </m:oMathPara>
          </w:p>
        </w:tc>
        <w:tc>
          <w:tcPr>
            <w:tcW w:w="703" w:type="dxa"/>
            <w:vAlign w:val="center"/>
          </w:tcPr>
          <w:p w14:paraId="4C9A3103" w14:textId="77777777" w:rsidR="003653BF" w:rsidRPr="009664B1" w:rsidRDefault="003653BF" w:rsidP="00FC0B1B">
            <w:pPr>
              <w:pStyle w:val="Caption"/>
              <w:keepNext/>
              <w:rPr>
                <w:rFonts w:ascii="Arial" w:hAnsi="Arial" w:cs="Arial"/>
                <w:i w:val="0"/>
              </w:rPr>
            </w:pPr>
          </w:p>
        </w:tc>
      </w:tr>
    </w:tbl>
    <w:p w14:paraId="7508B46B" w14:textId="77777777" w:rsidR="003653BF" w:rsidRPr="009664B1" w:rsidRDefault="003653BF" w:rsidP="00FC0B1B">
      <w:pPr>
        <w:pStyle w:val="NoSpacing"/>
        <w:spacing w:line="360" w:lineRule="auto"/>
        <w:rPr>
          <w:rFonts w:ascii="Arial" w:hAnsi="Arial" w:cs="Arial"/>
        </w:rPr>
      </w:pPr>
    </w:p>
    <w:p w14:paraId="69FE7277" w14:textId="01652395" w:rsidR="003653BF" w:rsidRPr="009664B1" w:rsidRDefault="003653BF" w:rsidP="00FC0B1B">
      <w:pPr>
        <w:pStyle w:val="NoSpacing"/>
        <w:spacing w:line="360" w:lineRule="auto"/>
        <w:rPr>
          <w:rFonts w:ascii="Arial" w:hAnsi="Arial" w:cs="Arial"/>
        </w:rPr>
      </w:pPr>
      <w:r w:rsidRPr="009664B1">
        <w:rPr>
          <w:rFonts w:ascii="Arial" w:hAnsi="Arial" w:cs="Arial"/>
        </w:rPr>
        <w:t xml:space="preserve">where </w:t>
      </w:r>
      <m:oMath>
        <m:r>
          <w:rPr>
            <w:rFonts w:ascii="Cambria Math" w:hAnsi="Cambria Math" w:cs="Arial"/>
          </w:rPr>
          <m:t>RR</m:t>
        </m:r>
        <m:d>
          <m:dPr>
            <m:ctrlPr>
              <w:rPr>
                <w:rFonts w:ascii="Cambria Math" w:hAnsi="Cambria Math" w:cs="Arial"/>
                <w:i/>
              </w:rPr>
            </m:ctrlPr>
          </m:dPr>
          <m:e>
            <m:r>
              <w:rPr>
                <w:rFonts w:ascii="Cambria Math" w:hAnsi="Cambria Math" w:cs="Arial"/>
              </w:rPr>
              <m:t>x</m:t>
            </m:r>
          </m:e>
        </m:d>
      </m:oMath>
      <w:r w:rsidRPr="009664B1">
        <w:rPr>
          <w:rFonts w:ascii="Arial" w:hAnsi="Arial" w:cs="Arial"/>
        </w:rPr>
        <w:t xml:space="preserve"> is the relative risk of disease for risk factor level </w:t>
      </w:r>
      <m:oMath>
        <m:r>
          <w:rPr>
            <w:rFonts w:ascii="Cambria Math" w:hAnsi="Cambria Math" w:cs="Arial"/>
          </w:rPr>
          <m:t>x</m:t>
        </m:r>
      </m:oMath>
      <w:r w:rsidRPr="009664B1">
        <w:rPr>
          <w:rFonts w:ascii="Arial" w:hAnsi="Arial" w:cs="Arial"/>
        </w:rPr>
        <w:t xml:space="preserve">, </w:t>
      </w:r>
      <m:oMath>
        <m:r>
          <w:rPr>
            <w:rFonts w:ascii="Cambria Math" w:hAnsi="Cambria Math" w:cs="Arial"/>
          </w:rPr>
          <m:t>P</m:t>
        </m:r>
        <m:d>
          <m:dPr>
            <m:ctrlPr>
              <w:rPr>
                <w:rFonts w:ascii="Cambria Math" w:hAnsi="Cambria Math" w:cs="Arial"/>
                <w:i/>
              </w:rPr>
            </m:ctrlPr>
          </m:dPr>
          <m:e>
            <m:r>
              <w:rPr>
                <w:rFonts w:ascii="Cambria Math" w:hAnsi="Cambria Math" w:cs="Arial"/>
              </w:rPr>
              <m:t>x</m:t>
            </m:r>
          </m:e>
        </m:d>
      </m:oMath>
      <w:r w:rsidRPr="009664B1">
        <w:rPr>
          <w:rFonts w:ascii="Arial" w:hAnsi="Arial" w:cs="Arial"/>
        </w:rPr>
        <w:t xml:space="preserve"> is the number of people in the population with risk factor level </w:t>
      </w:r>
      <m:oMath>
        <m:r>
          <w:rPr>
            <w:rFonts w:ascii="Cambria Math" w:hAnsi="Cambria Math" w:cs="Arial"/>
          </w:rPr>
          <m:t>x</m:t>
        </m:r>
      </m:oMath>
      <w:r w:rsidRPr="009664B1">
        <w:rPr>
          <w:rFonts w:ascii="Arial" w:hAnsi="Arial" w:cs="Arial"/>
        </w:rPr>
        <w:t xml:space="preserve"> in the baseline scenario, and </w:t>
      </w:r>
      <m:oMath>
        <m:sSup>
          <m:sSupPr>
            <m:ctrlPr>
              <w:rPr>
                <w:rFonts w:ascii="Cambria Math" w:hAnsi="Cambria Math" w:cs="Arial"/>
                <w:i/>
              </w:rPr>
            </m:ctrlPr>
          </m:sSupPr>
          <m:e>
            <m:r>
              <w:rPr>
                <w:rFonts w:ascii="Cambria Math" w:hAnsi="Cambria Math" w:cs="Arial"/>
              </w:rPr>
              <m:t>P</m:t>
            </m:r>
          </m:e>
          <m:sup>
            <m:r>
              <w:rPr>
                <w:rFonts w:ascii="Cambria Math" w:hAnsi="Cambria Math" w:cs="Arial"/>
              </w:rPr>
              <m:t>'</m:t>
            </m:r>
          </m:sup>
        </m:sSup>
        <m:d>
          <m:dPr>
            <m:ctrlPr>
              <w:rPr>
                <w:rFonts w:ascii="Cambria Math" w:hAnsi="Cambria Math" w:cs="Arial"/>
                <w:i/>
              </w:rPr>
            </m:ctrlPr>
          </m:dPr>
          <m:e>
            <m:r>
              <w:rPr>
                <w:rFonts w:ascii="Cambria Math" w:hAnsi="Cambria Math" w:cs="Arial"/>
              </w:rPr>
              <m:t>x</m:t>
            </m:r>
          </m:e>
        </m:d>
      </m:oMath>
      <w:r w:rsidRPr="009664B1">
        <w:rPr>
          <w:rFonts w:ascii="Arial" w:hAnsi="Arial" w:cs="Arial"/>
        </w:rPr>
        <w:t xml:space="preserve"> is the number of people in the population with risk factor level </w:t>
      </w:r>
      <m:oMath>
        <m:r>
          <w:rPr>
            <w:rFonts w:ascii="Cambria Math" w:hAnsi="Cambria Math" w:cs="Arial"/>
          </w:rPr>
          <m:t>x</m:t>
        </m:r>
      </m:oMath>
      <w:r w:rsidRPr="009664B1">
        <w:rPr>
          <w:rFonts w:ascii="Arial" w:hAnsi="Arial" w:cs="Arial"/>
        </w:rPr>
        <w:t xml:space="preserve"> in the counterfactual scenario. We assumed that changes in relative risks follow a dose-response relationship,</w:t>
      </w:r>
      <w:r w:rsidRPr="009664B1">
        <w:rPr>
          <w:rFonts w:ascii="Arial" w:hAnsi="Arial" w:cs="Arial"/>
        </w:rPr>
        <w:fldChar w:fldCharType="begin" w:fldLock="1"/>
      </w:r>
      <w:r w:rsidR="00935615">
        <w:rPr>
          <w:rFonts w:ascii="Arial" w:hAnsi="Arial" w:cs="Arial"/>
        </w:rPr>
        <w:instrText xml:space="preserve"> ADDIN ZOTERO_ITEM CSL_CITATION {"citationID":"NFz5gTh8","properties":{"formattedCitation":"\\super 33\\nosupersub{}","plainCitation":"33","noteIndex":0},"citationItems":[{"id":"XSX8F4tB/UQ1Yu57Q","uris":["http://www.mendeley.com/documents/?uuid=35b14c96-27f0-4892-a664-c378b02a9729",["http://www.mendeley.com/documents/?uuid=35b14c96-27f0-4892-a664-c378b02a9729"]],"itemData":{"DOI":"10.1016/S0140-6736(12)61766-8","ISSN":"01406736","author":[{"dropping-particle":"","family":"Lim","given":"Stephen S","non-dropping-particle":"","parse-names":false,"suffix":""},{"dropping-particle":"","family":"Vos","given":"Theo","non-dropping-particle":"","parse-names":false,"suffix":""},{"dropping-particle":"","family":"Flaxman","given":"Abraham D","non-dropping-particle":"","parse-names":false,"suffix":""},{"dropping-particle":"","family":"Danaei","given":"Goodarz","non-dropping-particle":"","parse-names":false,"suffix":""},{"dropping-particle":"","family":"Shibuya","given":"Kenji","non-dropping-particle":"","parse-names":false,"suffix":""},{"dropping-particle":"","family":"Adair-Rohani","given":"Heather","non-dropping-particle":"","parse-names":false,"suffix":""},{"dropping-particle":"","family":"AlMazroa","given":"Mohammad A","non-dropping-particle":"","parse-names":false,"suffix":""},{"dropping-particle":"","family":"Amann","given":"Markus","non-dropping-particle":"","parse-names":false,"suffix":""},{"dropping-particle":"","family":"Anderson","given":"H Ross","non-dropping-particle":"","parse-names":false,"suffix":""},{"dropping-particle":"","family":"Andrews","given":"Kathryn G","non-dropping-particle":"","parse-names":false,"suffix":""},{"dropping-particle":"","family":"Aryee","given":"Martin","non-dropping-particle":"","parse-names":false,"suffix":""},{"dropping-particle":"","family":"Atkinson","given":"Charles","non-dropping-particle":"","parse-names":false,"suffix":""},{"dropping-particle":"","family":"Bacchus","given":"Loraine J","non-dropping-particle":"","parse-names":false,"suffix":""},{"dropping-particle":"","family":"Bahalim","given":"Adil N","non-dropping-particle":"","parse-names":false,"suffix":""},{"dropping-particle":"","family":"Balakrishnan","given":"Kalpana","non-dropping-particle":"","parse-names":false,"suffix":""},{"dropping-particle":"","family":"Balmes","given":"John","non-dropping-particle":"","parse-names":false,"suffix":""},{"dropping-particle":"","family":"Barker-Collo","given":"Suzanne","non-dropping-particle":"","parse-names":false,"suffix":""},{"dropping-particle":"","family":"Baxter","given":"Amanda","non-dropping-particle":"","parse-names":false,"suffix":""},{"dropping-particle":"","family":"Bell","given":"Michelle L","non-dropping-particle":"","parse-names":false,"suffix":""},{"dropping-particle":"","family":"Blore","given":"Jed D","non-dropping-particle":"","parse-names":false,"suffix":""},{"dropping-particle":"","family":"Blyth","given":"Fiona","non-dropping-particle":"","parse-names":false,"suffix":""},{"dropping-particle":"","family":"Bonner","given":"Carissa","non-dropping-particle":"","parse-names":false,"suffix":""},{"dropping-particle":"","family":"Borges","given":"Guilherme","non-dropping-particle":"","parse-names":false,"suffix":""},{"dropping-particle":"","family":"Bourne","given":"Rupert","non-dropping-particle":"","parse-names":false,"suffix":""},{"dropping-particle":"","family":"Boussinesq","given":"Michel","non-dropping-particle":"","parse-names":false,"suffix":""},{"dropping-particle":"","family":"Brauer","given":"Michael","non-dropping-particle":"","parse-names":false,"suffix":""},{"dropping-particle":"","family":"Brooks","given":"Peter","non-dropping-particle":"","parse-names":false,"suffix":""},{"dropping-particle":"","family":"Bruce","given":"Nigel G","non-dropping-particle":"","parse-names":false,"suffix":""},{"dropping-particle":"","family":"Brunekreef","given":"Bert","non-dropping-particle":"","parse-names":false,"suffix":""},{"dropping-particle":"","family":"Bryan-Hancock","given":"Claire","non-dropping-particle":"","parse-names":false,"suffix":""},{"dropping-particle":"","family":"Bucello","given":"Chiara","non-dropping-particle":"","parse-names":false,"suffix":""},{"dropping-particle":"","family":"Buchbinder","given":"Rachelle","non-dropping-particle":"","parse-names":false,"suffix":""},{"dropping-particle":"","family":"Bull","given":"Fiona","non-dropping-particle":"","parse-names":false,"suffix":""},{"dropping-particle":"","family":"Burnett","given":"Richard T","non-dropping-particle":"","parse-names":false,"suffix":""},{"dropping-particle":"","family":"Byers","given":"Tim E","non-dropping-particle":"","parse-names":false,"suffix":""},{"dropping-particle":"","family":"Calabria","given":"Bianca","non-dropping-particle":"","parse-names":false,"suffix":""},{"dropping-particle":"","family":"Carapetis","given":"Jonathan","non-dropping-particle":"","parse-names":false,"suffix":""},{"dropping-particle":"","family":"Carnahan","given":"Emily","non-dropping-particle":"","parse-names":false,"suffix":""},{"dropping-particle":"","family":"Chafe","given":"Zoe","non-dropping-particle":"","parse-names":false,"suffix":""},{"dropping-particle":"","family":"Charlson","given":"Fiona","non-dropping-particle":"","parse-names":false,"suffix":""},{"dropping-particle":"","family":"Chen","given":"Honglei","non-dropping-particle":"","parse-names":false,"suffix":""},{"dropping-particle":"","family":"Chen","given":"Jian Shen","non-dropping-particle":"","parse-names":false,"suffix":""},{"dropping-particle":"","family":"Cheng","given":"Andrew Tai-Ann","non-dropping-particle":"","parse-names":false,"suffix":""},{"dropping-particle":"","family":"Child","given":"Jennifer Christine","non-dropping-particle":"","parse-names":false,"suffix":""},{"dropping-particle":"","family":"Cohen","given":"Aaron","non-dropping-particle":"","parse-names":false,"suffix":""},{"dropping-particle":"","family":"Colson","given":"K Ellicott","non-dropping-particle":"","parse-names":false,"suffix":""},{"dropping-particle":"","family":"Cowie","given":"Benjamin C","non-dropping-particle":"","parse-names":false,"suffix":""},{"dropping-particle":"","family":"Darby","given":"Sarah","non-dropping-particle":"","parse-names":false,"suffix":""},{"dropping-particle":"","family":"Darling","given":"Susan","non-dropping-particle":"","parse-names":false,"suffix":""},{"dropping-particle":"","family":"Davis","given":"Adrian","non-dropping-particle":"","parse-names":false,"suffix":""},{"dropping-particle":"","family":"Degenhardt","given":"Louisa","non-dropping-particle":"","parse-names":false,"suffix":""},{"dropping-particle":"","family":"Dentener","given":"Frank","non-dropping-particle":"","parse-names":false,"suffix":""},{"dropping-particle":"","family":"Jarlais","given":"Don C","non-dropping-particle":"Des","parse-names":false,"suffix":""},{"dropping-particle":"","family":"Devries","given":"Karen","non-dropping-particle":"","parse-names":false,"suffix":""},{"dropping-particle":"","family":"Dherani","given":"Mukesh","non-dropping-particle":"","parse-names":false,"suffix":""},{"dropping-particle":"","family":"Ding","given":"Eric L","non-dropping-particle":"","parse-names":false,"suffix":""},{"dropping-particle":"","family":"Dorsey","given":"E Ray","non-dropping-particle":"","parse-names":false,"suffix":""},{"dropping-particle":"","family":"Driscoll","given":"Tim","non-dropping-particle":"","parse-names":false,"suffix":""},{"dropping-particle":"","family":"Edmond","given":"Karen","non-dropping-particle":"","parse-names":false,"suffix":""},{"dropping-particle":"","family":"Ali","given":"Suad Eltahir","non-dropping-particle":"","parse-names":false,"suffix":""},{"dropping-particle":"","family":"Engell","given":"Rebecca E","non-dropping-particle":"","parse-names":false,"suffix":""},{"dropping-particle":"","family":"Erwin","given":"Patricia J","non-dropping-particle":"","parse-names":false,"suffix":""},{"dropping-particle":"","family":"Fahimi","given":"Saman","non-dropping-particle":"","parse-names":false,"suffix":""},{"dropping-particle":"","family":"Falder","given":"Gail","non-dropping-particle":"","parse-names":false,"suffix":""},{"dropping-particle":"","family":"Farzadfar","given":"Farshad","non-dropping-particle":"","parse-names":false,"suffix":""},{"dropping-particle":"","family":"Ferrari","given":"Alize","non-dropping-particle":"","parse-names":false,"suffix":""},{"dropping-particle":"","family":"Finucane","given":"Mariel M","non-dropping-particle":"","parse-names":false,"suffix":""},{"dropping-particle":"","family":"Flaxman","given":"Seth","non-dropping-particle":"","parse-names":false,"suffix":""},{"dropping-particle":"","family":"Fowkes","given":"Francis Gerry R","non-dropping-particle":"","parse-names":false,"suffix":""},{"dropping-particle":"","family":"Freedman","given":"Greg","non-dropping-particle":"","parse-names":false,"suffix":""},{"dropping-particle":"","family":"Freeman","given":"Michael K","non-dropping-particle":"","parse-names":false,"suffix":""},{"dropping-particle":"","family":"Gakidou","given":"Emmanuela","non-dropping-particle":"","parse-names":false,"suffix":""},{"dropping-particle":"","family":"Ghosh","given":"Santu","non-dropping-particle":"","parse-names":false,"suffix":""},{"dropping-particle":"","family":"Giovannucci","given":"Edward","non-dropping-particle":"","parse-names":false,"suffix":""},{"dropping-particle":"","family":"Gmel","given":"Gerhard","non-dropping-particle":"","parse-names":false,"suffix":""},{"dropping-particle":"","family":"Graham","given":"Kathryn","non-dropping-particle":"","parse-names":false,"suffix":""},{"dropping-particle":"","family":"Grainger","given":"Rebecca","non-dropping-particle":"","parse-names":false,"suffix":""},{"dropping-particle":"","family":"Grant","given":"Bridget","non-dropping-particle":"","parse-names":false,"suffix":""},{"dropping-particle":"","family":"Gunnell","given":"David","non-dropping-particle":"","parse-names":false,"suffix":""},{"dropping-particle":"","family":"Gutierrez","given":"Hialy R","non-dropping-particle":"","parse-names":false,"suffix":""},{"dropping-particle":"","family":"Hall","given":"Wayne","non-dropping-particle":"","parse-names":false,"suffix":""},{"dropping-particle":"","family":"Hoek","given":"Hans W","non-dropping-particle":"","parse-names":false,"suffix":""},{"dropping-particle":"","family":"Hogan","given":"Anthony","non-dropping-particle":"","parse-names":false,"suffix":""},{"dropping-particle":"","family":"Hosgood","given":"H Dean","non-dropping-particle":"","parse-names":false,"suffix":""},{"dropping-particle":"","family":"Hoy","given":"Damian","non-dropping-particle":"","parse-names":false,"suffix":""},{"dropping-particle":"","family":"Hu","given":"Howard","non-dropping-particle":"","parse-names":false,"suffix":""},{"dropping-particle":"","family":"Hubbell","given":"Bryan J","non-dropping-particle":"","parse-names":false,"suffix":""},{"dropping-particle":"","family":"Hutchings","given":"Sally J","non-dropping-particle":"","parse-names":false,"suffix":""},{"dropping-particle":"","family":"Ibeanusi","given":"Sydney E","non-dropping-particle":"","parse-names":false,"suffix":""},{"dropping-particle":"","family":"Jacklyn","given":"Gemma L","non-dropping-particle":"","parse-names":false,"suffix":""},{"dropping-particle":"","family":"Jasrasaria","given":"Rashmi","non-dropping-particle":"","parse-names":false,"suffix":""},{"dropping-particle":"","family":"Jonas","given":"Jost B","non-dropping-particle":"","parse-names":false,"suffix":""},{"dropping-particle":"","family":"Kan","given":"Haidong","non-dropping-particle":"","parse-names":false,"suffix":""},{"dropping-particle":"","family":"Kanis","given":"John A","non-dropping-particle":"","parse-names":false,"suffix":""},{"dropping-particle":"","family":"Kassebaum","given":"Nicholas","non-dropping-particle":"","parse-names":false,"suffix":""},{"dropping-particle":"","family":"Kawakami","given":"Norito","non-dropping-particle":"","parse-names":false,"suffix":""},{"dropping-particle":"","family":"Khang","given":"Young-Ho","non-dropping-particle":"","parse-names":false,"suffix":""},{"dropping-particle":"","family":"Khatibzadeh","given":"Shahab","non-dropping-particle":"","parse-names":false,"suffix":""},{"dropping-particle":"","family":"Khoo","given":"Jon-Paul","non-dropping-particle":"","parse-names":false,"suffix":""},{"dropping-particle":"","family":"Kok","given":"Cindy","non-dropping-particle":"","parse-names":false,"suffix":""},{"dropping-particle":"","family":"Laden","given":"Francine","non-dropping-particle":"","parse-names":false,"suffix":""},{"dropping-particle":"","family":"Lalloo","given":"Ratilal","non-dropping-particle":"","parse-names":false,"suffix":""},{"dropping-particle":"","family":"Lan","given":"Qing","non-dropping-particle":"","parse-names":false,"suffix":""},{"dropping-particle":"","family":"Lathlean","given":"Tim","non-dropping-particle":"","parse-names":false,"suffix":""},{"dropping-particle":"","family":"Leasher","given":"Janet L","non-dropping-particle":"","parse-names":false,"suffix":""},{"dropping-particle":"","family":"Leigh","given":"James","non-dropping-particle":"","parse-names":false,"suffix":""},{"dropping-particle":"","family":"Li","given":"Yang","non-dropping-particle":"","parse-names":false,"suffix":""},{"dropping-particle":"","family":"Lin","given":"John Kent","non-dropping-particle":"","parse-names":false,"suffix":""},{"dropping-particle":"","family":"Lipshultz","given":"Steven E","non-dropping-particle":"","parse-names":false,"suffix":""},{"dropping-particle":"","family":"London","given":"Stephanie","non-dropping-particle":"","parse-names":false,"suffix":""},{"dropping-particle":"","family":"Lozano","given":"Rafael","non-dropping-particle":"","parse-names":false,"suffix":""},{"dropping-particle":"","family":"Lu","given":"Yuan","non-dropping-particle":"","parse-names":false,"suffix":""},{"dropping-particle":"","family":"Mak","given":"Joelle","non-dropping-particle":"","parse-names":false,"suffix":""},{"dropping-particle":"","family":"Malekzadeh","given":"Reza","non-dropping-particle":"","parse-names":false,"suffix":""},{"dropping-particle":"","family":"Mallinger","given":"Leslie","non-dropping-particle":"","parse-names":false,"suffix":""},{"dropping-particle":"","family":"Marcenes","given":"Wagner","non-dropping-particle":"","parse-names":false,"suffix":""},{"dropping-particle":"","family":"March","given":"Lyn","non-dropping-particle":"","parse-names":false,"suffix":""},{"dropping-particle":"","family":"Marks","given":"Robin","non-dropping-particle":"","parse-names":false,"suffix":""},{"dropping-particle":"","family":"Martin","given":"Randall","non-dropping-particle":"","parse-names":false,"suffix":""},{"dropping-particle":"","family":"McGale","given":"Paul","non-dropping-particle":"","parse-names":false,"suffix":""},{"dropping-particle":"","family":"McGrath","given":"John","non-dropping-particle":"","parse-names":false,"suffix":""},{"dropping-particle":"","family":"Mehta","given":"Sumi","non-dropping-particle":"","parse-names":false,"suffix":""},{"dropping-particle":"","family":"Memish","given":"Ziad A","non-dropping-particle":"","parse-names":false,"suffix":""},{"dropping-particle":"","family":"Mensah","given":"George A","non-dropping-particle":"","parse-names":false,"suffix":""},{"dropping-particle":"","family":"Merriman","given":"Tony R","non-dropping-particle":"","parse-names":false,"suffix":""},{"dropping-particle":"","family":"Micha","given":"Renata","non-dropping-particle":"","parse-names":false,"suffix":""},{"dropping-particle":"","family":"Michaud","given":"Catherine","non-dropping-particle":"","parse-names":false,"suffix":""},{"dropping-particle":"","family":"Mishra","given":"Vinod","non-dropping-particle":"","parse-names":false,"suffix":""},{"dropping-particle":"","family":"Hanafiah","given":"Khayriyyah Mohd","non-dropping-particle":"","parse-names":false,"suffix":""},{"dropping-particle":"","family":"Mokdad","given":"Ali A","non-dropping-particle":"","parse-names":false,"suffix":""},{"dropping-particle":"","family":"Morawska","given":"Lidia","non-dropping-particle":"","parse-names":false,"suffix":""},{"dropping-particle":"","family":"Mozaffarian","given":"Dariush","non-dropping-particle":"","parse-names":false,"suffix":""},{"dropping-particle":"","family":"Murphy","given":"Tasha","non-dropping-particle":"","parse-names":false,"suffix":""},{"dropping-particle":"","family":"Naghavi","given":"Mohsen","non-dropping-particle":"","parse-names":false,"suffix":""},{"dropping-particle":"","family":"Neal","given":"Bruce","non-dropping-particle":"","parse-names":false,"suffix":""},{"dropping-particle":"","family":"Nelson","given":"Paul K","non-dropping-particle":"","parse-names":false,"suffix":""},{"dropping-particle":"","family":"Nolla","given":"Joan Miquel","non-dropping-particle":"","parse-names":false,"suffix":""},{"dropping-particle":"","family":"Norman","given":"Rosana","non-dropping-particle":"","parse-names":false,"suffix":""},{"dropping-particle":"","family":"Olives","given":"Casey","non-dropping-particle":"","parse-names":false,"suffix":""},{"dropping-particle":"","family":"Omer","given":"Saad B","non-dropping-particle":"","parse-names":false,"suffix":""},{"dropping-particle":"","family":"Orchard","given":"Jessica","non-dropping-particle":"","parse-names":false,"suffix":""},{"dropping-particle":"","family":"Osborne","given":"Richard","non-dropping-particle":"","parse-names":false,"suffix":""},{"dropping-particle":"","family":"Ostro","given":"Bart","non-dropping-particle":"","parse-names":false,"suffix":""},{"dropping-particle":"","family":"Page","given":"Andrew","non-dropping-particle":"","parse-names":false,"suffix":""},{"dropping-particle":"","family":"Pandey","given":"Kiran D","non-dropping-particle":"","parse-names":false,"suffix":""},{"dropping-particle":"","family":"Parry","given":"Charles D H","non-dropping-particle":"","parse-names":false,"suffix":""},{"dropping-particle":"","family":"Passmore","given":"Erin","non-dropping-particle":"","parse-names":false,"suffix":""},{"dropping-particle":"","family":"Patra","given":"Jayadeep","non-dropping-particle":"","parse-names":false,"suffix":""},{"dropping-particle":"","family":"Pearce","given":"Neil","non-dropping-particle":"","parse-names":false,"suffix":""},{"dropping-particle":"","family":"Pelizzari","given":"Pamela M","non-dropping-particle":"","parse-names":false,"suffix":""},{"dropping-particle":"","family":"Petzold","given":"Max","non-dropping-particle":"","parse-names":false,"suffix":""},{"dropping-particle":"","family":"Phillips","given":"Michael R","non-dropping-particle":"","parse-names":false,"suffix":""},{"dropping-particle":"","family":"Pope","given":"Dan","non-dropping-particle":"","parse-names":false,"suffix":""},{"dropping-particle":"","family":"Pope","given":"C Arden","non-dropping-particle":"","parse-names":false,"suffix":""},{"dropping-particle":"","family":"Powles","given":"John","non-dropping-particle":"","parse-names":false,"suffix":""},{"dropping-particle":"","family":"Rao","given":"Mayuree","non-dropping-particle":"","parse-names":false,"suffix":""},{"dropping-particle":"","family":"Razavi","given":"Homie","non-dropping-particle":"","parse-names":false,"suffix":""},{"dropping-particle":"","family":"Rehfuess","given":"Eva A","non-dropping-particle":"","parse-names":false,"suffix":""},{"dropping-particle":"","family":"Rehm","given":"Jürgen T","non-dropping-particle":"","parse-names":false,"suffix":""},{"dropping-particle":"","family":"Ritz","given":"Beate","non-dropping-particle":"","parse-names":false,"suffix":""},{"dropping-particle":"","family":"Rivara","given":"Frederick P","non-dropping-particle":"","parse-names":false,"suffix":""},{"dropping-particle":"","family":"Roberts","given":"Thomas","non-dropping-particle":"","parse-names":false,"suffix":""},{"dropping-particle":"","family":"Robinson","given":"Carolyn","non-dropping-particle":"","parse-names":false,"suffix":""},{"dropping-particle":"","family":"Rodriguez-Portales","given":"Jose A","non-dropping-particle":"","parse-names":false,"suffix":""},{"dropping-particle":"","family":"Romieu","given":"Isabelle","non-dropping-particle":"","parse-names":false,"suffix":""},{"dropping-particle":"","family":"Room","given":"Robin","non-dropping-particle":"","parse-names":false,"suffix":""},{"dropping-particle":"","family":"Rosenfeld","given":"Lisa C","non-dropping-particle":"","parse-names":false,"suffix":""},{"dropping-particle":"","family":"Roy","given":"Ananya","non-dropping-particle":"","parse-names":false,"suffix":""},{"dropping-particle":"","family":"Rushton","given":"Lesley","non-dropping-particle":"","parse-names":false,"suffix":""},{"dropping-particle":"","family":"Salomon","given":"Joshua A","non-dropping-particle":"","parse-names":false,"suffix":""},{"dropping-particle":"","family":"Sampson","given":"Uchechukwu","non-dropping-particle":"","parse-names":false,"suffix":""},{"dropping-particle":"","family":"Sanchez-Riera","given":"Lidia","non-dropping-particle":"","parse-names":false,"suffix":""},{"dropping-particle":"","family":"Sanman","given":"Ella","non-dropping-particle":"","parse-names":false,"suffix":""},{"dropping-particle":"","family":"Sapkota","given":"Amir","non-dropping-particle":"","parse-names":false,"suffix":""},{"dropping-particle":"","family":"Seedat","given":"Soraya","non-dropping-particle":"","parse-names":false,"suffix":""},{"dropping-particle":"","family":"Shi","given":"Peilin","non-dropping-particle":"","parse-names":false,"suffix":""},{"dropping-particle":"","family":"Shield","given":"Kevin","non-dropping-particle":"","parse-names":false,"suffix":""},{"dropping-particle":"","family":"Shivakoti","given":"Rupak","non-dropping-particle":"","parse-names":false,"suffix":""},{"dropping-particle":"","family":"Singh","given":"Gitanjali M","non-dropping-particle":"","parse-names":false,"suffix":""},{"dropping-particle":"","family":"Sleet","given":"David A","non-dropping-particle":"","parse-names":false,"suffix":""},{"dropping-particle":"","family":"Smith","given":"Emma","non-dropping-particle":"","parse-names":false,"suffix":""},{"dropping-particle":"","family":"Smith","given":"Kirk R","non-dropping-particle":"","parse-names":false,"suffix":""},{"dropping-particle":"","family":"Stapelberg","given":"Nicolas J C","non-dropping-particle":"","parse-names":false,"suffix":""},{"dropping-particle":"","family":"Steenland","given":"Kyle","non-dropping-particle":"","parse-names":false,"suffix":""},{"dropping-particle":"","family":"Stöckl","given":"Heidi","non-dropping-particle":"","parse-names":false,"suffix":""},{"dropping-particle":"","family":"Stovner","given":"Lars Jacob","non-dropping-particle":"","parse-names":false,"suffix":""},{"dropping-particle":"","family":"Straif","given":"Kurt","non-dropping-particle":"","parse-names":false,"suffix":""},{"dropping-particle":"","family":"Straney","given":"Lahn","non-dropping-particle":"","parse-names":false,"suffix":""},{"dropping-particle":"","family":"Thurston","given":"George D","non-dropping-particle":"","parse-names":false,"suffix":""},{"dropping-particle":"","family":"Tran","given":"Jimmy H","non-dropping-particle":"","parse-names":false,"suffix":""},{"dropping-particle":"","family":"Dingenen","given":"Rita","non-dropping-particle":"Van","parse-names":false,"suffix":""},{"dropping-particle":"","family":"Donkelaar","given":"Aaron","non-dropping-particle":"van","parse-names":false,"suffix":""},{"dropping-particle":"","family":"Veerman","given":"J Lennert","non-dropping-particle":"","parse-names":false,"suffix":""},{"dropping-particle":"","family":"Vijayakumar","given":"Lakshmi","non-dropping-particle":"","parse-names":false,"suffix":""},{"dropping-particle":"","family":"Weintraub","given":"Robert","non-dropping-particle":"","parse-names":false,"suffix":""},{"dropping-particle":"","family":"Weissman","given":"Myrna M","non-dropping-particle":"","parse-names":false,"suffix":""},{"dropping-particle":"","family":"White","given":"Richard A","non-dropping-particle":"","parse-names":false,"suffix":""},{"dropping-particle":"","family":"Whiteford","given":"Harvey","non-dropping-particle":"","parse-names":false,"suffix":""},{"dropping-particle":"","family":"Wiersma","given":"Steven T","non-dropping-particle":"","parse-names":false,"suffix":""},{"dropping-particle":"","family":"Wilkinson","given":"James D","non-dropping-particle":"","parse-names":false,"suffix":""},{"dropping-particle":"","family":"Williams","given":"Hywel C","non-dropping-particle":"","parse-names":false,"suffix":""},{"dropping-particle":"","family":"Williams","given":"Warwick","non-dropping-particle":"","parse-names":false,"suffix":""},{"dropping-particle":"","family":"Wilson","given":"Nicholas","non-dropping-particle":"","parse-names":false,"suffix":""},{"dropping-particle":"","family":"Woolf","given":"Anthony D","non-dropping-particle":"","parse-names":false,"suffix":""},{"dropping-particle":"","family":"Yip","given":"Paul","non-dropping-particle":"","parse-names":false,"suffix":""},{"dropping-particle":"","family":"Zielinski","given":"Jan M","non-dropping-particle":"","parse-names":false,"suffix":""},{"dropping-particle":"","family":"Lopez","given":"Alan D","non-dropping-particle":"","parse-names":false,"suffix":""},{"dropping-particle":"","family":"Murray","given":"Christopher J L","non-dropping-particle":"","parse-names":false,"suffix":""},{"dropping-particle":"","family":"Ezzati","given":"Majid","non-dropping-particle":"","parse-names":false,"suffix":""}],"container-title":"The Lancet","id":"ITEM-1","issue":"9859","issued":{"date-parts":[["2012","8","29"]]},"language":"en","page":"2224-2260","title":"A comparative risk assessment of burden of disease and injury attributable to 67 risk factors and risk factor clusters in 21 regions, 1990–2010: a systematic analysis for the Global Burden of Disease Study 2010","type":"article-journal","volume":"380"}}],"schema":"https://github.com/citation-style-language/schema/raw/master/csl-citation.json"}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33</w:t>
      </w:r>
      <w:r w:rsidRPr="009664B1">
        <w:rPr>
          <w:rFonts w:ascii="Arial" w:hAnsi="Arial" w:cs="Arial"/>
        </w:rPr>
        <w:fldChar w:fldCharType="end"/>
      </w:r>
      <w:r w:rsidRPr="009664B1">
        <w:rPr>
          <w:rFonts w:ascii="Arial" w:hAnsi="Arial" w:cs="Arial"/>
        </w:rPr>
        <w:t xml:space="preserve"> and that PIFs combine multiplicatively,</w:t>
      </w:r>
      <w:r w:rsidRPr="009664B1">
        <w:rPr>
          <w:rFonts w:ascii="Arial" w:hAnsi="Arial" w:cs="Arial"/>
          <w:lang w:val="fr-CH"/>
        </w:rPr>
        <w:t xml:space="preserve"> i.e. </w:t>
      </w:r>
      <m:oMath>
        <m:r>
          <w:rPr>
            <w:rFonts w:ascii="Cambria Math" w:hAnsi="Cambria Math" w:cs="Arial"/>
          </w:rPr>
          <m:t>PIF</m:t>
        </m:r>
        <m:r>
          <w:rPr>
            <w:rFonts w:ascii="Cambria Math" w:hAnsi="Cambria Math" w:cs="Arial"/>
            <w:lang w:val="fr-CH"/>
          </w:rPr>
          <m:t>=1-</m:t>
        </m:r>
        <m:nary>
          <m:naryPr>
            <m:chr m:val="∏"/>
            <m:limLoc m:val="subSup"/>
            <m:supHide m:val="1"/>
            <m:ctrlPr>
              <w:rPr>
                <w:rFonts w:ascii="Cambria Math" w:hAnsi="Cambria Math" w:cs="Arial"/>
                <w:i/>
              </w:rPr>
            </m:ctrlPr>
          </m:naryPr>
          <m:sub>
            <m:r>
              <w:rPr>
                <w:rFonts w:ascii="Cambria Math" w:hAnsi="Cambria Math" w:cs="Arial"/>
              </w:rPr>
              <m:t>i</m:t>
            </m:r>
          </m:sub>
          <m:sup/>
          <m:e>
            <m:r>
              <w:rPr>
                <w:rFonts w:ascii="Cambria Math" w:hAnsi="Cambria Math" w:cs="Arial"/>
                <w:lang w:val="fr-CH"/>
              </w:rPr>
              <m:t>(1-</m:t>
            </m:r>
            <m:r>
              <w:rPr>
                <w:rFonts w:ascii="Cambria Math" w:hAnsi="Cambria Math" w:cs="Arial"/>
              </w:rPr>
              <m:t>PI</m:t>
            </m:r>
            <m:sSub>
              <m:sSubPr>
                <m:ctrlPr>
                  <w:rPr>
                    <w:rFonts w:ascii="Cambria Math" w:hAnsi="Cambria Math" w:cs="Arial"/>
                    <w:i/>
                  </w:rPr>
                </m:ctrlPr>
              </m:sSubPr>
              <m:e>
                <m:r>
                  <w:rPr>
                    <w:rFonts w:ascii="Cambria Math" w:hAnsi="Cambria Math" w:cs="Arial"/>
                  </w:rPr>
                  <m:t>F</m:t>
                </m:r>
              </m:e>
              <m:sub>
                <m:r>
                  <w:rPr>
                    <w:rFonts w:ascii="Cambria Math" w:hAnsi="Cambria Math" w:cs="Arial"/>
                  </w:rPr>
                  <m:t>i</m:t>
                </m:r>
              </m:sub>
            </m:sSub>
            <m:r>
              <w:rPr>
                <w:rFonts w:ascii="Cambria Math" w:hAnsi="Cambria Math" w:cs="Arial"/>
                <w:lang w:val="fr-CH"/>
              </w:rPr>
              <m:t>)</m:t>
            </m:r>
          </m:e>
        </m:nary>
      </m:oMath>
      <w:r w:rsidRPr="009664B1">
        <w:rPr>
          <w:rFonts w:ascii="Arial" w:hAnsi="Arial" w:cs="Arial"/>
          <w:lang w:val="fr-CH"/>
        </w:rPr>
        <w:t xml:space="preserve"> </w:t>
      </w:r>
      <w:r w:rsidRPr="009664B1">
        <w:rPr>
          <w:rFonts w:ascii="Arial" w:hAnsi="Arial" w:cs="Arial"/>
        </w:rPr>
        <w:t xml:space="preserve">where the </w:t>
      </w:r>
      <w:r w:rsidRPr="009664B1">
        <w:rPr>
          <w:rFonts w:ascii="Arial" w:hAnsi="Arial" w:cs="Arial"/>
          <w:i/>
        </w:rPr>
        <w:t>i</w:t>
      </w:r>
      <w:r w:rsidRPr="009664B1">
        <w:rPr>
          <w:rFonts w:ascii="Arial" w:hAnsi="Arial" w:cs="Arial"/>
        </w:rPr>
        <w:t>’s denote independent risk factors.</w:t>
      </w:r>
      <w:r w:rsidRPr="009664B1">
        <w:rPr>
          <w:rFonts w:ascii="Arial" w:hAnsi="Arial" w:cs="Arial"/>
        </w:rPr>
        <w:fldChar w:fldCharType="begin" w:fldLock="1"/>
      </w:r>
      <w:r w:rsidR="00935615">
        <w:rPr>
          <w:rFonts w:ascii="Arial" w:hAnsi="Arial" w:cs="Arial"/>
        </w:rPr>
        <w:instrText xml:space="preserve"> ADDIN ZOTERO_ITEM CSL_CITATION {"citationID":"8C45w9Pb","properties":{"formattedCitation":"\\super 33,35\\nosupersub{}","plainCitation":"33,35","noteIndex":0},"citationItems":[{"id":"XSX8F4tB/8kOrc7K0","uris":["http://www.mendeley.com/documents/?uuid=3fcd0a62-4ba9-403b-9c72-101820d00d54",["http://www.mendeley.com/documents/?uuid=3fcd0a62-4ba9-403b-9c72-101820d00d54"]],"itemData":{"DOI":"10.1016/S0140-6736(12)61899-6","ISSN":"1474-547X","author":[{"dropping-particle":"","family":"Murray","given":"Christopher J L","non-dropping-particle":"","parse-names":false,"suffix":""},{"dropping-particle":"","family":"Ezzati","given":"Majid","non-dropping-particle":"","parse-names":false,"suffix":""},{"dropping-particle":"","family":"Flaxman","given":"Abraham D","non-dropping-particle":"","parse-names":false,"suffix":""},{"dropping-particle":"","family":"Lim","given":"Stephen","non-dropping-particle":"","parse-names":false,"suffix":""},{"dropping-particle":"","family":"Lozano","given":"Rafael","non-dropping-particle":"","parse-names":false,"suffix":""},{"dropping-particle":"","family":"Michaud","given":"Catherine","non-dropping-particle":"","parse-names":false,"suffix":""},{"dropping-particle":"","family":"Naghavi","given":"Mohsen","non-dropping-particle":"","parse-names":false,"suffix":""},{"dropping-particle":"","family":"Salomon","given":"Joshua A","non-dropping-particle":"","parse-names":false,"suffix":""},{"dropping-particle":"","family":"Shibuya","given":"Kenji","non-dropping-particle":"","parse-names":false,"suffix":""},{"dropping-particle":"","family":"Vos","given":"Theo","non-dropping-particle":"","parse-names":false,"suffix":""},{"dropping-particle":"","family":"Wikler","given":"Daniel","non-dropping-particle":"","parse-names":false,"suffix":""},{"dropping-particle":"","family":"Lopez","given":"Alan D","non-dropping-particle":"","parse-names":false,"suffix":""}],"container-title":"Lancet","id":"ITEM-1","issue":"9859","issued":{"date-parts":[["2012"]]},"language":"eng","page":"2063-2066","title":"GBD 2010: design, definitions, and metrics","type":"article-journal","volume":"380"}},{"id":"XSX8F4tB/UQ1Yu57Q","uris":["http://www.mendeley.com/documents/?uuid=35b14c96-27f0-4892-a664-c378b02a9729",["http://www.mendeley.com/documents/?uuid=35b14c96-27f0-4892-a664-c378b02a9729"]],"itemData":{"DOI":"10.1016/S0140-6736(12)61766-8","ISSN":"01406736","author":[{"dropping-particle":"","family":"Lim","given":"Stephen S","non-dropping-particle":"","parse-names":false,"suffix":""},{"dropping-particle":"","family":"Vos","given":"Theo","non-dropping-particle":"","parse-names":false,"suffix":""},{"dropping-particle":"","family":"Flaxman","given":"Abraham D","non-dropping-particle":"","parse-names":false,"suffix":""},{"dropping-particle":"","family":"Danaei","given":"Goodarz","non-dropping-particle":"","parse-names":false,"suffix":""},{"dropping-particle":"","family":"Shibuya","given":"Kenji","non-dropping-particle":"","parse-names":false,"suffix":""},{"dropping-particle":"","family":"Adair-Rohani","given":"Heather","non-dropping-particle":"","parse-names":false,"suffix":""},{"dropping-particle":"","family":"AlMazroa","given":"Mohammad A","non-dropping-particle":"","parse-names":false,"suffix":""},{"dropping-particle":"","family":"Amann","given":"Markus","non-dropping-particle":"","parse-names":false,"suffix":""},{"dropping-particle":"","family":"Anderson","given":"H Ross","non-dropping-particle":"","parse-names":false,"suffix":""},{"dropping-particle":"","family":"Andrews","given":"Kathryn G","non-dropping-particle":"","parse-names":false,"suffix":""},{"dropping-particle":"","family":"Aryee","given":"Martin","non-dropping-particle":"","parse-names":false,"suffix":""},{"dropping-particle":"","family":"Atkinson","given":"Charles","non-dropping-particle":"","parse-names":false,"suffix":""},{"dropping-particle":"","family":"Bacchus","given":"Loraine J","non-dropping-particle":"","parse-names":false,"suffix":""},{"dropping-particle":"","family":"Bahalim","given":"Adil N","non-dropping-particle":"","parse-names":false,"suffix":""},{"dropping-particle":"","family":"Balakrishnan","given":"Kalpana","non-dropping-particle":"","parse-names":false,"suffix":""},{"dropping-particle":"","family":"Balmes","given":"John","non-dropping-particle":"","parse-names":false,"suffix":""},{"dropping-particle":"","family":"Barker-Collo","given":"Suzanne","non-dropping-particle":"","parse-names":false,"suffix":""},{"dropping-particle":"","family":"Baxter","given":"Amanda","non-dropping-particle":"","parse-names":false,"suffix":""},{"dropping-particle":"","family":"Bell","given":"Michelle L","non-dropping-particle":"","parse-names":false,"suffix":""},{"dropping-particle":"","family":"Blore","given":"Jed D","non-dropping-particle":"","parse-names":false,"suffix":""},{"dropping-particle":"","family":"Blyth","given":"Fiona","non-dropping-particle":"","parse-names":false,"suffix":""},{"dropping-particle":"","family":"Bonner","given":"Carissa","non-dropping-particle":"","parse-names":false,"suffix":""},{"dropping-particle":"","family":"Borges","given":"Guilherme","non-dropping-particle":"","parse-names":false,"suffix":""},{"dropping-particle":"","family":"Bourne","given":"Rupert","non-dropping-particle":"","parse-names":false,"suffix":""},{"dropping-particle":"","family":"Boussinesq","given":"Michel","non-dropping-particle":"","parse-names":false,"suffix":""},{"dropping-particle":"","family":"Brauer","given":"Michael","non-dropping-particle":"","parse-names":false,"suffix":""},{"dropping-particle":"","family":"Brooks","given":"Peter","non-dropping-particle":"","parse-names":false,"suffix":""},{"dropping-particle":"","family":"Bruce","given":"Nigel G","non-dropping-particle":"","parse-names":false,"suffix":""},{"dropping-particle":"","family":"Brunekreef","given":"Bert","non-dropping-particle":"","parse-names":false,"suffix":""},{"dropping-particle":"","family":"Bryan-Hancock","given":"Claire","non-dropping-particle":"","parse-names":false,"suffix":""},{"dropping-particle":"","family":"Bucello","given":"Chiara","non-dropping-particle":"","parse-names":false,"suffix":""},{"dropping-particle":"","family":"Buchbinder","given":"Rachelle","non-dropping-particle":"","parse-names":false,"suffix":""},{"dropping-particle":"","family":"Bull","given":"Fiona","non-dropping-particle":"","parse-names":false,"suffix":""},{"dropping-particle":"","family":"Burnett","given":"Richard T","non-dropping-particle":"","parse-names":false,"suffix":""},{"dropping-particle":"","family":"Byers","given":"Tim E","non-dropping-particle":"","parse-names":false,"suffix":""},{"dropping-particle":"","family":"Calabria","given":"Bianca","non-dropping-particle":"","parse-names":false,"suffix":""},{"dropping-particle":"","family":"Carapetis","given":"Jonathan","non-dropping-particle":"","parse-names":false,"suffix":""},{"dropping-particle":"","family":"Carnahan","given":"Emily","non-dropping-particle":"","parse-names":false,"suffix":""},{"dropping-particle":"","family":"Chafe","given":"Zoe","non-dropping-particle":"","parse-names":false,"suffix":""},{"dropping-particle":"","family":"Charlson","given":"Fiona","non-dropping-particle":"","parse-names":false,"suffix":""},{"dropping-particle":"","family":"Chen","given":"Honglei","non-dropping-particle":"","parse-names":false,"suffix":""},{"dropping-particle":"","family":"Chen","given":"Jian Shen","non-dropping-particle":"","parse-names":false,"suffix":""},{"dropping-particle":"","family":"Cheng","given":"Andrew Tai-Ann","non-dropping-particle":"","parse-names":false,"suffix":""},{"dropping-particle":"","family":"Child","given":"Jennifer Christine","non-dropping-particle":"","parse-names":false,"suffix":""},{"dropping-particle":"","family":"Cohen","given":"Aaron","non-dropping-particle":"","parse-names":false,"suffix":""},{"dropping-particle":"","family":"Colson","given":"K Ellicott","non-dropping-particle":"","parse-names":false,"suffix":""},{"dropping-particle":"","family":"Cowie","given":"Benjamin C","non-dropping-particle":"","parse-names":false,"suffix":""},{"dropping-particle":"","family":"Darby","given":"Sarah","non-dropping-particle":"","parse-names":false,"suffix":""},{"dropping-particle":"","family":"Darling","given":"Susan","non-dropping-particle":"","parse-names":false,"suffix":""},{"dropping-particle":"","family":"Davis","given":"Adrian","non-dropping-particle":"","parse-names":false,"suffix":""},{"dropping-particle":"","family":"Degenhardt","given":"Louisa","non-dropping-particle":"","parse-names":false,"suffix":""},{"dropping-particle":"","family":"Dentener","given":"Frank","non-dropping-particle":"","parse-names":false,"suffix":""},{"dropping-particle":"","family":"Jarlais","given":"Don C","non-dropping-particle":"Des","parse-names":false,"suffix":""},{"dropping-particle":"","family":"Devries","given":"Karen","non-dropping-particle":"","parse-names":false,"suffix":""},{"dropping-particle":"","family":"Dherani","given":"Mukesh","non-dropping-particle":"","parse-names":false,"suffix":""},{"dropping-particle":"","family":"Ding","given":"Eric L","non-dropping-particle":"","parse-names":false,"suffix":""},{"dropping-particle":"","family":"Dorsey","given":"E Ray","non-dropping-particle":"","parse-names":false,"suffix":""},{"dropping-particle":"","family":"Driscoll","given":"Tim","non-dropping-particle":"","parse-names":false,"suffix":""},{"dropping-particle":"","family":"Edmond","given":"Karen","non-dropping-particle":"","parse-names":false,"suffix":""},{"dropping-particle":"","family":"Ali","given":"Suad Eltahir","non-dropping-particle":"","parse-names":false,"suffix":""},{"dropping-particle":"","family":"Engell","given":"Rebecca E","non-dropping-particle":"","parse-names":false,"suffix":""},{"dropping-particle":"","family":"Erwin","given":"Patricia J","non-dropping-particle":"","parse-names":false,"suffix":""},{"dropping-particle":"","family":"Fahimi","given":"Saman","non-dropping-particle":"","parse-names":false,"suffix":""},{"dropping-particle":"","family":"Falder","given":"Gail","non-dropping-particle":"","parse-names":false,"suffix":""},{"dropping-particle":"","family":"Farzadfar","given":"Farshad","non-dropping-particle":"","parse-names":false,"suffix":""},{"dropping-particle":"","family":"Ferrari","given":"Alize","non-dropping-particle":"","parse-names":false,"suffix":""},{"dropping-particle":"","family":"Finucane","given":"Mariel M","non-dropping-particle":"","parse-names":false,"suffix":""},{"dropping-particle":"","family":"Flaxman","given":"Seth","non-dropping-particle":"","parse-names":false,"suffix":""},{"dropping-particle":"","family":"Fowkes","given":"Francis Gerry R","non-dropping-particle":"","parse-names":false,"suffix":""},{"dropping-particle":"","family":"Freedman","given":"Greg","non-dropping-particle":"","parse-names":false,"suffix":""},{"dropping-particle":"","family":"Freeman","given":"Michael K","non-dropping-particle":"","parse-names":false,"suffix":""},{"dropping-particle":"","family":"Gakidou","given":"Emmanuela","non-dropping-particle":"","parse-names":false,"suffix":""},{"dropping-particle":"","family":"Ghosh","given":"Santu","non-dropping-particle":"","parse-names":false,"suffix":""},{"dropping-particle":"","family":"Giovannucci","given":"Edward","non-dropping-particle":"","parse-names":false,"suffix":""},{"dropping-particle":"","family":"Gmel","given":"Gerhard","non-dropping-particle":"","parse-names":false,"suffix":""},{"dropping-particle":"","family":"Graham","given":"Kathryn","non-dropping-particle":"","parse-names":false,"suffix":""},{"dropping-particle":"","family":"Grainger","given":"Rebecca","non-dropping-particle":"","parse-names":false,"suffix":""},{"dropping-particle":"","family":"Grant","given":"Bridget","non-dropping-particle":"","parse-names":false,"suffix":""},{"dropping-particle":"","family":"Gunnell","given":"David","non-dropping-particle":"","parse-names":false,"suffix":""},{"dropping-particle":"","family":"Gutierrez","given":"Hialy R","non-dropping-particle":"","parse-names":false,"suffix":""},{"dropping-particle":"","family":"Hall","given":"Wayne","non-dropping-particle":"","parse-names":false,"suffix":""},{"dropping-particle":"","family":"Hoek","given":"Hans W","non-dropping-particle":"","parse-names":false,"suffix":""},{"dropping-particle":"","family":"Hogan","given":"Anthony","non-dropping-particle":"","parse-names":false,"suffix":""},{"dropping-particle":"","family":"Hosgood","given":"H Dean","non-dropping-particle":"","parse-names":false,"suffix":""},{"dropping-particle":"","family":"Hoy","given":"Damian","non-dropping-particle":"","parse-names":false,"suffix":""},{"dropping-particle":"","family":"Hu","given":"Howard","non-dropping-particle":"","parse-names":false,"suffix":""},{"dropping-particle":"","family":"Hubbell","given":"Bryan J","non-dropping-particle":"","parse-names":false,"suffix":""},{"dropping-particle":"","family":"Hutchings","given":"Sally J","non-dropping-particle":"","parse-names":false,"suffix":""},{"dropping-particle":"","family":"Ibeanusi","given":"Sydney E","non-dropping-particle":"","parse-names":false,"suffix":""},{"dropping-particle":"","family":"Jacklyn","given":"Gemma L","non-dropping-particle":"","parse-names":false,"suffix":""},{"dropping-particle":"","family":"Jasrasaria","given":"Rashmi","non-dropping-particle":"","parse-names":false,"suffix":""},{"dropping-particle":"","family":"Jonas","given":"Jost B","non-dropping-particle":"","parse-names":false,"suffix":""},{"dropping-particle":"","family":"Kan","given":"Haidong","non-dropping-particle":"","parse-names":false,"suffix":""},{"dropping-particle":"","family":"Kanis","given":"John A","non-dropping-particle":"","parse-names":false,"suffix":""},{"dropping-particle":"","family":"Kassebaum","given":"Nicholas","non-dropping-particle":"","parse-names":false,"suffix":""},{"dropping-particle":"","family":"Kawakami","given":"Norito","non-dropping-particle":"","parse-names":false,"suffix":""},{"dropping-particle":"","family":"Khang","given":"Young-Ho","non-dropping-particle":"","parse-names":false,"suffix":""},{"dropping-particle":"","family":"Khatibzadeh","given":"Shahab","non-dropping-particle":"","parse-names":false,"suffix":""},{"dropping-particle":"","family":"Khoo","given":"Jon-Paul","non-dropping-particle":"","parse-names":false,"suffix":""},{"dropping-particle":"","family":"Kok","given":"Cindy","non-dropping-particle":"","parse-names":false,"suffix":""},{"dropping-particle":"","family":"Laden","given":"Francine","non-dropping-particle":"","parse-names":false,"suffix":""},{"dropping-particle":"","family":"Lalloo","given":"Ratilal","non-dropping-particle":"","parse-names":false,"suffix":""},{"dropping-particle":"","family":"Lan","given":"Qing","non-dropping-particle":"","parse-names":false,"suffix":""},{"dropping-particle":"","family":"Lathlean","given":"Tim","non-dropping-particle":"","parse-names":false,"suffix":""},{"dropping-particle":"","family":"Leasher","given":"Janet L","non-dropping-particle":"","parse-names":false,"suffix":""},{"dropping-particle":"","family":"Leigh","given":"James","non-dropping-particle":"","parse-names":false,"suffix":""},{"dropping-particle":"","family":"Li","given":"Yang","non-dropping-particle":"","parse-names":false,"suffix":""},{"dropping-particle":"","family":"Lin","given":"John Kent","non-dropping-particle":"","parse-names":false,"suffix":""},{"dropping-particle":"","family":"Lipshultz","given":"Steven E","non-dropping-particle":"","parse-names":false,"suffix":""},{"dropping-particle":"","family":"London","given":"Stephanie","non-dropping-particle":"","parse-names":false,"suffix":""},{"dropping-particle":"","family":"Lozano","given":"Rafael","non-dropping-particle":"","parse-names":false,"suffix":""},{"dropping-particle":"","family":"Lu","given":"Yuan","non-dropping-particle":"","parse-names":false,"suffix":""},{"dropping-particle":"","family":"Mak","given":"Joelle","non-dropping-particle":"","parse-names":false,"suffix":""},{"dropping-particle":"","family":"Malekzadeh","given":"Reza","non-dropping-particle":"","parse-names":false,"suffix":""},{"dropping-particle":"","family":"Mallinger","given":"Leslie","non-dropping-particle":"","parse-names":false,"suffix":""},{"dropping-particle":"","family":"Marcenes","given":"Wagner","non-dropping-particle":"","parse-names":false,"suffix":""},{"dropping-particle":"","family":"March","given":"Lyn","non-dropping-particle":"","parse-names":false,"suffix":""},{"dropping-particle":"","family":"Marks","given":"Robin","non-dropping-particle":"","parse-names":false,"suffix":""},{"dropping-particle":"","family":"Martin","given":"Randall","non-dropping-particle":"","parse-names":false,"suffix":""},{"dropping-particle":"","family":"McGale","given":"Paul","non-dropping-particle":"","parse-names":false,"suffix":""},{"dropping-particle":"","family":"McGrath","given":"John","non-dropping-particle":"","parse-names":false,"suffix":""},{"dropping-particle":"","family":"Mehta","given":"Sumi","non-dropping-particle":"","parse-names":false,"suffix":""},{"dropping-particle":"","family":"Memish","given":"Ziad A","non-dropping-particle":"","parse-names":false,"suffix":""},{"dropping-particle":"","family":"Mensah","given":"George A","non-dropping-particle":"","parse-names":false,"suffix":""},{"dropping-particle":"","family":"Merriman","given":"Tony R","non-dropping-particle":"","parse-names":false,"suffix":""},{"dropping-particle":"","family":"Micha","given":"Renata","non-dropping-particle":"","parse-names":false,"suffix":""},{"dropping-particle":"","family":"Michaud","given":"Catherine","non-dropping-particle":"","parse-names":false,"suffix":""},{"dropping-particle":"","family":"Mishra","given":"Vinod","non-dropping-particle":"","parse-names":false,"suffix":""},{"dropping-particle":"","family":"Hanafiah","given":"Khayriyyah Mohd","non-dropping-particle":"","parse-names":false,"suffix":""},{"dropping-particle":"","family":"Mokdad","given":"Ali A","non-dropping-particle":"","parse-names":false,"suffix":""},{"dropping-particle":"","family":"Morawska","given":"Lidia","non-dropping-particle":"","parse-names":false,"suffix":""},{"dropping-particle":"","family":"Mozaffarian","given":"Dariush","non-dropping-particle":"","parse-names":false,"suffix":""},{"dropping-particle":"","family":"Murphy","given":"Tasha","non-dropping-particle":"","parse-names":false,"suffix":""},{"dropping-particle":"","family":"Naghavi","given":"Mohsen","non-dropping-particle":"","parse-names":false,"suffix":""},{"dropping-particle":"","family":"Neal","given":"Bruce","non-dropping-particle":"","parse-names":false,"suffix":""},{"dropping-particle":"","family":"Nelson","given":"Paul K","non-dropping-particle":"","parse-names":false,"suffix":""},{"dropping-particle":"","family":"Nolla","given":"Joan Miquel","non-dropping-particle":"","parse-names":false,"suffix":""},{"dropping-particle":"","family":"Norman","given":"Rosana","non-dropping-particle":"","parse-names":false,"suffix":""},{"dropping-particle":"","family":"Olives","given":"Casey","non-dropping-particle":"","parse-names":false,"suffix":""},{"dropping-particle":"","family":"Omer","given":"Saad B","non-dropping-particle":"","parse-names":false,"suffix":""},{"dropping-particle":"","family":"Orchard","given":"Jessica","non-dropping-particle":"","parse-names":false,"suffix":""},{"dropping-particle":"","family":"Osborne","given":"Richard","non-dropping-particle":"","parse-names":false,"suffix":""},{"dropping-particle":"","family":"Ostro","given":"Bart","non-dropping-particle":"","parse-names":false,"suffix":""},{"dropping-particle":"","family":"Page","given":"Andrew","non-dropping-particle":"","parse-names":false,"suffix":""},{"dropping-particle":"","family":"Pandey","given":"Kiran D","non-dropping-particle":"","parse-names":false,"suffix":""},{"dropping-particle":"","family":"Parry","given":"Charles D H","non-dropping-particle":"","parse-names":false,"suffix":""},{"dropping-particle":"","family":"Passmore","given":"Erin","non-dropping-particle":"","parse-names":false,"suffix":""},{"dropping-particle":"","family":"Patra","given":"Jayadeep","non-dropping-particle":"","parse-names":false,"suffix":""},{"dropping-particle":"","family":"Pearce","given":"Neil","non-dropping-particle":"","parse-names":false,"suffix":""},{"dropping-particle":"","family":"Pelizzari","given":"Pamela M","non-dropping-particle":"","parse-names":false,"suffix":""},{"dropping-particle":"","family":"Petzold","given":"Max","non-dropping-particle":"","parse-names":false,"suffix":""},{"dropping-particle":"","family":"Phillips","given":"Michael R","non-dropping-particle":"","parse-names":false,"suffix":""},{"dropping-particle":"","family":"Pope","given":"Dan","non-dropping-particle":"","parse-names":false,"suffix":""},{"dropping-particle":"","family":"Pope","given":"C Arden","non-dropping-particle":"","parse-names":false,"suffix":""},{"dropping-particle":"","family":"Powles","given":"John","non-dropping-particle":"","parse-names":false,"suffix":""},{"dropping-particle":"","family":"Rao","given":"Mayuree","non-dropping-particle":"","parse-names":false,"suffix":""},{"dropping-particle":"","family":"Razavi","given":"Homie","non-dropping-particle":"","parse-names":false,"suffix":""},{"dropping-particle":"","family":"Rehfuess","given":"Eva A","non-dropping-particle":"","parse-names":false,"suffix":""},{"dropping-particle":"","family":"Rehm","given":"Jürgen T","non-dropping-particle":"","parse-names":false,"suffix":""},{"dropping-particle":"","family":"Ritz","given":"Beate","non-dropping-particle":"","parse-names":false,"suffix":""},{"dropping-particle":"","family":"Rivara","given":"Frederick P","non-dropping-particle":"","parse-names":false,"suffix":""},{"dropping-particle":"","family":"Roberts","given":"Thomas","non-dropping-particle":"","parse-names":false,"suffix":""},{"dropping-particle":"","family":"Robinson","given":"Carolyn","non-dropping-particle":"","parse-names":false,"suffix":""},{"dropping-particle":"","family":"Rodriguez-Portales","given":"Jose A","non-dropping-particle":"","parse-names":false,"suffix":""},{"dropping-particle":"","family":"Romieu","given":"Isabelle","non-dropping-particle":"","parse-names":false,"suffix":""},{"dropping-particle":"","family":"Room","given":"Robin","non-dropping-particle":"","parse-names":false,"suffix":""},{"dropping-particle":"","family":"Rosenfeld","given":"Lisa C","non-dropping-particle":"","parse-names":false,"suffix":""},{"dropping-particle":"","family":"Roy","given":"Ananya","non-dropping-particle":"","parse-names":false,"suffix":""},{"dropping-particle":"","family":"Rushton","given":"Lesley","non-dropping-particle":"","parse-names":false,"suffix":""},{"dropping-particle":"","family":"Salomon","given":"Joshua A","non-dropping-particle":"","parse-names":false,"suffix":""},{"dropping-particle":"","family":"Sampson","given":"Uchechukwu","non-dropping-particle":"","parse-names":false,"suffix":""},{"dropping-particle":"","family":"Sanchez-Riera","given":"Lidia","non-dropping-particle":"","parse-names":false,"suffix":""},{"dropping-particle":"","family":"Sanman","given":"Ella","non-dropping-particle":"","parse-names":false,"suffix":""},{"dropping-particle":"","family":"Sapkota","given":"Amir","non-dropping-particle":"","parse-names":false,"suffix":""},{"dropping-particle":"","family":"Seedat","given":"Soraya","non-dropping-particle":"","parse-names":false,"suffix":""},{"dropping-particle":"","family":"Shi","given":"Peilin","non-dropping-particle":"","parse-names":false,"suffix":""},{"dropping-particle":"","family":"Shield","given":"Kevin","non-dropping-particle":"","parse-names":false,"suffix":""},{"dropping-particle":"","family":"Shivakoti","given":"Rupak","non-dropping-particle":"","parse-names":false,"suffix":""},{"dropping-particle":"","family":"Singh","given":"Gitanjali M","non-dropping-particle":"","parse-names":false,"suffix":""},{"dropping-particle":"","family":"Sleet","given":"David A","non-dropping-particle":"","parse-names":false,"suffix":""},{"dropping-particle":"","family":"Smith","given":"Emma","non-dropping-particle":"","parse-names":false,"suffix":""},{"dropping-particle":"","family":"Smith","given":"Kirk R","non-dropping-particle":"","parse-names":false,"suffix":""},{"dropping-particle":"","family":"Stapelberg","given":"Nicolas J C","non-dropping-particle":"","parse-names":false,"suffix":""},{"dropping-particle":"","family":"Steenland","given":"Kyle","non-dropping-particle":"","parse-names":false,"suffix":""},{"dropping-particle":"","family":"Stöckl","given":"Heidi","non-dropping-particle":"","parse-names":false,"suffix":""},{"dropping-particle":"","family":"Stovner","given":"Lars Jacob","non-dropping-particle":"","parse-names":false,"suffix":""},{"dropping-particle":"","family":"Straif","given":"Kurt","non-dropping-particle":"","parse-names":false,"suffix":""},{"dropping-particle":"","family":"Straney","given":"Lahn","non-dropping-particle":"","parse-names":false,"suffix":""},{"dropping-particle":"","family":"Thurston","given":"George D","non-dropping-particle":"","parse-names":false,"suffix":""},{"dropping-particle":"","family":"Tran","given":"Jimmy H","non-dropping-particle":"","parse-names":false,"suffix":""},{"dropping-particle":"","family":"Dingenen","given":"Rita","non-dropping-particle":"Van","parse-names":false,"suffix":""},{"dropping-particle":"","family":"Donkelaar","given":"Aaron","non-dropping-particle":"van","parse-names":false,"suffix":""},{"dropping-particle":"","family":"Veerman","given":"J Lennert","non-dropping-particle":"","parse-names":false,"suffix":""},{"dropping-particle":"","family":"Vijayakumar","given":"Lakshmi","non-dropping-particle":"","parse-names":false,"suffix":""},{"dropping-particle":"","family":"Weintraub","given":"Robert","non-dropping-particle":"","parse-names":false,"suffix":""},{"dropping-particle":"","family":"Weissman","given":"Myrna M","non-dropping-particle":"","parse-names":false,"suffix":""},{"dropping-particle":"","family":"White","given":"Richard A","non-dropping-particle":"","parse-names":false,"suffix":""},{"dropping-particle":"","family":"Whiteford","given":"Harvey","non-dropping-particle":"","parse-names":false,"suffix":""},{"dropping-particle":"","family":"Wiersma","given":"Steven T","non-dropping-particle":"","parse-names":false,"suffix":""},{"dropping-particle":"","family":"Wilkinson","given":"James D","non-dropping-particle":"","parse-names":false,"suffix":""},{"dropping-particle":"","family":"Williams","given":"Hywel C","non-dropping-particle":"","parse-names":false,"suffix":""},{"dropping-particle":"","family":"Williams","given":"Warwick","non-dropping-particle":"","parse-names":false,"suffix":""},{"dropping-particle":"","family":"Wilson","given":"Nicholas","non-dropping-particle":"","parse-names":false,"suffix":""},{"dropping-particle":"","family":"Woolf","given":"Anthony D","non-dropping-particle":"","parse-names":false,"suffix":""},{"dropping-particle":"","family":"Yip","given":"Paul","non-dropping-particle":"","parse-names":false,"suffix":""},{"dropping-particle":"","family":"Zielinski","given":"Jan M","non-dropping-particle":"","parse-names":false,"suffix":""},{"dropping-particle":"","family":"Lopez","given":"Alan D","non-dropping-particle":"","parse-names":false,"suffix":""},{"dropping-particle":"","family":"Murray","given":"Christopher J L","non-dropping-particle":"","parse-names":false,"suffix":""},{"dropping-particle":"","family":"Ezzati","given":"Majid","non-dropping-particle":"","parse-names":false,"suffix":""}],"container-title":"The Lancet","id":"ITEM-2","issue":"9859","issued":{"date-parts":[["2012","8","29"]]},"language":"en","page":"2224-2260","title":"A comparative risk assessment of burden of disease and injury attributable to 67 risk factors and risk factor clusters in 21 regions, 1990–2010: a systematic analysis for the Global Burden of Disease Study 2010","type":"article-journal","volume":"380"}}],"schema":"https://github.com/citation-style-language/schema/raw/master/csl-citation.json"}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33,35</w:t>
      </w:r>
      <w:r w:rsidRPr="009664B1">
        <w:rPr>
          <w:rFonts w:ascii="Arial" w:hAnsi="Arial" w:cs="Arial"/>
        </w:rPr>
        <w:fldChar w:fldCharType="end"/>
      </w:r>
      <w:r w:rsidRPr="009664B1">
        <w:rPr>
          <w:rFonts w:ascii="Arial" w:hAnsi="Arial" w:cs="Arial"/>
        </w:rPr>
        <w:t xml:space="preserve"> </w:t>
      </w:r>
    </w:p>
    <w:p w14:paraId="617A3A56" w14:textId="77777777" w:rsidR="003653BF" w:rsidRPr="009664B1" w:rsidRDefault="003653BF" w:rsidP="00FC0B1B">
      <w:pPr>
        <w:pStyle w:val="NoSpacing"/>
        <w:spacing w:line="360" w:lineRule="auto"/>
        <w:rPr>
          <w:rFonts w:ascii="Arial" w:hAnsi="Arial" w:cs="Arial"/>
        </w:rPr>
      </w:pPr>
    </w:p>
    <w:p w14:paraId="291CDFCB" w14:textId="77777777" w:rsidR="003653BF" w:rsidRPr="009664B1" w:rsidRDefault="003653BF" w:rsidP="00FC0B1B">
      <w:pPr>
        <w:pStyle w:val="NoSpacing"/>
        <w:spacing w:line="360" w:lineRule="auto"/>
        <w:rPr>
          <w:rFonts w:ascii="Arial" w:hAnsi="Arial" w:cs="Arial"/>
        </w:rPr>
      </w:pPr>
      <w:r w:rsidRPr="009664B1">
        <w:rPr>
          <w:rFonts w:ascii="Arial" w:hAnsi="Arial" w:cs="Arial"/>
        </w:rPr>
        <w:t xml:space="preserve">The number of avoided deaths due to the change in risk exposure of risk </w:t>
      </w:r>
      <w:proofErr w:type="spellStart"/>
      <w:r w:rsidRPr="009664B1">
        <w:rPr>
          <w:rFonts w:ascii="Arial" w:hAnsi="Arial" w:cs="Arial"/>
          <w:i/>
        </w:rPr>
        <w:t>i</w:t>
      </w:r>
      <w:proofErr w:type="spellEnd"/>
      <w:r w:rsidRPr="009664B1">
        <w:rPr>
          <w:rFonts w:ascii="Arial" w:hAnsi="Arial" w:cs="Arial"/>
        </w:rPr>
        <w:t xml:space="preserve">, </w:t>
      </w:r>
      <w:proofErr w:type="spellStart"/>
      <w:r w:rsidRPr="009664B1">
        <w:rPr>
          <w:rFonts w:ascii="Arial" w:hAnsi="Arial" w:cs="Arial"/>
          <w:i/>
        </w:rPr>
        <w:t>Δdeaths</w:t>
      </w:r>
      <w:r w:rsidRPr="009664B1">
        <w:rPr>
          <w:rFonts w:ascii="Arial" w:hAnsi="Arial" w:cs="Arial"/>
          <w:vertAlign w:val="subscript"/>
        </w:rPr>
        <w:t>i</w:t>
      </w:r>
      <w:proofErr w:type="spellEnd"/>
      <w:r w:rsidRPr="009664B1">
        <w:rPr>
          <w:rFonts w:ascii="Arial" w:hAnsi="Arial" w:cs="Arial"/>
        </w:rPr>
        <w:t xml:space="preserve">, was calculated by multiplying the associated PIF by disease-specific death rates, </w:t>
      </w:r>
      <w:r w:rsidRPr="009664B1">
        <w:rPr>
          <w:rFonts w:ascii="Arial" w:hAnsi="Arial" w:cs="Arial"/>
          <w:i/>
          <w:iCs/>
        </w:rPr>
        <w:t>DR</w:t>
      </w:r>
      <w:r w:rsidRPr="009664B1">
        <w:rPr>
          <w:rFonts w:ascii="Arial" w:hAnsi="Arial" w:cs="Arial"/>
        </w:rPr>
        <w:t xml:space="preserve">, and by the number of people alive within a population, </w:t>
      </w:r>
      <w:r w:rsidRPr="009664B1">
        <w:rPr>
          <w:rFonts w:ascii="Arial" w:hAnsi="Arial" w:cs="Arial"/>
          <w:i/>
          <w:iCs/>
        </w:rPr>
        <w:t>P</w:t>
      </w:r>
      <w:r w:rsidRPr="009664B1">
        <w:rPr>
          <w:rFonts w:ascii="Arial" w:hAnsi="Arial" w:cs="Arial"/>
        </w:rPr>
        <w:t xml:space="preserve">:  </w:t>
      </w:r>
    </w:p>
    <w:p w14:paraId="53C22D76" w14:textId="77777777" w:rsidR="003653BF" w:rsidRPr="009664B1" w:rsidRDefault="003653BF" w:rsidP="00FC0B1B">
      <w:pPr>
        <w:pStyle w:val="NoSpacing"/>
        <w:spacing w:line="360" w:lineRule="auto"/>
        <w:rPr>
          <w:rFonts w:ascii="Arial" w:hAnsi="Arial" w:cs="Arial"/>
        </w:rPr>
      </w:pPr>
    </w:p>
    <w:tbl>
      <w:tblPr>
        <w:tblW w:w="0" w:type="auto"/>
        <w:tblLook w:val="04A0" w:firstRow="1" w:lastRow="0" w:firstColumn="1" w:lastColumn="0" w:noHBand="0" w:noVBand="1"/>
      </w:tblPr>
      <w:tblGrid>
        <w:gridCol w:w="702"/>
        <w:gridCol w:w="7624"/>
        <w:gridCol w:w="700"/>
      </w:tblGrid>
      <w:tr w:rsidR="003653BF" w:rsidRPr="009664B1" w14:paraId="3B755F95" w14:textId="77777777" w:rsidTr="004D5ADB">
        <w:tc>
          <w:tcPr>
            <w:tcW w:w="704" w:type="dxa"/>
          </w:tcPr>
          <w:p w14:paraId="5B56E2FB" w14:textId="77777777" w:rsidR="003653BF" w:rsidRPr="009664B1" w:rsidRDefault="003653BF" w:rsidP="00FC0B1B">
            <w:pPr>
              <w:pStyle w:val="NoSpacing"/>
              <w:spacing w:line="360" w:lineRule="auto"/>
              <w:rPr>
                <w:rFonts w:ascii="Arial" w:hAnsi="Arial" w:cs="Arial"/>
              </w:rPr>
            </w:pPr>
          </w:p>
        </w:tc>
        <w:tc>
          <w:tcPr>
            <w:tcW w:w="7655" w:type="dxa"/>
          </w:tcPr>
          <w:p w14:paraId="2F4E8C3B" w14:textId="77777777" w:rsidR="003653BF" w:rsidRPr="009664B1" w:rsidRDefault="003653BF" w:rsidP="00FC0B1B">
            <w:pPr>
              <w:pStyle w:val="NoSpacing"/>
              <w:spacing w:line="360" w:lineRule="auto"/>
              <w:rPr>
                <w:rFonts w:ascii="Arial" w:hAnsi="Arial" w:cs="Arial"/>
              </w:rPr>
            </w:pPr>
            <m:oMathPara>
              <m:oMath>
                <m:r>
                  <w:rPr>
                    <w:rFonts w:ascii="Cambria Math" w:hAnsi="Cambria Math" w:cs="Arial"/>
                  </w:rPr>
                  <m:t>Δdeath</m:t>
                </m:r>
                <m:sSub>
                  <m:sSubPr>
                    <m:ctrlPr>
                      <w:rPr>
                        <w:rFonts w:ascii="Cambria Math" w:hAnsi="Cambria Math" w:cs="Arial"/>
                        <w:i/>
                      </w:rPr>
                    </m:ctrlPr>
                  </m:sSubPr>
                  <m:e>
                    <m:r>
                      <w:rPr>
                        <w:rFonts w:ascii="Cambria Math" w:hAnsi="Cambria Math" w:cs="Arial"/>
                      </w:rPr>
                      <m:t>s</m:t>
                    </m:r>
                  </m:e>
                  <m:sub>
                    <m:r>
                      <w:rPr>
                        <w:rFonts w:ascii="Cambria Math" w:hAnsi="Cambria Math" w:cs="Arial"/>
                      </w:rPr>
                      <m:t>i</m:t>
                    </m:r>
                  </m:sub>
                </m:sSub>
                <m:r>
                  <w:rPr>
                    <w:rFonts w:ascii="Cambria Math" w:hAnsi="Cambria Math" w:cs="Arial"/>
                  </w:rPr>
                  <m:t>(r,s,a,d)=PI</m:t>
                </m:r>
                <m:sSub>
                  <m:sSubPr>
                    <m:ctrlPr>
                      <w:rPr>
                        <w:rFonts w:ascii="Cambria Math" w:hAnsi="Cambria Math" w:cs="Arial"/>
                        <w:i/>
                      </w:rPr>
                    </m:ctrlPr>
                  </m:sSubPr>
                  <m:e>
                    <m:r>
                      <w:rPr>
                        <w:rFonts w:ascii="Cambria Math" w:hAnsi="Cambria Math" w:cs="Arial"/>
                      </w:rPr>
                      <m:t>F</m:t>
                    </m:r>
                  </m:e>
                  <m:sub>
                    <m:r>
                      <w:rPr>
                        <w:rFonts w:ascii="Cambria Math" w:hAnsi="Cambria Math" w:cs="Arial"/>
                      </w:rPr>
                      <m:t>i</m:t>
                    </m:r>
                  </m:sub>
                </m:sSub>
                <m:r>
                  <w:rPr>
                    <w:rFonts w:ascii="Cambria Math" w:hAnsi="Cambria Math" w:cs="Arial"/>
                  </w:rPr>
                  <m:t>(r,s,a,d)∙DR(r,s,a,d)∙P(r,s,a)</m:t>
                </m:r>
              </m:oMath>
            </m:oMathPara>
          </w:p>
        </w:tc>
        <w:tc>
          <w:tcPr>
            <w:tcW w:w="703" w:type="dxa"/>
            <w:vAlign w:val="center"/>
          </w:tcPr>
          <w:p w14:paraId="73666D20" w14:textId="77777777" w:rsidR="003653BF" w:rsidRPr="009664B1" w:rsidRDefault="003653BF" w:rsidP="00FC0B1B">
            <w:pPr>
              <w:pStyle w:val="Caption"/>
              <w:keepNext/>
              <w:rPr>
                <w:rFonts w:ascii="Arial" w:hAnsi="Arial" w:cs="Arial"/>
                <w:i w:val="0"/>
                <w:color w:val="auto"/>
              </w:rPr>
            </w:pPr>
          </w:p>
        </w:tc>
      </w:tr>
    </w:tbl>
    <w:p w14:paraId="20E0B3D1" w14:textId="77777777" w:rsidR="003653BF" w:rsidRPr="009664B1" w:rsidRDefault="003653BF" w:rsidP="00FC0B1B">
      <w:pPr>
        <w:pStyle w:val="NoSpacing"/>
        <w:spacing w:line="360" w:lineRule="auto"/>
        <w:rPr>
          <w:rFonts w:ascii="Arial" w:hAnsi="Arial" w:cs="Arial"/>
        </w:rPr>
      </w:pPr>
      <w:r w:rsidRPr="009664B1">
        <w:rPr>
          <w:rFonts w:ascii="Arial" w:hAnsi="Arial" w:cs="Arial"/>
        </w:rPr>
        <w:t xml:space="preserve">where PIFs are differentiated by region </w:t>
      </w:r>
      <w:r w:rsidRPr="009664B1">
        <w:rPr>
          <w:rFonts w:ascii="Arial" w:hAnsi="Arial" w:cs="Arial"/>
          <w:i/>
        </w:rPr>
        <w:t>r</w:t>
      </w:r>
      <w:r w:rsidRPr="009664B1">
        <w:rPr>
          <w:rFonts w:ascii="Arial" w:hAnsi="Arial" w:cs="Arial"/>
        </w:rPr>
        <w:t xml:space="preserve">, sex </w:t>
      </w:r>
      <w:r w:rsidRPr="009664B1">
        <w:rPr>
          <w:rFonts w:ascii="Arial" w:hAnsi="Arial" w:cs="Arial"/>
          <w:i/>
          <w:iCs/>
        </w:rPr>
        <w:t>s</w:t>
      </w:r>
      <w:r w:rsidRPr="009664B1">
        <w:rPr>
          <w:rFonts w:ascii="Arial" w:hAnsi="Arial" w:cs="Arial"/>
        </w:rPr>
        <w:t xml:space="preserve">, age group </w:t>
      </w:r>
      <w:r w:rsidRPr="009664B1">
        <w:rPr>
          <w:rFonts w:ascii="Arial" w:hAnsi="Arial" w:cs="Arial"/>
          <w:i/>
          <w:iCs/>
        </w:rPr>
        <w:t>a</w:t>
      </w:r>
      <w:r w:rsidRPr="009664B1">
        <w:rPr>
          <w:rFonts w:ascii="Arial" w:hAnsi="Arial" w:cs="Arial"/>
        </w:rPr>
        <w:t xml:space="preserve">, and disease/cause of death </w:t>
      </w:r>
      <w:r w:rsidRPr="009664B1">
        <w:rPr>
          <w:rFonts w:ascii="Arial" w:hAnsi="Arial" w:cs="Arial"/>
          <w:i/>
        </w:rPr>
        <w:t>d</w:t>
      </w:r>
      <w:r w:rsidRPr="009664B1">
        <w:rPr>
          <w:rFonts w:ascii="Arial" w:hAnsi="Arial" w:cs="Arial"/>
        </w:rPr>
        <w:t>; the death rates are differentiated by region, sex, age group, and disease; the population groups are differentiated by region, sex, and age group; and the change in the number of deaths is differentiated by region, sex, age group, and disease.</w:t>
      </w:r>
    </w:p>
    <w:p w14:paraId="675F26D9" w14:textId="77777777" w:rsidR="003653BF" w:rsidRPr="009664B1" w:rsidRDefault="003653BF" w:rsidP="00FC0B1B">
      <w:pPr>
        <w:pStyle w:val="NoSpacing"/>
        <w:spacing w:line="360" w:lineRule="auto"/>
        <w:rPr>
          <w:rFonts w:ascii="Arial" w:hAnsi="Arial" w:cs="Arial"/>
        </w:rPr>
      </w:pPr>
    </w:p>
    <w:p w14:paraId="48624F70" w14:textId="0FDC7585" w:rsidR="003653BF" w:rsidRPr="009664B1" w:rsidRDefault="003653BF" w:rsidP="00FC0B1B">
      <w:pPr>
        <w:pStyle w:val="NoSpacing"/>
        <w:spacing w:line="360" w:lineRule="auto"/>
        <w:rPr>
          <w:rFonts w:ascii="Arial" w:hAnsi="Arial" w:cs="Arial"/>
        </w:rPr>
      </w:pPr>
      <w:r w:rsidRPr="009664B1">
        <w:rPr>
          <w:rFonts w:ascii="Arial" w:hAnsi="Arial" w:cs="Arial"/>
        </w:rPr>
        <w:t>We used publicly available data sources to parameterize the comparative risk analysis. Mortality and population data were adopted from the Global Burden of Disease project.</w:t>
      </w:r>
      <w:r w:rsidRPr="009664B1">
        <w:rPr>
          <w:rFonts w:ascii="Arial" w:hAnsi="Arial" w:cs="Arial"/>
        </w:rPr>
        <w:fldChar w:fldCharType="begin"/>
      </w:r>
      <w:r w:rsidR="00935615">
        <w:rPr>
          <w:rFonts w:ascii="Arial" w:hAnsi="Arial" w:cs="Arial"/>
        </w:rPr>
        <w:instrText xml:space="preserve"> ADDIN ZOTERO_ITEM CSL_CITATION {"citationID":"Zrr0uLdd","properties":{"formattedCitation":"\\super 36\\nosupersub{}","plainCitation":"36","noteIndex":0},"citationItems":[{"id":1941,"uris":["http://zotero.org/users/14122/items/79PR6WAP",["http://zotero.org/users/14122/items/79PR6WAP"]],"itemData":{"id":1941,"type":"article-journal","abstract":"&lt;h2&gt;Summary&lt;/h2&gt;&lt;h3&gt;Background&lt;/h3&gt;&lt;p&gt;Accurate and up-to-date assessment of demographic metrics is crucial for understanding a wide range of social, economic, and public health issues that affect populations worldwide. The Global Burden of Diseases, Injuries, and Risk Factors Study (GBD) 2019 produced updated and comprehensive demographic assessments of the key indicators of fertility, mortality, migration, and population for 204 countries and territories and selected subnational locations from 1950 to 2019.&lt;/p&gt;&lt;h3&gt;Methods&lt;/h3&gt;&lt;p&gt;8078 country-years of vital registration and sample registration data, 938 surveys, 349 censuses, and 238 other sources were identified and used to estimate age-specific fertility. Spatiotemporal Gaussian process regression (ST-GPR) was used to generate age-specific fertility rates for 5-year age groups between ages 15 and 49 years. With extensions to age groups 10–14 and 50–54 years, the total fertility rate (TFR) was then aggregated using the estimated age-specific fertility between ages 10 and 54 years. 7417 sources were used for under-5 mortality estimation and 7355 for adult mortality. ST-GPR was used to synthesise data sources after correction for known biases. Adult mortality was measured as the probability of death between ages 15 and 60 years based on vital registration, sample registration, and sibling histories, and was also estimated using ST-GPR. HIV-free life tables were then estimated using estimates of under-5 and adult mortality rates using a relational model life table system created for GBD, which closely tracks observed age-specific mortality rates from complete vital registration when available. Independent estimates of HIV-specific mortality generated by an epidemiological analysis of HIV prevalence surveys and antenatal clinic serosurveillance and other sources were incorporated into the estimates in countries with large epidemics. Annual and single-year age estimates of net migration and population for each country and territory were generated using a Bayesian hierarchical cohort component model that analysed estimated age-specific fertility and mortality rates along with 1250 censuses and 747 population registry years. We classified location-years into seven categories on the basis of the natural rate of increase in population (calculated by subtracting the crude death rate from the crude birth rate) and the net migration rate. We computed healthy life expectancy (HALE) using years lived with disability (YLDs) per capita, life tables, and standard demographic methods. Uncertainty was propagated throughout the demographic estimation process, including fertility, mortality, and population, with 1000 draw-level estimates produced for each metric.&lt;/p&gt;&lt;h3&gt;Findings&lt;/h3&gt;&lt;p&gt;The global TFR decreased from 2·72 (95% uncertainty interval [UI] 2·66–2·79) in 2000 to 2·31 (2·17–2·46) in 2019. Global annual livebirths increased from 134·5 million (131·5–137·8) in 2000 to a peak of 139·6 million (133·0–146·9) in 2016. Global livebirths then declined to 135·3 million (127·2–144·1) in 2019. Of the 204 countries and territories included in this study, in 2019, 102 had a TFR lower than 2·1, which is considered a good approximation of replacement-level fertility. All countries in sub-Saharan Africa had TFRs above replacement level in 2019 and accounted for 27·1% (95% UI 26·4–27·8) of global livebirths. Global life expectancy at birth increased from 67·2 years (95% UI 66·8–67·6) in 2000 to 73·5 years (72·8–74·3) in 2019. The total number of deaths increased from 50·7 million (49·5–51·9) in 2000 to 56·5 million (53·7–59·2) in 2019. Under-5 deaths declined from 9·6 million (9·1–10·3) in 2000 to 5·0 million (4·3–6·0) in 2019. Global population increased by 25·7%, from 6·2 billion (6·0–6·3) in 2000 to 7·7 billion (7·5–8·0) in 2019. In 2019, 34 countries had negative natural rates of increase; in 17 of these, the population declined because immigration was not sufficient to counteract the negative rate of decline. Globally, HALE increased from 58·6 years (56·1–60·8) in 2000 to 63·5 years (60·8–66·1) in 2019. HALE increased in 202 of 204 countries and territories between 2000 and 2019.&lt;/p&gt;&lt;h3&gt;Interpretation&lt;/h3&gt;&lt;p&gt;Over the past 20 years, fertility rates have been dropping steadily and life expectancy has been increasing, with few exceptions. Much of this change follows historical patterns linking social and economic determinants, such as those captured by the GBD Socio-demographic Index, with demographic outcomes. More recently, several countries have experienced a combination of low fertility and stagnating improvement in mortality rates, pushing more populations into the late stages of the demographic transition. Tracking demographic change and the emergence of new patterns will be essential for global health monitoring.&lt;/p&gt;&lt;h3&gt;Funding&lt;/h3&gt;&lt;p&gt;Bill &amp; Melinda Gates Foundation.&lt;/p&gt;","container-title":"The Lancet","DOI":"10.1016/S0140-6736(20)30977-6","ISSN":"0140-6736, 1474-547X","issue":"10258","journalAbbreviation":"The Lancet","language":"English","note":"publisher: Elsevier\nPMID: 33069325","page":"1160-1203","source":"www.thelancet.com","title":"Global age-sex-specific fertility, mortality, healthy life expectancy (HALE), and population estimates in 204 countries and territories, 1950–2019: a comprehensive demographic analysis for the Global Burden of Disease Study 2019","title-short":"Global age-sex-specific fertility, mortality, healthy life expectancy (HALE), and population estimates in 204 countries and territories, 1950–2019","volume":"396","author":[{"family":"Wang","given":"Haidong"},{"family":"Abbas","given":"Kaja M."},{"family":"Abbasifard","given":"Mitra"},{"family":"Abbasi-Kangevari","given":"Mohsen"},{"family":"Abbastabar","given":"Hedayat"},{"family":"Abd-Allah","given":"Foad"},{"family":"Abdelalim","given":"Ahmed"},{"family":"Abolhassani","given":"Hassan"},{"family":"Abreu","given":"Lucas Guimarães"},{"family":"Abrigo","given":"Michael R. M."},{"family":"Abushouk","given":"Abdelrahman I."},{"family":"Adabi","given":"Maryam"},{"family":"Adair","given":"Tim"},{"family":"Adebayo","given":"Oladimeji M."},{"family":"Adedeji","given":"Isaac Akinkunmi"},{"family":"Adekanmbi","given":"Victor"},{"family":"Adeoye","given":"Abiodun Moshood"},{"family":"Adetokunboh","given":"Olatunji O."},{"family":"Advani","given":"Shailesh M."},{"family":"Afshin","given":"Ashkan"},{"family":"Aghaali","given":"Mohammad"},{"family":"Agrawal","given":"Anurag"},{"family":"Ahmadi","given":"Keivan"},{"family":"Ahmadieh","given":"Hamid"},{"family":"Ahmed","given":"Muktar Beshir"},{"family":"Al-Aly","given":"Ziyad"},{"family":"Alam","given":"Khurshid"},{"family":"Alam","given":"Tahiya"},{"family":"Alanezi","given":"Fahad Mashhour"},{"family":"Alanzi","given":"Turki M."},{"family":"Alcalde-Rabanal","given":"Jacqueline Elizabeth"},{"family":"Ali","given":"Muhammad"},{"family":"Alicandro","given":"Gianfranco"},{"family":"Alijanzadeh","given":"Mehran"},{"family":"Alinia","given":"Cyrus"},{"family":"Alipour","given":"Vahid"},{"family":"Alizade","given":"Hesam"},{"family":"Aljunid","given":"Syed Mohamed"},{"family":"Allebeck","given":"Peter"},{"family":"Almadi","given":"Majid Abdulrahman Hamad"},{"family":"Almasi-Hashiani","given":"Amir"},{"family":"Al-Mekhlafi","given":"Hesham M."},{"family":"Altirkawi","given":"Khalid A."},{"family":"Alumran","given":"Arwa Khalid"},{"family":"Alvis-Guzman","given":"Nelson"},{"family":"Amini-Rarani","given":"Mostafa"},{"family":"Aminorroaya","given":"Arya"},{"family":"Amit","given":"Arianna Maever L."},{"family":"Ancuceanu","given":"Robert"},{"family":"Andrei","given":"Catalina Liliana"},{"family":"Androudi","given":"Sofia"},{"family":"Angus","given":"Colin"},{"family":"Anjomshoa","given":"Mina"},{"family":"Ansari","given":"Fereshteh"},{"family":"Ansari","given":"Iman"},{"family":"Ansari-Moghaddam","given":"Alireza"},{"family":"Antonio","given":"Carl Abelardo T."},{"family":"Antony","given":"Catherine M."},{"family":"Anvari","given":"Davood"},{"family":"Appiah","given":"Seth Christopher Yaw"},{"family":"Arabloo","given":"Jalal"},{"family":"Arab-Zozani","given":"Morteza"},{"family":"Aravkin","given":"Aleksandr Y."},{"family":"Aremu","given":"Olatunde"},{"family":"Ärnlöv","given":"Johan"},{"family":"Aryal","given":"Krishna K."},{"family":"Asadi-Pooya","given":"Ali A."},{"family":"Asgari","given":"Samaneh"},{"family":"Jafarabadi","given":"Mohammad Asghari"},{"family":"Atteraya","given":"Madhu Sudhan"},{"family":"Ausloos","given":"Marcel"},{"family":"Avila-Burgos","given":"Leticia"},{"family":"Avokpaho","given":"Euripide Frinel Gbenato Arthur"},{"family":"Quintanilla","given":"Beatriz Paulina Ayala"},{"family":"Ayano","given":"Getinet"},{"family":"Ayanore","given":"Martin Amogre"},{"family":"Azarian","given":"Ghasem"},{"family":"Babaee","given":"Ebrahim"},{"family":"Badiye","given":"Ashish D."},{"family":"Bagli","given":"Eleni"},{"family":"Bahrami","given":"Mohammad Amin"},{"family":"Bakhtiari","given":"Ahad"},{"family":"Balassyano","given":"Shelly"},{"family":"Banach","given":"Maciej"},{"family":"Banik","given":"Palash Chandra"},{"family":"Barker-Collo","given":"Suzanne Lyn"},{"family":"Bärnighausen","given":"Till Winfried"},{"family":"Barzegar","given":"Akbar"},{"family":"Basu","given":"Sanjay"},{"family":"Baune","given":"Bernhard T."},{"family":"Bayati","given":"Mohsen"},{"family":"Bazmandegan","given":"Gholamreza"},{"family":"Bedi","given":"Neeraj"},{"family":"Bell","given":"Michellr L."},{"family":"Bennett","given":"Derrick A."},{"family":"Bensenor","given":"Isabela M."},{"family":"Berhe","given":"Kidanemaryam"},{"family":"Berman","given":"Adam E."},{"family":"Bertolacci","given":"Gregory J."},{"family":"Bhageerathy","given":"Reshmi"},{"family":"Bhala","given":"Neeraj"},{"family":"Bhattacharyya","given":"Krittika"},{"family":"Bhutta","given":"Zulfiqar A."},{"family":"Bijani","given":"Ali"},{"family":"Biondi","given":"Antonio"},{"family":"Bisanzio","given":"Donal"},{"family":"Bisignano","given":"Catherine"},{"family":"Biswas","given":"Raaj Kishore"},{"family":"Bjørge","given":"Tone"},{"family":"Bohlouli","given":"Somayeh"},{"family":"Bohluli","given":"Mehdi"},{"family":"Bolla","given":"Srinivasa Rao Rao"},{"family":"Borzì","given":"Antonio Maria"},{"family":"Borzouei","given":"Shiva"},{"family":"Brady","given":"Oliver J."},{"family":"Braithwaite","given":"Dejana"},{"family":"Brauer","given":"Michael"},{"family":"Briko","given":"Andrey Nikolaevich"},{"family":"Briko","given":"Nikolay Ivanovich"},{"family":"Bumgarner","given":"Blair R."},{"family":"Nagaraja","given":"Sharath Burugina"},{"family":"Butt","given":"Zahid A."},{"family":"Santos","given":"Florentino Luciano Caetano","dropping-particle":"dos"},{"family":"Cai","given":"Tianji"},{"family":"Callender","given":"Charlton SKH"},{"family":"Cámera","given":"Luis LA Alberto"},{"family":"Campos-Nonato","given":"Ismael R."},{"family":"Cárdenas","given":"Rosario"},{"family":"Carreras","given":"Giulia"},{"family":"Carrero","given":"Juan J."},{"family":"Carvalho","given":"Felix"},{"family":"Castaldelli-Maia","given":"Joao Mauricio"},{"family":"Castelpietra","given":"Giulio"},{"family":"Castro","given":"Franz"},{"family":"Catalá-López","given":"Ferrán"},{"family":"Cederroth","given":"Christopher R."},{"family":"Cerin","given":"Ester"},{"family":"Chattu","given":"Vijay Kumar"},{"family":"Chin","given":"Ken Lee"},{"family":"Chu","given":"Dinh-Toi"},{"family":"Ciobanu","given":"Liliana G."},{"family":"Cirillo","given":"Massimo"},{"family":"Comfort","given":"Haley"},{"family":"Costa","given":"Vera Marisa"},{"family":"Cowden","given":"Richard G."},{"family":"Cromwell","given":"Elizabeth A."},{"family":"Croneberger","given":"Andrew J."},{"family":"Cunningham","given":"Matthew"},{"family":"Dahlawi","given":"Saad M. A."},{"family":"Damiani","given":"Giovanni"},{"family":"D'Amico","given":"Emanuele"},{"family":"Dandona","given":"Lalit"},{"family":"Dandona","given":"Rakhi"},{"family":"Dargan","given":"Paul I."},{"family":"Darwesh","given":"Aso Mohammad"},{"family":"Daryani","given":"Ahmad"},{"family":"Gupta","given":"Rajat Das"},{"family":"Neves","given":"José","dropping-particle":"das"},{"family":"Davletov","given":"Kairat"},{"family":"Leo","given":"Diego De"},{"family":"Denova-Gutiérrez","given":"Edgar"},{"family":"Deribe","given":"Kebede"},{"family":"Dervenis","given":"Nikolaos"},{"family":"Desai","given":"Rupak"},{"family":"Dhungana","given":"Govinda Prasad"},{"family":"Silva","given":"Diana Dias","dropping-particle":"da"},{"family":"Diaz","given":"Daniel"},{"family":"Dippenaar","given":"Ilse N."},{"family":"Djalalinia","given":"Shirin"},{"family":"Do","given":"Hoa Thi"},{"family":"Dokova","given":"Klara"},{"family":"Doku","given":"David Teye"},{"family":"Dorostkar","given":"Fariba"},{"family":"Doshi","given":"Chirag P."},{"family":"Doshmangir","given":"Leila"},{"family":"Doyle","given":"Kerrie E."},{"family":"Dubljanin","given":"Eleonora"},{"family":"Duraes","given":"Andre Rodrigues"},{"family":"Edvardsson","given":"David"},{"family":"Effiong","given":"Andem"},{"family":"Sayed","given":"Iman El"},{"family":"Tantawi","given":"Maha El"},{"family":"Elbarazi","given":"Iffat"},{"family":"El-Jaafary","given":"Shaimaa I."},{"family":"Emamian","given":"Mohammad Hassan"},{"family":"Eskandarieh","given":"Sharareh"},{"family":"Esmaeilzadeh","given":"Firooz"},{"family":"Estep","given":"Kara"},{"family":"Farahmand","given":"Mohammad"},{"family":"Faraj","given":"Anwar"},{"family":"Fareed","given":"Mohammad"},{"family":"Faridnia","given":"Roghiyeh"},{"family":"Faro","given":"Andre"},{"family":"Farzadfar","given":"Farshad"},{"family":"Fattahi","given":"Nazir"},{"family":"Fazaeli","given":"Ali Akbar"},{"family":"Fazlzadeh","given":"Mehdi"},{"family":"Feigin","given":"Valery L."},{"family":"Fereshtehnejad","given":"Seyed-Mohammad"},{"family":"Fernandes","given":"Eduarda"},{"family":"Ferreira","given":"Manuela L."},{"family":"Filip","given":"Irina"},{"family":"Fischer","given":"Florian"},{"family":"Flohr","given":"Carsten"},{"family":"Foigt","given":"Nataliya A."},{"family":"Folayan","given":"Morenike Oluwatoyin"},{"family":"Fomenkov","given":"Artem Alekseevich"},{"family":"Freitas","given":"Marisa"},{"family":"Fukumoto","given":"Takeshi"},{"family":"Fuller","given":"John E."},{"family":"Furtado","given":"João M."},{"family":"Gad","given":"Mohamed M."},{"family":"Gakidou","given":"Emmanuela"},{"family":"Gallus","given":"Silvano"},{"family":"Gebrehiwot","given":"Abiyu Mekonnen"},{"family":"Gebremedhin","given":"Ketema Bizuwork"},{"family":"Gething","given":"Peter W."},{"family":"Ghamari","given":"Farhad"},{"family":"Ghashghaee","given":"Ahmad"},{"family":"Gholamian","given":"Asadollah"},{"family":"Gilani","given":"Syed Amir"},{"family":"Gitimoghaddam","given":"Mojgan"},{"family":"Glushkova","given":"Ekaterina Vladimirovna"},{"family":"Gnedovskaya","given":"Elena V."},{"family":"Gopalani","given":"Sameer Vali"},{"family":"Goulart","given":"Alessandra C."},{"family":"Gugnani","given":"Harish Chander"},{"family":"Guo","given":"Yuming"},{"family":"Gupta","given":"Rajeev"},{"family":"Gupta","given":"Subodh Sharan"},{"family":"Haagsma","given":"Juanita A."},{"family":"Haj-Mirzaian","given":"Arvin"},{"family":"Haj-Mirzaian","given":"Arya"},{"family":"Halvaei","given":"Iman"},{"family":"Hamadeh","given":"Randah R."},{"family":"Abdullah","given":"Kanaan Hamagharib"},{"family":"Han","given":"Chieh"},{"family":"Handiso","given":"Demelash Woldeyohannes"},{"family":"Hankey","given":"Graeme J."},{"family":"Haririan","given":"Hamidreza"},{"family":"Haro","given":"Josep Maria"},{"family":"Hasaballah","given":"Ahmed I."},{"family":"Hassanipour","given":"Soheil"},{"family":"Hassankhani","given":"Hadi"},{"family":"Hay","given":"Simon I."},{"family":"Heibati","given":"Behzad"},{"family":"Heidari-Soureshjani","given":"Reza"},{"family":"Henny","given":"Kiana"},{"family":"Henry","given":"Nathaniel J."},{"family":"Herteliu","given":"Claudiu"},{"family":"Heydarpour","given":"Fatemeh"},{"family":"Hole","given":"Michael K."},{"family":"Hoogar","given":"Praveen"},{"family":"Hosgood","given":"H. Dean"},{"family":"Hossain","given":"Naznin"},{"family":"Hosseinzadeh","given":"Mehdi"},{"family":"Hostiuc","given":"Mihaela"},{"family":"Hostiuc","given":"Sorin"},{"family":"Househ","given":"Mowafa"},{"family":"Hoy","given":"Damian G."},{"family":"Hu","given":"Guoqing"},{"family":"Huda","given":"Tanvir M."},{"family":"Ibitoye","given":"Segun Emmanuel"},{"family":"Ikuta","given":"Kevin S."},{"family":"Ilesanmi","given":"Olayinka Stephen"},{"family":"Ilic","given":"Irena M."},{"family":"Ilic","given":"Milena D."},{"family":"Imani-Nasab","given":"Mohammad Hasan"},{"family":"Islam","given":"MdMohaimenul"},{"family":"Iso","given":"Hiroyasu"},{"family":"Iwu","given":"Chinwe Juliana"},{"family":"Jaafari","given":"Jalil"},{"family":"Jacobsen","given":"Kathryn H."},{"family":"Jahagirdar","given":"Deepa"},{"family":"Jahanmehr","given":"Nader"},{"family":"Jalali","given":"Amir"},{"family":"Jalilian","given":"Farzad"},{"family":"James","given":"Spencer L."},{"family":"Janjani","given":"Hosna"},{"family":"Jenabi","given":"Ensiyeh"},{"family":"Jha","given":"Ravi Prakash"},{"family":"Jha","given":"Vivekanand"},{"family":"Ji","given":"John S."},{"family":"Jonas","given":"Jost B."},{"family":"Joukar","given":"Farahnaz"},{"family":"Jozwiak","given":"Jacek Jerzy"},{"family":"Jürisson","given":"Mikk"},{"family":"Kabir","given":"Zubair"},{"family":"Kalani","given":"Hamed"},{"family":"Kalankesh","given":"Leila R."},{"family":"Kamiab","given":"Zahra"},{"family":"Kanchan","given":"Tanuj"},{"family":"Kapoor","given":"Neeti"},{"family":"Karch","given":"André"},{"family":"Karimi","given":"Salah Eddin"},{"family":"Karimi","given":"Seyed Asaad"},{"family":"Kassebaum","given":"Nicholas J."},{"family":"Katikireddi","given":"Srinivasa Vittal"},{"family":"Kawakami","given":"Norito"},{"family":"Kayode","given":"Gbenga A."},{"family":"Keiyoro","given":"Peter Njenga"},{"family":"Keller","given":"Cathleen"},{"family":"Khader","given":"Yousef Saleh"},{"family":"Khalid","given":"Nauman"},{"family":"Khan","given":"Ejaz Ahmad"},{"family":"Khan","given":"Maseer"},{"family":"Khang","given":"Young-Ho"},{"family":"Khater","given":"Amir M."},{"family":"Khater","given":"Mona M."},{"family":"Khazaei","given":"Salman"},{"family":"Khazaie","given":"Habibolah"},{"family":"Khodayari","given":"Mohammad Taghi"},{"family":"Khubchandani","given":"Jagdish"},{"family":"Kianipour","given":"Neda"},{"family":"Kim","given":"Cho-il"},{"family":"Kim","given":"Young-Eun"},{"family":"Kim","given":"Yun Jin"},{"family":"Kinfu","given":"Yohannes"},{"family":"Kisa","given":"Adnan"},{"family":"Kisa","given":"Sezer"},{"family":"Kissimova-Skarbek","given":"Katarzyna"},{"family":"Kivimäki","given":"Mika"},{"family":"Komaki","given":"Hamidreza"},{"family":"Kopec","given":"Jacek A."},{"family":"Kosen","given":"Soewarta"},{"family":"Koul","given":"Parvaiz A."},{"family":"Koyanagi","given":"Ai"},{"family":"Kravchenko","given":"Michael A."},{"family":"Krishan","given":"Kewal"},{"family":"Krohn","given":"Kris J."},{"family":"Defo","given":"Barthelemy Kuate"},{"family":"Kumar","given":"G. Anil"},{"family":"Kumar","given":"Manasi"},{"family":"Kumar","given":"Pushpendra"},{"family":"Kumar","given":"Vivek"},{"family":"Kusuma","given":"Dian"},{"family":"Kyu","given":"Hmwe Hmwe"},{"family":"Vecchia","given":"Carlo La"},{"family":"Lacey","given":"Ben"},{"family":"Lal","given":"Dharmesh Kumar"},{"family":"Lalloo","given":"Ratilal"},{"family":"Lami","given":"Faris Hasan"},{"family":"Lansky","given":"Sonia"},{"family":"Larson","given":"Samantha Leigh"},{"family":"Larsson","given":"Anders O."},{"family":"Lasrado","given":"Savita"},{"family":"Lassi","given":"Zohra S."},{"family":"Lazarus","given":"Jeffrey V."},{"family":"Lee","given":"Paul H."},{"family":"Lee","given":"Shaun Wen Huey"},{"family":"Leever","given":"Andrew T."},{"family":"LeGrand","given":"Kate E."},{"family":"Leonardi","given":"Matilde"},{"family":"Li","given":"Shanshan"},{"family":"Lim","given":"Lee-Ling"},{"family":"Lim","given":"Stephen S."},{"family":"Linn","given":"Shai"},{"family":"Lodha","given":"Rakesh"},{"family":"Logroscino","given":"Giancarlo"},{"family":"Lopez","given":"Alan D."},{"family":"Lopukhov","given":"Platon D."},{"family":"Lotufo","given":"Paulo A."},{"family":"Lozano","given":"Rafael"},{"family":"Lu","given":"Alton"},{"family":"Lunevicius","given":"Raimundas"},{"family":"Madadin","given":"Mohammed"},{"family":"Maddison","given":"Emilie R."},{"family":"Razek","given":"Hassan Magdy Abd El"},{"family":"Razek","given":"Muhammed Magdy Abd El"},{"family":"Mahasha","given":"Phetole Walter"},{"family":"Mahdavi","given":"Mokhtar Mahdavi"},{"family":"Malekzadeh","given":"Reza"},{"family":"Mamun","given":"Abdullah A."},{"family":"Manafi","given":"Navid"},{"family":"Mansour-Ghanaei","given":"Fariborz"},{"family":"Mansouri","given":"Borhan"},{"family":"Mansournia","given":"Mohammad Ali"},{"family":"Mapoma","given":"Chabila Christopher"},{"family":"Martini","given":"Santi"},{"family":"Martins-Melo","given":"Francisco Rogerlândio"},{"family":"Masaka","given":"Anthony"},{"family":"Mastrogiacomo","given":"Claudia I."},{"family":"Mathur","given":"Manu Raj"},{"family":"May","given":"Erin A."},{"family":"McAlinden","given":"Colm"},{"family":"McGrath","given":"John J."},{"family":"McKee","given":"Martin"},{"family":"Mehndiratta","given":"Man Mohan"},{"family":"Mehri","given":"Fereshteh"},{"family":"Mehta","given":"Kala M."},{"family":"Meitei","given":"Wahengbam Bigyananda"},{"family":"Memiah","given":"Peter T. N."},{"family":"Mendoza","given":"Walter"},{"family":"Menezes","given":"Ritesh G."},{"family":"Mengesha","given":"Endalkachew Worku"},{"family":"Mensah","given":"George A."},{"family":"Meretoja","given":"Atte"},{"family":"Meretoja","given":"Tuomo J."},{"family":"Mestrovic","given":"Tomislav"},{"family":"Michalek","given":"Irmina Maria"},{"family":"Mihretie","given":"Kebadnew Mulatu"},{"family":"Miller","given":"Ted R."},{"family":"Mills","given":"Edward J."},{"family":"Milne","given":"George J."},{"family":"Mirrakhimov","given":"Erkin M."},{"family":"Mirzaei","given":"Hamed"},{"family":"Mirzaei","given":"Maryam"},{"family":"Mirzaei-Alavijeh","given":"Mehdi"},{"family":"Misganaw","given":"Awoke Temesgen"},{"family":"Moazen","given":"Babak"},{"family":"Moghadaszadeh","given":"Masoud"},{"family":"Mohamadi","given":"Efat"},{"family":"Mohammad","given":"Dara K."},{"family":"Mohammad","given":"Yousef"},{"family":"Mezerji","given":"Naser Mohammad Gholi"},{"family":"Mohammadbeigi","given":"Abolfazl"},{"family":"Mohammadian-Hafshejani","given":"Abdollah"},{"family":"Mohammadpourhodki","given":"Reza"},{"family":"Mohammed","given":"Hussen"},{"family":"Mohammed","given":"Shafiu"},{"family":"Mohebi","given":"Farnam"},{"family":"Bandpei","given":"Mohammad A. Mohseni"},{"family":"Mokari","given":"Amin"},{"family":"Mokdad","given":"Ali H."},{"family":"Momen","given":"Natalie C."},{"family":"Monasta","given":"Lorenzo"},{"family":"Mooney","given":"Meghan D."},{"family":"Moradi","given":"Ghobad"},{"family":"Moradi","given":"Masoud"},{"family":"Moradi-Joo","given":"Mohammad"},{"family":"Moradi-Lakeh","given":"Maziar"},{"family":"Moradzadeh","given":"Rahmatollah"},{"family":"Moraga","given":"Paula"},{"family":"Velásquez","given":"Ilais Moreno"},{"family":"Morgado-da-Costa","given":"Joana"},{"family":"Morrison","given":"Shane Douglas"},{"family":"Mosser","given":"Jonathan F."},{"family":"Mouodi","given":"Simin"},{"family":"Mousavi","given":"Seyyed Meysam"},{"family":"Khaneghah","given":"Amin Mousavi"},{"family":"Mueller","given":"Ulrich Otto"},{"family":"Musa","given":"Kamarul Imran"},{"family":"Muthupandian","given":"Saravanan"},{"family":"Nabavizadeh","given":"Behnam"},{"family":"Naderi","given":"Mehdi"},{"family":"Nagarajan","given":"Ahamarshan Jayaraman"},{"family":"Naghavi","given":"Mohsen"},{"family":"Naghshtabrizi","given":"Behshad"},{"family":"Naik","given":"Gurudatta"},{"family":"Najafi","given":"Farid"},{"family":"Nangia","given":"Vinay"},{"family":"Nansseu","given":"Jobert Richie"},{"family":"Ndwandwe","given":"Duduzile Edith"},{"family":"Negoi","given":"Ionut"},{"family":"Negoi","given":"Ruxandra Irina"},{"family":"Ngunjiri","given":"Josephine W."},{"family":"Nguyen","given":"Huong Lan Thi"},{"family":"Nguyen","given":"Trang Huyen"},{"family":"Nigatu","given":"Yeshambel T."},{"family":"Nikbakhsh","given":"Rajan"},{"family":"Nikpoor","given":"Amin Reza"},{"family":"Nixon","given":"Molly R."},{"family":"Nnaji","given":"Chukwudi A."},{"family":"Nomura","given":"Shuhei"},{"family":"Noubiap","given":"Jean Jacques"},{"family":"Motlagh","given":"Soraya Nouraei"},{"family":"Nowak","given":"Christoph"},{"family":"Oţoiu","given":"Adrian"},{"family":"Odell","given":"Christopher M."},{"family":"Oh","given":"In-Hwan"},{"family":"Oladnabi","given":"Morteza"},{"family":"Olagunju","given":"Andrew T."},{"family":"Olusanya","given":"Bolajoko Olubukunola"},{"family":"Olusanya","given":"Jacob Olusegun"},{"family":"Bali","given":"Ahmed Omar"},{"family":"Ong","given":"Kanyin L."},{"family":"Onwujekwe","given":"Obinna E."},{"family":"Ortiz","given":"Alberto"},{"family":"Otstavnov","given":"Nikita"},{"family":"Otstavnov","given":"Stanislav S."},{"family":"Øverland","given":"Simon"},{"family":"Owolabi","given":"Mayowa O."},{"family":"A","given":"Mahesh P."},{"family":"Padubidri","given":"Jagadish Rao"},{"family":"Pakshir","given":"Keyvan"},{"family":"Palladino","given":"Raffaele"},{"family":"Pana","given":"Adrian"},{"family":"Panda-Jonas","given":"Songhomitra"},{"family":"Park","given":"James"},{"family":"Pasupula","given":"Deepak Kumar"},{"family":"Patel","given":"Jenil R."},{"family":"Patel","given":"Sangram Kishor"},{"family":"Patton","given":"George C."},{"family":"Paulson","given":"Katherine R."},{"family":"Toroudi","given":"Hamidreza Pazoki"},{"family":"Pease","given":"Spencer A."},{"family":"Peden","given":"Amy E."},{"family":"Pepito","given":"Veincent Christian Filipino"},{"family":"Peprah","given":"Emmanuel K."},{"family":"Pereira","given":"Alexandre"},{"family":"Pereira","given":"David M."},{"family":"Perico","given":"Norberto"},{"family":"Pigott","given":"David M."},{"family":"Pilgrim","given":"Thomas"},{"family":"Pilz","given":"Tessa M."},{"family":"Piradov","given":"Michael A."},{"family":"Pirsaheb","given":"Meghdad"},{"family":"Pokhrel","given":"Khem Narayan"},{"family":"Postma","given":"Maarten J."},{"family":"Pourjafar","given":"Hadi"},{"family":"Pourmalek","given":"Farshad"},{"family":"Pourshams","given":"Akram"},{"family":"Poznańska","given":"Anna"},{"family":"Prada","given":"Sergio I."},{"family":"Prakash","given":"Sanjay"},{"family":"Preotescu","given":"Liliana"},{"family":"Syed","given":"Zahiruddin Quazi"},{"family":"Rabiee","given":"Mohammad"},{"family":"Rabiee","given":"Navid"},{"family":"Radfar","given":"Amir"},{"family":"Rafiei","given":"Alireza"},{"family":"Raggi","given":"Alberto"},{"family":"Rahman","given":"Muhammad Aziz"},{"family":"Rajabpour-Sanati","given":"Ali"},{"family":"Ram","given":"Pradhum"},{"family":"Ranabhat","given":"Chhabi Lal"},{"family":"Rao","given":"Sowmya J."},{"family":"Rasella","given":"Davide"},{"family":"Rashedi","given":"Vahid"},{"family":"Rastogi","given":"Prateek"},{"family":"Rathi","given":"Priya"},{"family":"Rawal","given":"Lal"},{"family":"Remuzzi","given":"Giuseppe"},{"family":"Renjith","given":"Vishnu"},{"family":"Renzaho","given":"Andre M. N."},{"family":"Resnikoff","given":"Serge"},{"family":"Rezaei","given":"Nima"},{"family":"Rezai","given":"Mohammad","dropping-particle":"sadegh"},{"family":"Rezapour","given":"Aziz"},{"family":"Rickard","given":"Jennifer"},{"family":"Roever","given":"Leonardo"},{"family":"Ronfani","given":"Luca"},{"family":"Roshandel","given":"Gholamreza"},{"family":"Rostamian","given":"Morteza"},{"family":"Rubagotti","given":"Enrico"},{"family":"Rwegerera","given":"Godfrey M."},{"family":"Sabour","given":"Siamak"},{"family":"Saddik","given":"Basema"},{"family":"Sadeghi","given":"Ehsan"},{"family":"Sadeghi","given":"Masoumeh"},{"family":"Moghaddam","given":"Sahar Saeedi"},{"family":"Safari","given":"Yahya"},{"family":"Safi","given":"Sare"},{"family":"Safiri","given":"Saeid"},{"family":"Sagar","given":"Rajesh"},{"family":"Sahebkar","given":"Amirhossein"},{"family":"Sahraian","given":"Mohammad Ali"},{"family":"Sajadi","given":"S. Mohammad"},{"family":"Salahshoor","given":"Mohammad Reza"},{"family":"Salama","given":"Joseph S."},{"family":"Salamati","given":"Payman"},{"family":"Salem","given":"Marwa R. Rashad"},{"family":"Salimi","given":"Yahya"},{"family":"Salomon","given":"Joshua A."},{"family":"Salz","given":"Inbal"},{"family":"Samad","given":"Zainab"},{"family":"Samy","given":"Abdallah M."},{"family":"Sanabria","given":"Juan"},{"family":"Santric-Milicevic","given":"Milena M."},{"family":"Saraswathy","given":"Sivan Yegnanarayana Iyer"},{"family":"Sartorius","given":"Benn"},{"family":"Sarveazad","given":"Arash"},{"family":"Sathian","given":"Brijesh"},{"family":"Sathish","given":"Thirunavukkarasu"},{"family":"Sattin","given":"Davide"},{"family":"Saylan","given":"Mete"},{"family":"Schaeffer","given":"Lauren E."},{"family":"Schiavolin","given":"Silvia"},{"family":"Schwebel","given":"David C."},{"family":"Schwendicke","given":"Falk"},{"family":"Sekerija","given":"Mario"},{"family":"Senbeta","given":"Anbissa Muleta"},{"family":"Senthilkumaran","given":"Subramanian"},{"family":"Sepanlou","given":"Sadaf G."},{"family":"Serván-Mori","given":"Edson"},{"family":"Shabani","given":"Mahsima"},{"family":"Shahabi","given":"Saeed"},{"family":"Shahbaz","given":"Mohammad"},{"family":"Shaheen","given":"Amira A."},{"family":"Shaikh","given":"Masood Ali"},{"family":"Shalash","given":"Ali S."},{"family":"Shams-Beyranvand","given":"Mehran"},{"family":"Shamsi","given":"MohammadBagher"},{"family":"Shamsizadeh","given":"Morteza"},{"family":"Shannawaz","given":"Mohammed"},{"family":"Sharafi","given":"Kiomars"},{"family":"Sharafi","given":"Zeinab"},{"family":"Sharara","given":"Fablina"},{"family":"Sharma","given":"Rajesh"},{"family":"Shaw","given":"David H."},{"family":"Sheikh","given":"Aziz"},{"family":"Shin","given":"Jae Il"},{"family":"Shiri","given":"Rahman"},{"family":"Shrime","given":"Mark G."},{"family":"Shuval","given":"Kerem"},{"family":"Siabani","given":"Soraya"},{"family":"Sigfusdottir","given":"Inga Dora"},{"family":"Sigurvinsdottir","given":"Rannveig"},{"family":"Silva","given":"Diego Augusto Santos"},{"family":"Simonetti","given":"Biagio"},{"family":"Simpson","given":"Kyle E."},{"family":"Singh","given":"Jasvinder A."},{"family":"Skiadaresi","given":"Eirini"},{"family":"Skryabin","given":"Valentin Yurievich"},{"family":"Soheili","given":"Amin"},{"family":"Sokhan","given":"Anton"},{"family":"Sorensen","given":"Reed J. D."},{"family":"Soriano","given":"Joan B."},{"family":"Sorrie","given":"Muluken Bekele"},{"family":"Soyiri","given":"Ireneous N."},{"family":"Spurlock","given":"Emma Elizabeth"},{"family":"Sreeramareddy","given":"Chandrashekhar T."},{"family":"Stockfelt","given":"Leo"},{"family":"Stokes","given":"Mark A."},{"family":"Stubbs","given":"Jacob L."},{"family":"Sudaryanto","given":"Agus"},{"family":"Sufiyan","given":"Mu'awiyyah Babale"},{"family":"Abdulkader","given":"Rizwan Suliankatchi"},{"family":"Sykes","given":"Bryan L."},{"family":"Tabarés-Seisdedos","given":"Rafael"},{"family":"Tabb","given":"Karen M."},{"family":"Tadakamadla","given":"Santosh Kumar"},{"family":"Taherkhani","given":"Amir"},{"family":"Tang","given":"Muming"},{"family":"Taveira","given":"Nuno"},{"family":"Taylor","given":"Heather Jean"},{"family":"Teagle","given":"Whitney L."},{"family":"Tehrani-Banihashemi","given":"Arash"},{"family":"Teklehaimanot","given":"Berhane Fseha"},{"family":"Tessema","given":"Zemenu Tadesse"},{"family":"Thankappan","given":"Kavumpurathu Raman"},{"family":"Thomas","given":"Nihal"},{"family":"Thrift","given":"Amanda G."},{"family":"Titova","given":"Mariya Vladimirovna"},{"family":"Tohidinik","given":"Hamid Reza"},{"family":"Tonelli","given":"Marcello"},{"family":"Topor-Madry","given":"Roman"},{"family":"Topouzis","given":"Fotis"},{"family":"Tovani-Palone","given":"Marcos Roberto Roberto"},{"family":"Traini","given":"Eugenio"},{"family":"Tran","given":"Bach Xuan"},{"family":"Travillian","given":"Ravensara"},{"family":"Trias-Llimós","given":"Sergi"},{"family":"Truelsen","given":"Thomas Clement"},{"family":"Car","given":"Lorainne Tudor"},{"family":"Unnikrishnan","given":"Bhaskaran"},{"family":"Upadhyay","given":"Era"},{"family":"Vacante","given":"Marco"},{"family":"Vakilian","given":"Alireza"},{"family":"Valdez","given":"Pascual R."},{"family":"Valli","given":"Alessandro"},{"family":"Vardavas","given":"Constantine"},{"family":"Vasankari","given":"Tommi Juhani"},{"family":"Vasconcelos","given":"Ana Maria Nogales"},{"family":"Vasseghian","given":"Yasser"},{"family":"Veisani","given":"Yousef"},{"family":"Venketasubramanian","given":"Narayanaswamy"},{"family":"Vidale","given":"Simone"},{"family":"Violante","given":"Francesco S."},{"family":"Vlassov","given":"Vasily"},{"family":"Vollset","given":"Stein Emil"},{"family":"Vos","given":"Theo"},{"family":"Vujcic","given":"Isidora S."},{"family":"Vukovic","given":"Ana"},{"family":"Vukovic","given":"Rade"},{"family":"Waheed","given":"Yasir"},{"family":"Wallin","given":"Mitchell Taylor"},{"family":"Walters","given":"Magdalene K."},{"family":"Wang","given":"Hongbo"},{"family":"Wang","given":"Yuan-Pang"},{"family":"Watson","given":"Stefanie"},{"family":"Wei","given":"Jingkai"},{"family":"Weiss","given":"Jordan"},{"family":"Weldesamuel","given":"Girmay Teklay"},{"family":"Werdecker","given":"Andrea"},{"family":"Westerman","given":"Ronny"},{"family":"Whiteford","given":"Harvey A."},{"family":"Wiangkham","given":"Taweewat"},{"family":"Wiens","given":"Kirsten E."},{"family":"Wijeratne","given":"Tissa"},{"family":"Wiysonge","given":"Charles Shey"},{"family":"Wojtyniak","given":"Bogdan"},{"family":"Wolfe","given":"Charles D. A."},{"family":"Wondmieneh","given":"Adam Belay"},{"family":"Wool","given":"Eve E."},{"family":"Wu","given":"Ai-Min"},{"family":"Wu","given":"Junjie"},{"family":"Xu","given":"Gelin"},{"family":"Yamada","given":"Tomohide"},{"family":"Yamagishi","given":"Kazumasa"},{"family":"Yano","given":"Yuichiro"},{"family":"Yaya","given":"Sanni"},{"family":"Yazdi-Feyzabadi","given":"Vahid"},{"family":"Yearwood","given":"Jamal A."},{"family":"Yeheyis","given":"Tomas Y."},{"family":"Yilgwan","given":"Christopher Sabo"},{"family":"Yip","given":"Paul"},{"family":"Yonemoto","given":"Naohiro"},{"family":"Yoon","given":"Seok-Jun"},{"family":"Lebni","given":"Javad Yoosefi"},{"family":"York","given":"Hunter W."},{"family":"Younis","given":"Mustafa Z."},{"family":"Younker","given":"Theodore Patrick"},{"family":"Yousefi","given":"Zabihollah"},{"family":"Yousefinezhadi","given":"Taraneh"},{"family":"Yousuf","given":"Abdilahi Yousuf"},{"family":"Yusefzadeh","given":"Hasan"},{"family":"Moghadam","given":"Telma Zahirian"},{"family":"Zakzuk","given":"Josefina"},{"family":"Zaman","given":"Sojib Bin"},{"family":"Zamani","given":"Mohammad"},{"family":"Zamanian","given":"Maryam"},{"family":"Zandian","given":"Hamed"},{"family":"Zhang","given":"Zhi-Jiang"},{"family":"Zheng","given":"Peng"},{"family":"Zhou","given":"Maigeng"},{"family":"Ziapour","given":"Arash"},{"family":"Murray","given":"Christopher J. L."}],"issued":{"date-parts":[["2020",10,17]]}}}],"schema":"https://github.com/citation-style-language/schema/raw/master/csl-citation.json"}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36</w:t>
      </w:r>
      <w:r w:rsidRPr="009664B1">
        <w:rPr>
          <w:rFonts w:ascii="Arial" w:hAnsi="Arial" w:cs="Arial"/>
        </w:rPr>
        <w:fldChar w:fldCharType="end"/>
      </w:r>
      <w:r w:rsidRPr="009664B1">
        <w:rPr>
          <w:rFonts w:ascii="Arial" w:hAnsi="Arial" w:cs="Arial"/>
        </w:rPr>
        <w:t xml:space="preserve"> </w:t>
      </w:r>
      <w:bookmarkStart w:id="3" w:name="_Hlk24311013"/>
      <w:r w:rsidRPr="009664B1">
        <w:rPr>
          <w:rFonts w:ascii="Arial" w:hAnsi="Arial" w:cs="Arial"/>
        </w:rPr>
        <w:t>Baseline data on the weight distribution in each country were adopted from a pooled analysis of population-based measurements undertaken by the NCD Risk Factor Collaboration.</w:t>
      </w:r>
      <w:r w:rsidRPr="009664B1">
        <w:rPr>
          <w:rFonts w:ascii="Arial" w:hAnsi="Arial" w:cs="Arial"/>
        </w:rPr>
        <w:fldChar w:fldCharType="begin" w:fldLock="1"/>
      </w:r>
      <w:r w:rsidR="00935615">
        <w:rPr>
          <w:rFonts w:ascii="Arial" w:hAnsi="Arial" w:cs="Arial"/>
        </w:rPr>
        <w:instrText xml:space="preserve"> ADDIN ZOTERO_ITEM CSL_CITATION {"citationID":"GUdBFCIF","properties":{"formattedCitation":"\\super 37\\nosupersub{}","plainCitation":"37","noteIndex":0},"citationItems":[{"id":"XSX8F4tB/b4NLTASL","uris":["http://www.mendeley.com/documents/?uuid=03c8b2c0-b4a7-46fe-8e27-12cc02e7d40a",["http://www.mendeley.com/documents/?uuid=03c8b2c0-b4a7-46fe-8e27-12cc02e7d40a"]],"itemData":{"DOI":"10.1016/S0140-6736(16)30054-X","ISSN":"0140-6736","abstract":"SummaryBackground Underweight and severe and morbid obesity are associated with highly elevated risks of adverse health outcomes. We estimated trends in mean body-mass index (BMI), which characterises its population distribution, and in the prevalences of a complete set of BMI categories for adults in all countries. Methods We analysed, with use of a consistent protocol, population-based studies that had measured height and weight in adults aged 18 years and older. We applied a Bayesian hierarchical model to these data to estimate trends from 1975 to 2014 in mean BMI and in the prevalences of BMI categories (&lt;18·5 kg/m2 [underweight], 18·5 kg/m2 to &lt;20 kg/m2, 20 kg/m2 to &lt;25 kg/m2, 25 kg/m2 to &lt;30 kg/m2, 30 kg/m2 to &lt;35 kg/m2, 35 kg/m2 to &lt;40 kg/m2, ≥40 kg/m2 [morbid obesity]), by sex in 200 countries and territories, organised in 21 regions. We calculated the posterior probability of meeting the target of halting by 2025 the rise in obesity at its 2010 levels, if post-2000 trends continue. Findings We used 1698 population-based data sources, with more than 19·2 million adult participants (9·9 million men and 9·3 million women) in 186 of 200 countries for which estimates were made. Global age-standardised mean BMI increased from 21·7 kg/m2 (95% credible interval 21·3–22·1) in 1975 to 24·2 kg/m2 (24·0–24·4) in 2014 in men, and from 22·1 kg/m2 (21·7–22·5) in 1975 to 24·4 kg/m2 (24·2–24·6) in 2014 in women. Regional mean BMIs in 2014 for men ranged from 21·4 kg/m2 in central Africa and south Asia to 29·2 kg/m2 (28·6–29·8) in Polynesia and Micronesia; for women the range was from 21·8 kg/m2 (21·4–22·3) in south Asia to 32·2 kg/m2 (31·5–32·8) in Polynesia and Micronesia. Over these four decades, age-standardised global prevalence of underweight decreased from 13·8% (10·5–17·4) to 8·8% (7·4–10·3) in men and from 14·6% (11·6–17·9) to 9·7% (8·3–11·1) in women. South Asia had the highest prevalence of underweight in 2014, 23·4% (17·8–29·2) in men and 24·0% (18·9–29·3) in women. Age-standardised prevalence of obesity increased from 3·2% (2·4–4·1) in 1975 to 10·8% (9·7–12·0) in 2014 in men, and from 6·4% (5·1–7·8) to 14·9% (13·6–16·1) in women. 2·3% (2·0–2·7) of the world's men and 5·0% (4·4–5·6) of women were severely obese (ie, have BMI ≥35 kg/m2). Globally, prevalence of morbid obesity was 0·64% (0·46–0·86) in men and 1·6% (1·3–1·9) in women. Interpretation If post-2000 trends continue, the probability of meeting the global obesity target is virtually zero. Rat…","author":[{"dropping-particle":"","family":"NCD Risk Factor Collaboration (NCD-RisC)","given":"","non-dropping-particle":"","parse-names":false,"suffix":""}],"container-title":"The Lancet","id":"ITEM-1","issue":"10026","issued":{"date-parts":[["2016","4","27"]]},"page":"1377-1396","title":"Trends in adult body-mass index in 200 countries from 1975 to 2014: a pooled analysis of 1698 population-based measurement studies with 19·2 million participants","type":"article-journal","volume":"387"}}],"schema":"https://github.com/citation-style-language/schema/raw/master/csl-citation.json"}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37</w:t>
      </w:r>
      <w:r w:rsidRPr="009664B1">
        <w:rPr>
          <w:rFonts w:ascii="Arial" w:hAnsi="Arial" w:cs="Arial"/>
        </w:rPr>
        <w:fldChar w:fldCharType="end"/>
      </w:r>
      <w:r w:rsidRPr="009664B1">
        <w:rPr>
          <w:rFonts w:ascii="Arial" w:hAnsi="Arial" w:cs="Arial"/>
        </w:rPr>
        <w:t xml:space="preserve"> </w:t>
      </w:r>
      <w:bookmarkEnd w:id="3"/>
    </w:p>
    <w:p w14:paraId="7E8E5825" w14:textId="77777777" w:rsidR="003653BF" w:rsidRPr="009664B1" w:rsidRDefault="003653BF" w:rsidP="00FC0B1B">
      <w:pPr>
        <w:pStyle w:val="NoSpacing"/>
        <w:spacing w:line="360" w:lineRule="auto"/>
        <w:rPr>
          <w:rFonts w:ascii="Arial" w:hAnsi="Arial" w:cs="Arial"/>
        </w:rPr>
      </w:pPr>
    </w:p>
    <w:p w14:paraId="3A80FDA0" w14:textId="62CCC555" w:rsidR="00292287" w:rsidRDefault="003653BF" w:rsidP="00FC0B1B">
      <w:pPr>
        <w:pStyle w:val="NoSpacing"/>
        <w:spacing w:line="360" w:lineRule="auto"/>
        <w:rPr>
          <w:rFonts w:ascii="Arial" w:hAnsi="Arial" w:cs="Arial"/>
        </w:rPr>
      </w:pPr>
      <w:r w:rsidRPr="009664B1">
        <w:rPr>
          <w:rFonts w:ascii="Arial" w:hAnsi="Arial" w:cs="Arial"/>
        </w:rPr>
        <w:t>The relative risk estimates that relate the risk factors to the disease endpoints were adopted from meta-analyses of prospective cohort studies for dietary and weight-related risks.</w:t>
      </w:r>
      <w:r w:rsidRPr="009664B1">
        <w:rPr>
          <w:rFonts w:ascii="Arial" w:hAnsi="Arial" w:cs="Arial"/>
        </w:rPr>
        <w:fldChar w:fldCharType="begin" w:fldLock="1"/>
      </w:r>
      <w:r w:rsidR="00935615">
        <w:rPr>
          <w:rFonts w:ascii="Arial" w:hAnsi="Arial" w:cs="Arial"/>
        </w:rPr>
        <w:instrText xml:space="preserve"> ADDIN ZOTERO_ITEM CSL_CITATION {"citationID":"ZM9mw0Ak","properties":{"formattedCitation":"\\super 38\\uc0\\u8211{}44\\nosupersub{}","plainCitation":"38–44","noteIndex":0},"citationItems":[{"id":"XSX8F4tB/mi5bktRa","uris":["http://www.mendeley.com/documents/?uuid=bf14c98a-8a93-4f97-8bac-47a7a1e72abe",["http://www.mendeley.com/documents/?uuid=bf14c98a-8a93-4f97-8bac-47a7a1e72abe"]],"itemData":{"DOI":"10.3945/ajcn.113.076901","ISSN":"0002-9165, 1938-3207","abstract":"Background: Relations between the consumption of nuts and legumes and risk of ischemic heart disease (IHD), stroke, and diabetes have not been well established. Objective: We systematically investigated and quantified associations of nut and legume consumption with incident IHD, stroke, and diabetes. Design: We systematically searched multiple databases to identify randomized controlled trials or observational studies that examined the relations. Studies were excluded if they reported only intermediate physiologic measures, soft cardiovascular outcomes, or crude risk estimates. Data were extracted independently and in duplicate. We assessed pooled dose-response relations by using a generalized least-squares trend estimation, and prespecified sources of heterogeneity were assessed by using metaregression. The potential for publication bias was explored by using funnel plots, Begg's and Egger's tests, and Duval and Tweedie trim-and-fill methods. Results: Of 3851 abstracts, 25 observational studies (23 prospective and 2 retrospective studies) and 2 trial reports met inclusion criteria and comprised 501,791 unique individuals and 11,869 IHD, 8244 stroke, and 14,449 diabetes events. The consumption of nuts was inversely associated with fatal IHD (6 studies; 6749 events; RR per 4 weekly 28.4-g servings: 0.76; 95% CI: 0.69, 0.84; I2 = 28%), nonfatal IHD (4 studies; 2101 events; RR: 0.78; 0.67, 0.92; I2 = 0%), and diabetes (6 studies; 13,308 events; RR: 0.87; 0.81,0.94; I2 = 22%) but not stroke (4 studies; 5544 events). Legume consumption was inversely associated with total IHD (5 studies; 6514 events; RR per 4 weekly 100-g servings: 0.86; 0.78, 0.94; I2 = 0%) but not significantly associated with stroke (6 studies; 6690 events) or diabetes (2 studies; 2746 events). A meta-regression did not identify the effect modification by age, duration of follow-up, study location, or study quality. Mixed evidence was seen for publication bias, but analyses by using the Duval and Tweedie trim-and-fill method did not appreciably alter results. Conclusion: This systematic review supports inverse associations between eating nuts and incident IHD and diabetes and eating legumes and incident IHD.","author":[{"dropping-particle":"","family":"Afshin","given":"Ashkan","non-dropping-particle":"","parse-names":false,"suffix":""},{"dropping-particle":"","family":"Micha","given":"Renata","non-dropping-particle":"","parse-names":false,"suffix":""},{"dropping-particle":"","family":"Khatibzadeh","given":"Shahab","non-dropping-particle":"","parse-names":false,"suffix":""},{"dropping-particle":"","family":"Mozaffarian","given":"Dariush","non-dropping-particle":"","parse-names":false,"suffix":""}],"container-title":"The American Journal of Clinical Nutrition","id":"ITEM-1","issued":{"date-parts":[["2014","1","11"]]},"language":"en","page":"ajcn.076901","title":"Consumption of nuts and legumes and risk of incident ischemic heart disease, stroke, and diabetes: a systematic review and meta-analysis","type":"article-journal"}},{"id":"XSX8F4tB/6u43c8lU","uris":["http://www.mendeley.com/documents/?uuid=51e5ca6d-09a4-4fa0-8727-166c77ed1a0e",["http://www.mendeley.com/documents/?uuid=51e5ca6d-09a4-4fa0-8727-166c77ed1a0e"]],"itemData":{"DOI":"10.1186/s12916-016-0730-3","ISSN":"1741-7015","abstract":"BACKGROUND: Although nut consumption has been associated with a reduced risk of cardiovascular disease and all-cause mortality, data on less common causes of death has not been systematically assessed. Previous reviews missed several studies and additional studies have since been published. We therefore conducted a systematic review and meta-analysis of nut consumption and risk of cardiovascular disease, total cancer, and all-cause and cause-specific mortality. METHODS: PubMed and Embase were searched for prospective studies of nut consumption and risk of cardiovascular disease, total cancer, and all-cause and cause-specific mortality in adult populations published up to July 19, 2016. Summary relative risks (RRs) and 95% confidence intervals (CIs) were calculated using random-effects models. The burden of mortality attributable to low nut consumption was calculated for selected regions. RESULTS: Twenty studies (29 publications) were included in the meta-analysis. The summary RRs per 28 grams/day increase in nut intake was for coronary heart disease, 0.71 (95% CI: 0.63-0.80, I(2) = 47%, n = 11), stroke, 0.93 (95% CI: 0.83-1.05, I(2) = 14%, n = 11), cardiovascular disease, 0.79 (95% CI: 0.70-0.88, I(2) = 60%, n = 12), total cancer, 0.85 (95% CI: 0.76-0.94, I(2) = 42%, n = 8), all-cause mortality, 0.78 (95% CI: 0.72-0.84, I(2) = 66%, n = 15), and for mortality from respiratory disease, 0.48 (95% CI: 0.26-0.89, I(2) = 61%, n = 3), diabetes, 0.61 (95% CI: 0.43-0.88, I(2) = 0%, n = 4), neurodegenerative disease, 0.65 (95% CI: 0.40-1.08, I(2) = 5.9%, n = 3), infectious disease, 0.25 (95% CI: 0.07-0.85, I(2) = 54%, n = 2), and kidney disease, 0.27 (95% CI: 0.04-1.91, I(2) = 61%, n = 2). The results were similar for tree nuts and peanuts. If the associations are causal, an estimated 4.4 million premature deaths in the America, Europe, Southeast Asia, and Western Pacific would be attributable to a nut intake below 20 grams per day in 2013. CONCLUSIONS: Higher nut intake is associated with reduced risk of cardiovascular disease, total cancer and all-cause mortality, and mortality from respiratory disease, diabetes, and infections.","author":[{"dropping-particle":"","family":"Aune","given":"Dagfinn","non-dropping-particle":"","parse-names":false,"suffix":""},{"dropping-particle":"","family":"Keum","given":"NaNa","non-dropping-particle":"","parse-names":false,"suffix":""},{"dropping-particle":"","family":"Giovannucci","given":"Edward","non-dropping-particle":"","parse-names":false,"suffix":""},{"dropping-particle":"","family":"Fadnes","given":"Lars T","non-dropping-particle":"","parse-names":false,"suffix":""},{"dropping-particle":"","family":"Boffetta","given":"Paolo","non-dropping-particle":"","parse-names":false,"suffix":""},{"dropping-particle":"","family":"Greenwood","given":"Darren C","non-dropping-particle":"","parse-names":false,"suffix":""},{"dropping-particle":"","family":"Tonstad","given":"Serena","non-dropping-particle":"","parse-names":false,"suffix":""},{"dropping-particle":"","family":"Vatten","given":"Lars J","non-dropping-particle":"","parse-names":false,"suffix":""},{"dropping-particle":"","family":"Riboli","given":"Elio","non-dropping-particle":"","parse-names":false,"suffix":""},{"dropping-particle":"","family":"Norat","given":"Teresa","non-dropping-particle":"","parse-names":false,"suffix":""}],"container-title":"BMC medicine","id":"ITEM-2","issue":"1","issued":{"date-parts":[["2016"]]},"language":"eng","page":"207","title":"Nut consumption and risk of cardiovascular disease, total cancer, all-cause and cause-specific mortality: a systematic review and dose-response meta-analysis of prospective studies","type":"article-journal","volume":"14"}},{"id":"XSX8F4tB/8OrADJK6","uris":["http://www.mendeley.com/documents/?uuid=41a1412e-fd91-4471-b9d5-043119c08674",["http://www.mendeley.com/documents/?uuid=41a1412e-fd91-4471-b9d5-043119c08674"]],"itemData":{"author":[{"dropping-particle":"","family":"Aune","given":"D","non-dropping-particle":"","parse-names":false,"suffix":""},{"dropping-particle":"","family":"Giovannucci","given":"E","non-dropping-particle":"","parse-names":false,"suffix":""},{"dropping-particle":"","family":"Boffetta","given":"P","non-dropping-particle":"","parse-names":false,"suffix":""},{"dropping-particle":"","family":"Fadnes","given":"L T","non-dropping-particle":"","parse-names":false,"suffix":""},{"dropping-particle":"","family":"Keum","given":"N","non-dropping-particle":"","parse-names":false,"suffix":""},{"dropping-particle":"","family":"Norat","given":"T","non-dropping-particle":"","parse-names":false,"suffix":""},{"dropping-particle":"","family":"Greenwood","given":"D C","non-dropping-particle":"","parse-names":false,"suffix":""},{"dropping-particle":"","family":"Riboli","given":"E","non-dropping-particle":"","parse-names":false,"suffix":""},{"dropping-particle":"","family":"Vatten","given":"L J","non-dropping-particle":"","parse-names":false,"suffix":""},{"dropping-particle":"","family":"Tonstad","given":"S","non-dropping-particle":"","parse-names":false,"suffix":""}],"container-title":"International Journal of Epidemiology","id":"ITEM-3","issued":{"date-parts":[["2016","3","18"]]},"title":"Fruit and vegetable intake and the risk of cardiovascular disease, total cancer and all-cause mortality–a systematic review and dose-response meta-analysis of prospective studies","type":"article-journal"}},{"id":"XSX8F4tB/3PuLfWsb","uris":["http://www.mendeley.com/documents/?uuid=cb63f780-e59e-3150-938d-88988d23d5ea",["http://www.mendeley.com/documents/?uuid=cb63f780-e59e-3150-938d-88988d23d5ea"]],"itemData":{"DOI":"10.1080/10408398.2017.1392288","ISSN":"1040-8398","abstract":"ABSTRACTBackground: Despite growing evidence for food-based dietary patterns' potential to reduce cardiovascular disease risk, knowledge about the amounts of food associated with the greatest change in risk of specific cardiovascular outcomes and about the quality of meta-evidence is limited. Therefore, the aim of this meta-analysis was to synthesize the knowledge about the relation between intake of 12 major food groups (whole grains, refined grains, vegetables, fruits, nuts, legumes, eggs, dairy, fish, red meat, processed meat, and sugar-sweetened beverages [SSB]) and the risk of coronary heart disease (CHD), stroke and heart failure (HF).Methods: We conducted a systematic search in PubMed and Embase up to March 2017 for prospective studies. Summary risk ratios (RRs) and 95% confidence intervals (95% CI) were estimated using a random effects model for highest versus lowest intake categories, as well as for linear and non-linear relationships.Results: Overall, 123 reports were included in the meta-analys...","author":[{"dropping-particle":"","family":"Bechthold","given":"Angela","non-dropping-particle":"","parse-names":false,"suffix":""},{"dropping-particle":"","family":"Boeing","given":"Heiner","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Iqbal","given":"Khalid","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Schlesinger","given":"Sabrina","non-dropping-particle":"","parse-names":false,"suffix":""},{"dropping-particle":"","family":"Schwingshackl","given":"Lukas","non-dropping-particle":"","parse-names":false,"suffix":""}],"container-title":"Critical Reviews in Food Science and Nutrition","id":"ITEM-4","issue":"7","issued":{"date-parts":[["2019","10","17"]]},"page":"1071-1090","publisher":"Taylor &amp; Francis","title":"Food groups and risk of coronary heart disease, stroke and heart failure: A systematic review and dose-response meta-analysis of prospective studies","type":"article-journal","volume":"59"}},{"id":"XSX8F4tB/iSVmoVEm","uris":["http://www.mendeley.com/documents/?uuid=ba4fcacc-f1c5-3030-ade7-aa63e34b8ebb",["http://www.mendeley.com/documents/?uuid=ba4fcacc-f1c5-3030-ade7-aa63e34b8ebb"]],"itemData":{"DOI":"10.1007/s10654-017-0246-y","ISSN":"15737284","PMID":"28397016","abstract":"The aim of this systematic review and meta-analysis was to synthesize the knowledge about the relation between intake of 12 major food groups and risk of type 2 diabetes (T2D). We conducted a systematic search in PubMed, Embase, Medline (Ovid), Cochrane Central, and Google Scholar for prospective studies investigating the association between whole grains, refined grains, vegetables, fruits, nuts, legumes, eggs, dairy, fish, red meat, processed meat, and sugar-sweetened beverages (SSB) on risk of T2D. Summary relative risks were estimated using a random effects model by contrasting categories, and for linear and non-linear dose–response relationships. Six out of the 12 food-groups showed a significant relation with risk of T2D, three of them a decrease of risk with increasing consumption (whole grains, fruits, and dairy), and three an increase of risk with increasing consumption (red meat, processed meat, and SSB) in the linear dose–response meta-analysis. There was evidence of a non-linear relationship between fruits, vegetables, processed meat, whole grains, and SSB and T2D risk. Optimal consumption of risk-decreasing foods resulted in a 42% reduction, and consumption of risk-increasing foods was associated with a threefold T2D risk, compared to non-consumption. The meta-evidence was graded “low” for legumes and nuts; “moderate” for refined grains, vegetables, fruit, eggs, dairy, and fish; and “high” for processed meat, red meat, whole grains, and SSB. Among the investigated food groups, selecting specific optimal intakes can lead to a considerable change in risk of T2D.","author":[{"dropping-particle":"","family":"Schwingshackl","given":"Lukas","non-dropping-particle":"","parse-names":false,"suffix":""},{"dropping-particle":"","family":"Hoffmann","given":"Georg","non-dropping-particle":"","parse-names":false,"suffix":""},{"dropping-particle":"","family":"Lampousi","given":"Anna Maria","non-dropping-particle":"","parse-names":false,"suffix":""},{"dropping-particle":"","family":"Knüppel","given":"Sven","non-dropping-particle":"","parse-names":false,"suffix":""},{"dropping-particle":"","family":"Iqbal","given":"Khalid","non-dropping-particle":"","parse-names":false,"suffix":""},{"dropping-particle":"","family":"Schwedhelm","given":"Carolina","non-dropping-particle":"","parse-names":false,"suffix":""},{"dropping-particle":"","family":"Bechthold","given":"Angela","non-dropping-particle":"","parse-names":false,"suffix":""},{"dropping-particle":"","family":"Schlesinger","given":"Sabrina","non-dropping-particle":"","parse-names":false,"suffix":""},{"dropping-particle":"","family":"Boeing","given":"Heiner","non-dropping-particle":"","parse-names":false,"suffix":""}],"container-title":"European Journal of Epidemiology","id":"ITEM-5","issue":"5","issued":{"date-parts":[["2017","5","1"]]},"page":"363-375","publisher":"Springer Netherlands","title":"Food groups and risk of type 2 diabetes mellitus: a systematic review and meta-analysis of prospective studies","type":"article-journal","volume":"32"}},{"id":"XSX8F4tB/dhr8IGXe","uris":["http://www.mendeley.com/documents/?uuid=bdd9c8da-ff28-31d3-9ce7-abf0cba8378b",["http://www.mendeley.com/documents/?uuid=bdd9c8da-ff28-31d3-9ce7-abf0cba8378b"]],"itemData":{"DOI":"10.1002/ijc.31198","ISSN":"10970215","PMID":"29210053","abstract":"The aim of this systematic review and meta-analysis was to summarize the evidence on the relationship between intake of 12 major food groups, including whole grains, refined grains, vegetables, fruit, nuts, legumes, eggs, dairy, fish, red meat, processed meat and sugar-sweetened beverages with risk of colorectal cancer (CRC). We conducted a systematic search in PubMed and Embase for prospective studies investigating the association between these 12 food groups and risk of CRC until April 2017. Summary risk ratios (RRs) and 95% confidence intervals (95% CI) were estimated using a random effects model for high vs. low intake categories, as well as for linear and nonlinear relationships. An inverse association was observed for whole grains (RR30g/d: 0.95, 95% CI 0.93, 0.97; n = 9 studies), vegetables (RR100g/d: 0.97, 95% CI 0.96, 0.98; n = 15), fruit (RR100g/d: 0.97, 95% CI 0.95, 0.99; n = 16) and dairy (RR200g/d: 0.93, 95% CI 0.91, 0.94; n = 15), while a positive association for red meat (RR100g/d: 1.12, 95% CI 1.06, 1.19; n = 21) and processed meat (RR50g/d: 1.17, 95% CI 1.10, 1.23; n = 16), was seen in the linear dose-response meta-analysis. Some evidence for nonlinear relationships was observed between vegetables, fruit and dairy and risk of colorectal cancer. Findings of this meta-analysis showed that a diet characterized by high intake of whole grains, vegetables, fruit and dairy products and low amounts of red meat and processed meat was associated with lower risk of CRC.","author":[{"dropping-particle":"","family":"Schwingshackl","given":"Lukas","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Laure Preterre","given":"Anne","non-dropping-particle":"","parse-names":false,"suffix":""},{"dropping-particle":"","family":"Iqbal","given":"Khalid","non-dropping-particle":"","parse-names":false,"suffix":""},{"dropping-particle":"","family":"Bechthold","given":"Angela","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Boeing","given":"Heiner","non-dropping-particle":"","parse-names":false,"suffix":""},{"dropping-particle":"","family":"Schlesinger","given":"Sabrina","non-dropping-particle":"","parse-names":false,"suffix":""}],"container-title":"International Journal of Cancer","id":"ITEM-6","issue":"9","issued":{"date-parts":[["2018","5","1"]]},"page":"1748-1758","publisher":"Wiley-Liss Inc.","title":"Food groups and risk of colorectal cancer","type":"article-journal","volume":"142"}},{"id":"XSX8F4tB/k6nBhZNM","uris":["http://www.mendeley.com/documents/?uuid=e3a53c36-63a5-3c10-bcd5-ac464b193cd8",["http://www.mendeley.com/documents/?uuid=e3a53c36-63a5-3c10-bcd5-ac464b193cd8"]],"itemData":{"DOI":"10.1016/S0140-6736(16)30175-1","ISSN":"1474-547X","PMID":"27423262","abstract":"BACKGROUND Overweight and obesity are increasing worldwide. To help assess their relevance to mortality in different populations we conducted individual-participant data meta-analyses of prospective studies of body-mass index (BMI), limiting confounding and reverse causality by restricting analyses to never-smokers and excluding pre-existing disease and the first 5 years of follow-up. METHODS Of 10 625 411 participants in Asia, Australia and New Zealand, Europe, and North America from 239 prospective studies (median follow-up 13·7 years, IQR 11·4-14·7), 3 951 455 people in 189 studies were never-smokers without chronic diseases at recruitment who survived 5 years, of whom 385 879 died. The primary analyses are of these deaths, and study, age, and sex adjusted hazard ratios (HRs), relative to BMI 22·5-&lt;25·0 kg/m(2). FINDINGS All-cause mortality was minimal at 20·0-25·0 kg/m(2) (HR 1·00, 95% CI 0·98-1·02 for BMI 20·0-&lt;22·5 kg/m(2); 1·00, 0·99-1·01 for BMI 22·5-&lt;25·0 kg/m(2)), and increased significantly both just below this range (1·13, 1·09-1·17 for BMI 18·5-&lt;20·0 kg/m(2); 1·51, 1·43-1·59 for BMI 15·0-&lt;18·5) and throughout the overweight range (1·07, 1·07-1·08 for BMI 25·0-&lt;27·5 kg/m(2); 1·20, 1·18-1·22 for BMI 27·5-&lt;30·0 kg/m(2)). The HR for obesity grade 1 (BMI 30·0-&lt;35·0 kg/m(2)) was 1·45, 95% CI 1·41-1·48; the HR for obesity grade 2 (35·0-&lt;40·0 kg/m(2)) was 1·94, 1·87-2·01; and the HR for obesity grade 3 (40·0-&lt;60·0 kg/m(2)) was 2·76, 2·60-2·92. For BMI over 25·0 kg/m(2), mortality increased approximately log-linearly with BMI; the HR per 5 kg/m(2) units higher BMI was 1·39 (1·34-1·43) in Europe, 1·29 (1·26-1·32) in North America, 1·39 (1·34-1·44) in east Asia, and 1·31 (1·27-1·35) in Australia and New Zealand. This HR per 5 kg/m(2) units higher BMI (for BMI over 25 kg/m(2)) was greater in younger than older people (1·52, 95% CI 1·47-1·56, for BMI measured at 35-49 years vs 1·21, 1·17-1·25, for BMI measured at 70-89 years; pheterogeneity&lt;0·0001), greater in men than women (1·51, 1·46-1·56, vs 1·30, 1·26-1·33; pheterogeneity&lt;0·0001), but similar in studies with self-reported and measured BMI. INTERPRETATION The associations of both overweight and obesity with higher all-cause mortality were broadly consistent in four continents. This finding supports strategies to combat the entire spectrum of excess adiposity in many populations. FUNDING UK Medical Research Council, British Heart Foundation, National Institute for Health Research, US National Institu…","author":[{"dropping-particle":"Di","family":"Global BMI Mortality Collaboration","given":"Emanuele","non-dropping-particle":"","parse-names":false,"suffix":""},{"dropping-particle":"","family":"Angelantonio","given":"Emanuele","non-dropping-particle":"Di","parse-names":false,"suffix":""},{"dropping-particle":"","family":"Bhupathiraju","given":"Shilpa","non-dropping-particle":"","parse-names":false,"suffix":""},{"dropping-particle":"","family":"Wormser","given":"David","non-dropping-particle":"","parse-names":false,"suffix":""},{"dropping-particle":"","family":"Gao","given":"Pei","non-dropping-particle":"","parse-names":false,"suffix":""},{"dropping-particle":"","family":"Kaptoge","given":"Stephen","non-dropping-particle":"","parse-names":false,"suffix":""},{"dropping-particle":"","family":"Berrington de Gonzalez","given":"Amy","non-dropping-particle":"","parse-names":false,"suffix":""},{"dropping-particle":"","family":"Cairns","given":"Benjamin","non-dropping-particle":"","parse-names":false,"suffix":""},{"dropping-particle":"","family":"Huxley","given":"Rachel","non-dropping-particle":"","parse-names":false,"suffix":""},{"dropping-particle":"","family":"Jackson","given":"Chandra","non-dropping-particle":"","parse-names":false,"suffix":""},{"dropping-particle":"","family":"Joshy","given":"Grace","non-dropping-particle":"","parse-names":false,"suffix":""},{"dropping-particle":"","family":"Lewington","given":"Sarah","non-dropping-particle":"","parse-names":false,"suffix":""},{"dropping-particle":"","family":"Manson","given":"JoAnn","non-dropping-particle":"","parse-names":false,"suffix":""},{"dropping-particle":"","family":"Murphy","given":"Neil","non-dropping-particle":"","parse-names":false,"suffix":""},{"dropping-particle":"","family":"Patel","given":"Alpa","non-dropping-particle":"","parse-names":false,"suffix":""},{"dropping-particle":"","family":"Samet","given":"Jonathan","non-dropping-particle":"","parse-names":false,"suffix":""},{"dropping-particle":"","family":"Woodward","given":"Mark","non-dropping-particle":"","parse-names":false,"suffix":""},{"dropping-particle":"","family":"Zheng","given":"Wei","non-dropping-particle":"","parse-names":false,"suffix":""},{"dropping-particle":"","family":"Zhou","given":"Maigen","non-dropping-particle":"","parse-names":false,"suffix":""},{"dropping-particle":"","family":"Bansal","given":"Narinder","non-dropping-particle":"","parse-names":false,"suffix":""},{"dropping-particle":"","family":"Barricarte","given":"Aurelio","non-dropping-particle":"","parse-names":false,"suffix":""},{"dropping-particle":"","family":"Carter","given":"Brian","non-dropping-particle":"","parse-names":false,"suffix":""},{"dropping-particle":"","family":"Cerhan","given":"James","non-dropping-particle":"","parse-names":false,"suffix":""},{"dropping-particle":"","family":"Smith","given":"George","non-dropping-particle":"","parse-names":false,"suffix":""},{"dropping-particle":"","family":"Fang","given":"Xianghua","non-dropping-particle":"","parse-names":false,"suffix":""},{"dropping-particle":"","family":"Franco","given":"Oscar","non-dropping-particle":"","parse-names":false,"suffix":""},{"dropping-particle":"","family":"Green","given":"Jane","non-dropping-particle":"","parse-names":false,"suffix":""},{"dropping-particle":"","family":"Halsey","given":"Jim","non-dropping-particle":"","parse-names":false,"suffix":""},{"dropping-particle":"","family":"Hildebrand","given":"Janet","non-dropping-particle":"","parse-names":false,"suffix":""},{"dropping-particle":"","family":"Jung","given":"Keum","non-dropping-particle":"","parse-names":false,"suffix":""},{"dropping-particle":"","family":"Korda","given":"Rosemary","non-dropping-particle":"","parse-names":false,"suffix":""},{"dropping-particle":"","family":"McLerran","given":"Dale","non-dropping-particle":"","parse-names":false,"suffix":""},{"dropping-particle":"","family":"Moore","given":"Steven","non-dropping-particle":"","parse-names":false,"suffix":""},{"dropping-particle":"","family":"O'Keeffe","given":"Linda","non-dropping-particle":"","parse-names":false,"suffix":""},{"dropping-particle":"","family":"Paige","given":"Ellie","non-dropping-particle":"","parse-names":false,"suffix":""},{"dropping-particle":"","family":"Ramond","given":"Anna","non-dropping-particle":"","parse-names":false,"suffix":""},{"dropping-particle":"","family":"Reeves","given":"Gillian","non-dropping-particle":"","parse-names":false,"suffix":""},{"dropping-particle":"","family":"Rolland","given":"Betsy","non-dropping-particle":"","parse-names":false,"suffix":""},{"dropping-particle":"","family":"Sacerdote","given":"Carlotta","non-dropping-particle":"","parse-names":false,"suffix":""},{"dropping-particle":"","family":"Sattar","given":"Naveed","non-dropping-particle":"","parse-names":false,"suffix":""},{"dropping-particle":"","family":"Sofianopoulou","given":"Eleni","non-dropping-particle":"","parse-names":false,"suffix":""},{"dropping-particle":"","family":"Stevens","given":"June","non-dropping-particle":"","parse-names":false,"suffix":""},{"dropping-particle":"","family":"Thun","given":"Michael","non-dropping-particle":"","parse-names":false,"suffix":""},{"dropping-particle":"","family":"Ueshima","given":"Hirotsugu","non-dropping-particle":"","parse-names":false,"suffix":""},{"dropping-particle":"","family":"Yang","given":"Ling","non-dropping-particle":"","parse-names":false,"suffix":""},{"dropping-particle":"","family":"Yun","given":"Young","non-dropping-particle":"","parse-names":false,"suffix":""},{"dropping-particle":"","family":"Willeit","given":"Peter","non-dropping-particle":"","parse-names":false,"suffix":""},{"dropping-particle":"","family":"Banks","given":"Emily","non-dropping-particle":"","parse-names":false,"suffix":""},{"dropping-particle":"","family":"Beral","given":"Valerie","non-dropping-particle":"","parse-names":false,"suffix":""},{"dropping-particle":"","family":"Chen","given":"Zhengming","non-dropping-particle":"","parse-names":false,"suffix":""},{"dropping-particle":"","family":"Gapstur","given":"Susan","non-dropping-particle":"","parse-names":false,"suffix":""},{"dropping-particle":"","family":"Gunter","given":"Marc","non-dropping-particle":"","parse-names":false,"suffix":""},{"dropping-particle":"","family":"Hartge","given":"Patricia","non-dropping-particle":"","parse-names":false,"suffix":""},{"dropping-particle":"","family":"Jee","given":"Sun","non-dropping-particle":"","parse-names":false,"suffix":""},{"dropping-particle":"","family":"Lam","given":"Tai-Hing","non-dropping-particle":"","parse-names":false,"suffix":""},{"dropping-particle":"","family":"Peto","given":"Richard","non-dropping-particle":"","parse-names":false,"suffix":""},{"dropping-particle":"","family":"Potter","given":"John","non-dropping-particle":"","parse-names":false,"suffix":""},{"dropping-particle":"","family":"Willett","given":"Walter","non-dropping-particle":"","parse-names":false,"suffix":""},{"dropping-particle":"","family":"Thompson","given":"Simon","non-dropping-particle":"","parse-names":false,"suffix":""},{"dropping-particle":"","family":"Danesh","given":"John","non-dropping-particle":"","parse-names":false,"suffix":""},{"dropping-particle":"","family":"Hu","given":"Frank","non-dropping-particle":"","parse-names":false,"suffix":""}],"container-title":"Lancet (London, England)","id":"ITEM-8","issue":"10046","issued":{"date-parts":[["2016","8","20"]]},"page":"776-86","publisher":"Elsevier","title":"Body-mass index and all-cause mortality: individual-participant-data meta-analysis of 239 prospective studies in four continents.","type":"article-journal","volume":"388"}}],"schema":"https://github.com/citation-style-language/schema/raw/master/csl-citation.json"}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38–44</w:t>
      </w:r>
      <w:r w:rsidRPr="009664B1">
        <w:rPr>
          <w:rFonts w:ascii="Arial" w:hAnsi="Arial" w:cs="Arial"/>
        </w:rPr>
        <w:fldChar w:fldCharType="end"/>
      </w:r>
      <w:r w:rsidRPr="009664B1">
        <w:rPr>
          <w:rFonts w:ascii="Arial" w:hAnsi="Arial" w:cs="Arial"/>
        </w:rPr>
        <w:t xml:space="preserve"> In line with the meta-analyses, we included non-linear dose-response relationships for fruits, </w:t>
      </w:r>
      <w:r w:rsidRPr="009664B1">
        <w:rPr>
          <w:rFonts w:ascii="Arial" w:hAnsi="Arial" w:cs="Arial"/>
        </w:rPr>
        <w:lastRenderedPageBreak/>
        <w:t>vegetables, and nuts and seeds, and assumed linear dose-response relationships for the remaining risk factors. As our analysis was primarily focused on mortality from chronic diseases, we focused on adults aged 20 year or older, and we adjusted the relative-risk estimates for attenuation with age based on a pooled analysis of cohort studies focussed on metabolic risk factors,</w:t>
      </w:r>
      <w:r w:rsidRPr="009664B1">
        <w:rPr>
          <w:rFonts w:ascii="Arial" w:hAnsi="Arial" w:cs="Arial"/>
        </w:rPr>
        <w:fldChar w:fldCharType="begin" w:fldLock="1"/>
      </w:r>
      <w:r w:rsidR="00935615">
        <w:rPr>
          <w:rFonts w:ascii="Arial" w:hAnsi="Arial" w:cs="Arial"/>
        </w:rPr>
        <w:instrText xml:space="preserve"> ADDIN ZOTERO_ITEM CSL_CITATION {"citationID":"a1l3j55jlgl","properties":{"formattedCitation":"\\super 45\\nosupersub{}","plainCitation":"45","noteIndex":0},"citationItems":[{"id":"XSX8F4tB/TiRgQNmo","uris":["http://www.mendeley.com/documents/?uuid=94bfa5a5-c6bb-4f3b-929c-8f4e3ee9945b",["http://www.mendeley.com/documents/?uuid=94bfa5a5-c6bb-4f3b-929c-8f4e3ee9945b"]],"itemData":{"DOI":"10.1371/journal.pone.0065174","ISSN":"1932-6203","abstract":"Background The effects of systolic blood pressure (SBP), serum total cholesterol (TC), fasting plasma glucose (FPG), and body mass index (BMI) on the risk of cardiovascular diseases (CVD) have been established in epidemiological studies, but consistent estimates of effect sizes by age and sex are not available.  Methods We reviewed large cohort pooling projects, evaluating effects of baseline or usual exposure to metabolic risks on ischemic heart disease (IHD), hypertensive heart disease (HHD), stroke, diabetes, and, as relevant selected other CVDs, after adjusting for important confounders. We pooled all data to estimate relative risks (RRs) for each risk factor and examined effect modification by age or other factors, using random effects models.  Results Across all risk factors, an average of 123 cohorts provided data on 1.4 million individuals and 52,000 CVD events. Each metabolic risk factor was robustly related to CVD. At the baseline age of 55–64 years, the RR for 10 mmHg higher SBP was largest for HHD (2.16; 95% CI 2.09–2.24), followed by effects on both stroke subtypes (1.66; 1.39–1.98 for hemorrhagic stroke and 1.63; 1.57–1.69 for ischemic stroke). In the same age group, RRs for 1 mmol/L higher TC were 1.44 (1.29–1.61) for IHD and 1.20 (1.15–1.25) for ischemic stroke. The RRs for 5 kg/m2 higher BMI for ages 55–64 ranged from 2.32 (2.04–2.63) for diabetes, to 1.44 (1.40–1.48) for IHD. For 1 mmol/L higher FPG, RRs in this age group were 1.18 (1.08–1.29) for IHD and 1.14 (1.01–1.29) for total stroke. For all risk factors, proportional effects declined with age, were generally consistent by sex, and differed by region in only a few age groups for certain risk factor-disease pairs.  Conclusion Our results provide robust, comparable and precise estimates of the effects of major metabolic risk factors on CVD and diabetes by age group.","author":[{"dropping-particle":"","family":"Singh","given":"Gitanjali M","non-dropping-particle":"","parse-names":false,"suffix":""},{"dropping-particle":"","family":"Danaei","given":"Goodarz","non-dropping-particle":"","parse-names":false,"suffix":""},{"dropping-particle":"","family":"Farzadfar","given":"Farshad","non-dropping-particle":"","parse-names":false,"suffix":""},{"dropping-particle":"","family":"Stevens","given":"Gretchen A","non-dropping-particle":"","parse-names":false,"suffix":""},{"dropping-particle":"","family":"Woodward","given":"Mark","non-dropping-particle":"","parse-names":false,"suffix":""},{"dropping-particle":"","family":"Wormser","given":"David","non-dropping-particle":"","parse-names":false,"suffix":""},{"dropping-particle":"","family":"Kaptoge","given":"Stephen","non-dropping-particle":"","parse-names":false,"suffix":""},{"dropping-particle":"","family":"Whitlock","given":"Gary","non-dropping-particle":"","parse-names":false,"suffix":""},{"dropping-particle":"","family":"Qiao","given":"Qing","non-dropping-particle":"","parse-names":false,"suffix":""},{"dropping-particle":"","family":"Lewington","given":"Sarah","non-dropping-particle":"","parse-names":false,"suffix":""},{"dropping-particle":"Di","family":"Angelantonio","given":"Emanuele","non-dropping-particle":"","parse-names":false,"suffix":""},{"dropping-particle":"vander","family":"Hoorn","given":"Stephen","non-dropping-particle":"","parse-names":false,"suffix":""},{"dropping-particle":"","family":"Lawes","given":"Carlene M M","non-dropping-particle":"","parse-names":false,"suffix":""},{"dropping-particle":"","family":"Ali","given":"Mohammed K","non-dropping-particle":"","parse-names":false,"suffix":""},{"dropping-particle":"","family":"Mozaffarian","given":"Dariush","non-dropping-particle":"","parse-names":false,"suffix":""},{"dropping-particle":"","family":"Ezzati","given":"Majid","non-dropping-particle":"","parse-names":false,"suffix":""},{"dropping-particle":"","family":"Group","given":"Global Burden of Metabolic Risk Factors of Chronic Diseases Collaborating","non-dropping-particle":"","parse-names":false,"suffix":""},{"dropping-particle":"","family":"(apcsc)","given":"Asia-Pacific Cohort Studies Collaboration","non-dropping-particle":"","parse-names":false,"suffix":""},{"dropping-particle":"","family":"(decode)","given":"Diabetes Epidemiology: Collaborative analysis of Diagnostic criteria in Europe","non-dropping-particle":"","parse-names":false,"suffix":""},{"dropping-particle":"","family":"(erfc)","given":"Emerging Risk Factor Collaboration","non-dropping-particle":"","parse-names":false,"suffix":""},{"dropping-particle":"","family":"(psc)","given":"Prospective Studies Collaboration","non-dropping-particle":"","parse-names":false,"suffix":""}],"container-title":"PLOS ONE","id":"ITEM-1","issue":"7","issued":{"date-parts":[["2013","10","3"]]},"page":"e65174","title":"The Age-Specific Quantitative Effects of Metabolic Risk Factors on Cardiovascular Diseases and Diabetes: A Pooled Analysis","type":"article-journal","volume":"8"}}],"schema":"https://github.com/citation-style-language/schema/raw/master/csl-citation.json"}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45</w:t>
      </w:r>
      <w:r w:rsidRPr="009664B1">
        <w:rPr>
          <w:rFonts w:ascii="Arial" w:hAnsi="Arial" w:cs="Arial"/>
        </w:rPr>
        <w:fldChar w:fldCharType="end"/>
      </w:r>
      <w:r w:rsidRPr="009664B1">
        <w:rPr>
          <w:rFonts w:ascii="Arial" w:hAnsi="Arial" w:cs="Arial"/>
        </w:rPr>
        <w:t xml:space="preserve"> in line with other assessments.</w:t>
      </w:r>
      <w:r w:rsidRPr="009664B1">
        <w:rPr>
          <w:rFonts w:ascii="Arial" w:hAnsi="Arial" w:cs="Arial"/>
        </w:rPr>
        <w:fldChar w:fldCharType="begin" w:fldLock="1"/>
      </w:r>
      <w:r w:rsidR="00935615">
        <w:rPr>
          <w:rFonts w:ascii="Arial" w:hAnsi="Arial" w:cs="Arial"/>
        </w:rPr>
        <w:instrText xml:space="preserve"> ADDIN ZOTERO_ITEM CSL_CITATION {"citationID":"a2n2o8dqqf","properties":{"formattedCitation":"\\super 34,46\\nosupersub{}","plainCitation":"34,46","noteIndex":0},"citationItems":[{"id":"XSX8F4tB/X6cQNIGw","uris":["http://www.mendeley.com/documents/?uuid=0f067f83-2d4b-47d5-a28e-4332e6c44add",["http://www.mendeley.com/documents/?uuid=0f067f83-2d4b-47d5-a28e-4332e6c44add"]],"itemData":{"DOI":"10.1371/journal.pone.0175149","ISSN":"1932-6203","author":[{"dropping-particle":"","family":"Micha","given":"Renata","non-dropping-particle":"","parse-names":false,"suffix":""},{"dropping-particle":"","family":"Shulkin","given":"Masha L","non-dropping-particle":"","parse-names":false,"suffix":""},{"dropping-particle":"","family":"Peñalvo","given":"Jose L","non-dropping-particle":"","parse-names":false,"suffix":""},{"dropping-particle":"","family":"Khatibzadeh","given":"Shahab","non-dropping-particle":"","parse-names":false,"suffix":""},{"dropping-particle":"","family":"Singh","given":"Gitanjali M","non-dropping-particle":"","parse-names":false,"suffix":""},{"dropping-particle":"","family":"Rao","given":"Mayuree","non-dropping-particle":"","parse-names":false,"suffix":""},{"dropping-particle":"","family":"Fahimi","given":"Saman","non-dropping-particle":"","parse-names":false,"suffix":""},{"dropping-particle":"","family":"Powles","given":"John","non-dropping-particle":"","parse-names":false,"suffix":""},{"dropping-particle":"","family":"Mozaffarian","given":"Dariush","non-dropping-particle":"","parse-names":false,"suffix":""}],"container-title":"PLOS ONE","editor":[{"dropping-particle":"","family":"Kiechl","given":"Stefan","non-dropping-particle":"","parse-names":false,"suffix":""}],"id":"ITEM-1","issue":"4","issued":{"date-parts":[["2017","10","3"]]},"language":"en","page":"e0175149","title":"Etiologic effects and optimal intakes of foods and nutrients for risk of cardiovascular diseases and diabetes: Systematic reviews and meta-analyses from the Nutrition and Chronic Diseases Expert Group (NutriCoDE)","type":"article-journal","volume":"12"}},{"id":"XSX8F4tB/KTB87vAX","uris":["http://www.mendeley.com/documents/?uuid=a83b53a6-01d9-4f31-a0d7-c3cc7e732d95",["http://www.mendeley.com/documents/?uuid=a83b53a6-01d9-4f31-a0d7-c3cc7e732d95"]],"itemData":{"DOI":"10.1016/S0140-6736(15)00128-2","ISSN":"01406736","author":[{"dropping-particle":"","family":"Forouzanfar","given":"Mohammad H","non-dropping-particle":"","parse-names":false,"suffix":""},{"dropping-particle":"","family":"Alexander","given":"Lily","non-dropping-particle":"","parse-names":false,"suffix":""},{"dropping-particle":"","family":"Anderson","given":"H Ross","non-dropping-particle":"","parse-names":false,"suffix":""},{"dropping-particle":"","family":"Bachman","given":"Victoria F","non-dropping-particle":"","parse-names":false,"suffix":""},{"dropping-particle":"","family":"Biryukov","given":"Stan","non-dropping-particle":"","parse-names":false,"suffix":""},{"dropping-particle":"","family":"Brauer","given":"Michael","non-dropping-particle":"","parse-names":false,"suffix":""},{"dropping-particle":"","family":"Burnett","given":"Richard","non-dropping-particle":"","parse-names":false,"suffix":""},{"dropping-particle":"","family":"Casey","given":"Daniel","non-dropping-particle":"","parse-names":false,"suffix":""},{"dropping-particle":"","family":"Coates","given":"Matthew M","non-dropping-particle":"","parse-names":false,"suffix":""},{"dropping-particle":"","family":"Cohen","given":"Aaron","non-dropping-particle":"","parse-names":false,"suffix":""},{"dropping-particle":"","family":"Delwiche","given":"Kristen","non-dropping-particle":"","parse-names":false,"suffix":""},{"dropping-particle":"","family":"Estep","given":"Kara","non-dropping-particle":"","parse-names":false,"suffix":""},{"dropping-particle":"","family":"Frostad","given":"Joseph J","non-dropping-particle":"","parse-names":false,"suffix":""},{"dropping-particle":"","family":"Kc","given":"Astha","non-dropping-particle":"","parse-names":false,"suffix":""},{"dropping-particle":"","family":"Kyu","given":"Hmwe H","non-dropping-particle":"","parse-names":false,"suffix":""},{"dropping-particle":"","family":"Moradi-Lakeh","given":"Maziar","non-dropping-particle":"","parse-names":false,"suffix":""},{"dropping-particle":"","family":"Ng","given":"Marie","non-dropping-particle":"","parse-names":false,"suffix":""},{"dropping-particle":"","family":"Slepak","given":"Erica Leigh","non-dropping-particle":"","parse-names":false,"suffix":""},{"dropping-particle":"","family":"Thomas","given":"Bernadette A","non-dropping-particle":"","parse-names":false,"suffix":""},{"dropping-particle":"","family":"Wagner","given":"Joseph","non-dropping-particle":"","parse-names":false,"suffix":""},{"dropping-particle":"","family":"Aasvang","given":"Gunn Marit","non-dropping-particle":"","parse-names":false,"suffix":""},{"dropping-particle":"","family":"Abbafati","given":"Cristiana","non-dropping-particle":"","parse-names":false,"suffix":""},{"dropping-particle":"","family":"Ozgoren","given":"Ayse Abbasoglu","non-dropping-particle":"","parse-names":false,"suffix":""},{"dropping-particle":"","family":"Abd-Allah","given":"Foad","non-dropping-particle":"","parse-names":false,"suffix":""},{"dropping-particle":"","family":"Abera","given":"Semaw F","non-dropping-particle":"","parse-names":false,"suffix":""},{"dropping-particle":"","family":"Aboyans","given":"Victor","non-dropping-particle":"","parse-names":false,"suffix":""},{"dropping-particle":"","family":"Abraham","given":"Biju","non-dropping-particle":"","parse-names":false,"suffix":""},{"dropping-particle":"","family":"Abraham","given":"Jerry Puthenpurakal","non-dropping-particle":"","parse-names":false,"suffix":""},{"dropping-particle":"","family":"Abubakar","given":"Ibrahim","non-dropping-particle":"","parse-names":false,"suffix":""},{"dropping-particle":"","family":"Abu-Rmeileh","given":"Niveen M E","non-dropping-particle":"","parse-names":false,"suffix":""},{"dropping-particle":"","family":"Aburto","given":"Tania C","non-dropping-particle":"","parse-names":false,"suffix":""},{"dropping-particle":"","family":"Achoki","given":"Tom","non-dropping-particle":"","parse-names":false,"suffix":""},{"dropping-particle":"","family":"Adelekan","given":"Ademola","non-dropping-particle":"","parse-names":false,"suffix":""},{"dropping-particle":"","family":"Adofo","given":"Koranteng","non-dropping-particle":"","parse-names":false,"suffix":""},{"dropping-particle":"","family":"Adou","given":"Arsène K","non-dropping-particle":"","parse-names":false,"suffix":""},{"dropping-particle":"","family":"Adsuar","given":"José C","non-dropping-particle":"","parse-names":false,"suffix":""},{"dropping-particle":"","family":"Afshin","given":"Ashkan","non-dropping-particle":"","parse-names":false,"suffix":""},{"dropping-particle":"","family":"Agardh","given":"Emilie E","non-dropping-particle":"","parse-names":false,"suffix":""},{"dropping-particle":"","family":"Khabouri","given":"Mazin J","non-dropping-particle":"Al","parse-names":false,"suffix":""},{"dropping-particle":"","family":"Lami","given":"Faris H","non-dropping-particle":"Al","parse-names":false,"suffix":""},{"dropping-particle":"","family":"Alam","given":"Sayed Saidul","non-dropping-particle":"","parse-names":false,"suffix":""},{"dropping-particle":"","family":"Alasfoor","given":"Deena","non-dropping-particle":"","parse-names":false,"suffix":""},{"dropping-particle":"","family":"Albittar","given":"Mohammed I","non-dropping-particle":"","parse-names":false,"suffix":""},{"dropping-particle":"","family":"Alegretti","given":"Miguel A","non-dropping-particle":"","parse-names":false,"suffix":""},{"dropping-particle":"V","family":"Aleman","given":"Alicia","non-dropping-particle":"","parse-names":false,"suffix":""},{"dropping-particle":"","family":"Alemu","given":"Zewdie A","non-dropping-particle":"","parse-names":false,"suffix":""},{"dropping-particle":"","family":"Alfonso-Cristancho","given":"Rafael","non-dropping-particle":"","parse-names":false,"suffix":""},{"dropping-particle":"","family":"Alhabib","given":"Samia","non-dropping-particle":"","parse-names":false,"suffix":""},{"dropping-particle":"","family":"Ali","given":"Raghib","non-dropping-particle":"","parse-names":false,"suffix":""},{"dropping-particle":"","family":"Ali","given":"Mohammed K","non-dropping-particle":"","parse-names":false,"suffix":""},{"dropping-particle":"","family":"Alla","given":"François","non-dropping-particle":"","parse-names":false,"suffix":""},{"dropping-particle":"","family":"Allebeck","given":"Peter","non-dropping-particle":"","parse-names":false,"suffix":""},{"dropping-particle":"","family":"Allen","given":"Peter J","non-dropping-particle":"","parse-names":false,"suffix":""},{"dropping-particle":"","family":"Alsharif","given":"Ubai","non-dropping-particle":"","parse-names":false,"suffix":""},{"dropping-particle":"","family":"Alvarez","given":"Elena","non-dropping-particle":"","parse-names":false,"suffix":""},{"dropping-particle":"","family":"Alvis-Guzman","given":"Nelson","non-dropping-particle":"","parse-names":false,"suffix":""},{"dropping-particle":"","family":"Amankwaa","given":"Adansi A","non-dropping-particle":"","parse-names":false,"suffix":""},{"dropping-particle":"","family":"Amare","given":"Azmeraw T","non-dropping-particle":"","parse-names":false,"suffix":""},{"dropping-particle":"","family":"Ameh","given":"Emmanuel A","non-dropping-particle":"","parse-names":false,"suffix":""},{"dropping-particle":"","family":"Ameli","given":"Omid","non-dropping-particle":"","parse-names":false,"suffix":""},{"dropping-particle":"","family":"Amini","given":"Heresh","non-dropping-particle":"","parse-names":false,"suffix":""},{"dropping-particle":"","family":"Ammar","given":"Walid","non-dropping-particle":"","parse-names":false,"suffix":""},{"dropping-particle":"","family":"Anderson","given":"Benjamin O","non-dropping-particle":"","parse-names":false,"suffix":""},{"dropping-particle":"","family":"Antonio","given":"Carl Abelardo T","non-dropping-particle":"","parse-names":false,"suffix":""},{"dropping-particle":"","family":"Anwari","given":"Palwasha","non-dropping-particle":"","parse-names":false,"suffix":""},{"dropping-particle":"","family":"Cunningham","given":"Solveig Argeseanu","non-dropping-particle":"","parse-names":false,"suffix":""},{"dropping-particle":"","family":"Arnlöv","given":"Johan","non-dropping-particle":"","parse-names":false,"suffix":""},{"dropping-particle":"","family":"Arsenijevic","given":"Valentina S Arsic","non-dropping-particle":"","parse-names":false,"suffix":""},{"dropping-particle":"","family":"Artaman","given":"Al","non-dropping-particle":"","parse-names":false,"suffix":""},{"dropping-particle":"","family":"Asghar","given":"Rana J","non-dropping-particle":"","parse-names":false,"suffix":""},{"dropping-particle":"","family":"Assadi","given":"Reza","non-dropping-particle":"","parse-names":false,"suffix":""},{"dropping-particle":"","family":"Atkins","given":"Lydia S","non-dropping-particle":"","parse-names":false,"suffix":""},{"dropping-particle":"","family":"Atkinson","given":"Charles","non-dropping-particle":"","parse-names":false,"suffix":""},{"dropping-particle":"","family":"Avila","given":"Marco A","non-dropping-particle":"","parse-names":false,"suffix":""},{"dropping-particle":"","family":"Awuah","given":"Baffour","non-dropping-particle":"","parse-names":false,"suffix":""},{"dropping-particle":"","family":"Badawi","given":"Alaa","non-dropping-particle":"","parse-names":false,"suffix":""},{"dropping-particle":"","family":"Bahit","given":"Maria C","non-dropping-particle":"","parse-names":false,"suffix":""},{"dropping-particle":"","family":"Bakfalouni","given":"Talal","non-dropping-particle":"","parse-names":false,"suffix":""},{"dropping-particle":"","family":"Balakrishnan","given":"Kalpana","non-dropping-particle":"","parse-names":false,"suffix":""},{"dropping-particle":"","family":"Balalla","given":"Shivanthi","non-dropping-particle":"","parse-names":false,"suffix":""},{"dropping-particle":"","family":"Balu","given":"Ravi Kumar","non-dropping-particle":"","parse-names":false,"suffix":""},{"dropping-particle":"","family":"Banerjee","given":"Amitava","non-dropping-particle":"","parse-names":false,"suffix":""},{"dropping-particle":"","family":"Barber","given":"Ryan M","non-dropping-particle":"","parse-names":false,"suffix":""},{"dropping-particle":"","family":"Barker-Collo","given":"Suzanne L","non-dropping-particle":"","parse-names":false,"suffix":""},{"dropping-particle":"","family":"Barquera","given":"Simon","non-dropping-particle":"","parse-names":false,"suffix":""},{"dropping-particle":"","family":"Barregard","given":"Lars","non-dropping-particle":"","parse-names":false,"suffix":""},{"dropping-particle":"","family":"Barrero","given":"Lope H","non-dropping-particle":"","parse-names":false,"suffix":""},{"dropping-particle":"","family":"Barrientos-Gutierrez","given":"Tonatiuh","non-dropping-particle":"","parse-names":false,"suffix":""},{"dropping-particle":"","family":"Basto-Abreu","given":"Ana C","non-dropping-particle":"","parse-names":false,"suffix":""},{"dropping-particle":"","family":"Basu","given":"Arindam","non-dropping-particle":"","parse-names":false,"suffix":""},{"dropping-particle":"","family":"Basu","given":"Sanjay","non-dropping-particle":"","parse-names":false,"suffix":""},{"dropping-particle":"","family":"Basulaiman","given":"Mohammed O","non-dropping-particle":"","parse-names":false,"suffix":""},{"dropping-particle":"","family":"Ruvalcaba","given":"Carolina Batis","non-dropping-particle":"","parse-names":false,"suffix":""},{"dropping-particle":"","family":"Beardsley","given":"Justin","non-dropping-particle":"","parse-names":false,"suffix":""},{"dropping-particle":"","family":"Bedi","given":"Neeraj","non-dropping-particle":"","parse-names":false,"suffix":""},{"dropping-particle":"","family":"Bekele","given":"Tolesa","non-dropping-particle":"","parse-names":false,"suffix":""},{"dropping-particle":"","family":"Bell","given":"Michelle L","non-dropping-particle":"","parse-names":false,"suffix":""},{"dropping-particle":"","family":"Benjet","given":"Corina","non-dropping-particle":"","parse-names":false,"suffix":""},{"dropping-particle":"","family":"Bennett","given":"Derrick A","non-dropping-particle":"","parse-names":false,"suffix":""},{"dropping-particle":"","family":"Benzian","given":"Habib","non-dropping-particle":"","parse-names":false,"suffix":""},{"dropping-particle":"","family":"Bernabé","given":"Eduardo","non-dropping-particle":"","parse-names":false,"suffix":""},{"dropping-particle":"","family":"Beyene","given":"Tariku J","non-dropping-particle":"","parse-names":false,"suffix":""},{"dropping-particle":"","family":"Bhala","given":"Neeraj","non-dropping-particle":"","parse-names":false,"suffix":""},{"dropping-particle":"","family":"Bhalla","given":"Ashish","non-dropping-particle":"","parse-names":false,"suffix":""},{"dropping-particle":"","family":"Bhutta","given":"Zulfiqar A","non-dropping-particle":"","parse-names":false,"suffix":""},{"dropping-particle":"","family":"Bikbov","given":"Boris","non-dropping-particle":"","parse-names":false,"suffix":""},{"dropping-particle":"Bin","family":"Abdulhak","given":"Aref A","non-dropping-particle":"","parse-names":false,"suffix":""},{"dropping-particle":"","family":"Blore","given":"Jed D","non-dropping-particle":"","parse-names":false,"suffix":""},{"dropping-particle":"","family":"Blyth","given":"Fiona M","non-dropping-particle":"","parse-names":false,"suffix":""},{"dropping-particle":"","family":"Bohensky","given":"Megan A","non-dropping-particle":"","parse-names":false,"suffix":""},{"dropping-particle":"","family":"Başara","given":"Berrak Bora","non-dropping-particle":"","parse-names":false,"suffix":""},{"dropping-particle":"","family":"Borges","given":"Guilherme","non-dropping-particle":"","parse-names":false,"suffix":""},{"dropping-particle":"","family":"Bornstein","given":"Natan M","non-dropping-particle":"","parse-names":false,"suffix":""},{"dropping-particle":"","family":"Bose","given":"Dipan","non-dropping-particle":"","parse-names":false,"suffix":""},{"dropping-particle":"","family":"Boufous","given":"Soufiane","non-dropping-particle":"","parse-names":false,"suffix":""},{"dropping-particle":"","family":"Bourne","given":"Rupert R","non-dropping-particle":"","parse-names":false,"suffix":""},{"dropping-particle":"","family":"Brainin","given":"Michael","non-dropping-particle":"","parse-names":false,"suffix":""},{"dropping-particle":"","family":"Brazinova","given":"Alexandra","non-dropping-particle":"","parse-names":false,"suffix":""},{"dropping-particle":"","family":"Breitborde","given":"Nicholas J","non-dropping-particle":"","parse-names":false,"suffix":""},{"dropping-particle":"","family":"Brenner","given":"Hermann","non-dropping-particle":"","parse-names":false,"suffix":""},{"dropping-particle":"","family":"Briggs","given":"Adam D M","non-dropping-particle":"","parse-names":false,"suffix":""},{"dropping-particle":"","family":"Broday","given":"David M","non-dropping-particle":"","parse-names":false,"suffix":""},{"dropping-particle":"","family":"Brooks","given":"Peter M","non-dropping-particle":"","parse-names":false,"suffix":""},{"dropping-particle":"","family":"Bruce","given":"Nigel G","non-dropping-particle":"","parse-names":false,"suffix":""},{"dropping-particle":"","family":"Brugha","given":"Traolach S","non-dropping-particle":"","parse-names":false,"suffix":""},{"dropping-particle":"","family":"Brunekreef","given":"Bert","non-dropping-particle":"","parse-names":false,"suffix":""},{"dropping-particle":"","family":"Buchbinder","given":"Rachelle","non-dropping-particle":"","parse-names":false,"suffix":""},{"dropping-particle":"","family":"Bui","given":"Linh N","non-dropping-particle":"","parse-names":false,"suffix":""},{"dropping-particle":"","family":"Bukhman","given":"Gene","non-dropping-particle":"","parse-names":false,"suffix":""},{"dropping-particle":"","family":"Bulloch","given":"Andrew G","non-dropping-particle":"","parse-names":false,"suffix":""},{"dropping-particle":"","family":"Burch","given":"Michael","non-dropping-particle":"","parse-names":false,"suffix":""},{"dropping-particle":"","family":"Burney","given":"Peter G J","non-dropping-particle":"","parse-names":false,"suffix":""},{"dropping-particle":"","family":"Campos-Nonato","given":"Ismael R","non-dropping-particle":"","parse-names":false,"suffix":""},{"dropping-particle":"","family":"Campuzano","given":"Julio C","non-dropping-particle":"","parse-names":false,"suffix":""},{"dropping-particle":"","family":"Cantoral","given":"Alejandra J","non-dropping-particle":"","parse-names":false,"suffix":""},{"dropping-particle":"","family":"Caravanos","given":"Jack","non-dropping-particle":"","parse-names":false,"suffix":""},{"dropping-particle":"","family":"Cárdenas","given":"Rosario","non-dropping-particle":"","parse-names":false,"suffix":""},{"dropping-particle":"","family":"Cardis","given":"Elisabeth","non-dropping-particle":"","parse-names":false,"suffix":""},{"dropping-particle":"","family":"Carpenter","given":"David O","non-dropping-particle":"","parse-names":false,"suffix":""},{"dropping-particle":"","family":"Caso","given":"Valeria","non-dropping-particle":"","parse-names":false,"suffix":""},{"dropping-particle":"","family":"Castañeda-Orjuela","given":"Carlos A","non-dropping-particle":"","parse-names":false,"suffix":""},{"dropping-particle":"","family":"Castro","given":"Ruben E","non-dropping-particle":"","parse-names":false,"suffix":""},{"dropping-particle":"","family":"Catalá-López","given":"Ferrán","non-dropping-particle":"","parse-names":false,"suffix":""},{"dropping-particle":"","family":"Cavalleri","given":"Fiorella","non-dropping-particle":"","parse-names":false,"suffix":""},{"dropping-particle":"","family":"Çavlin","given":"Alanur","non-dropping-particle":"","parse-names":false,"suffix":""},{"dropping-particle":"","family":"Chadha","given":"Vineet K","non-dropping-particle":"","parse-names":false,"suffix":""},{"dropping-particle":"","family":"Chang","given":"Jung-chen","non-dropping-particle":"","parse-names":false,"suffix":""},{"dropping-particle":"","family":"Charlson","given":"Fiona J","non-dropping-particle":"","parse-names":false,"suffix":""},{"dropping-particle":"","family":"Chen","given":"Honglei","non-dropping-particle":"","parse-names":false,"suffix":""},{"dropping-particle":"","family":"Chen","given":"Wanqing","non-dropping-particle":"","parse-names":false,"suffix":""},{"dropping-particle":"","family":"Chen","given":"Zhengming","non-dropping-particle":"","parse-names":false,"suffix":""},{"dropping-particle":"","family":"Chiang","given":"Peggy P","non-dropping-particle":"","parse-names":false,"suffix":""},{"dropping-particle":"","family":"Chimed-Ochir","given":"Odgerel","non-dropping-particle":"","parse-names":false,"suffix":""},{"dropping-particle":"","family":"Chowdhury","given":"Rajiv","non-dropping-particle":"","parse-names":false,"suffix":""},{"dropping-particle":"","family":"Christophi","given":"Costas A","non-dropping-particle":"","parse-names":false,"suffix":""},{"dropping-particle":"","family":"Chuang","given":"Ting-Wu","non-dropping-particle":"","parse-names":false,"suffix":""},{"dropping-particle":"","family":"Chugh","given":"Sumeet S","non-dropping-particle":"","parse-names":false,"suffix":""},{"dropping-particle":"","family":"Cirillo","given":"Massimo","non-dropping-particle":"","parse-names":false,"suffix":""},{"dropping-particle":"","family":"Claßen","given":"Thomas K D","non-dropping-particle":"","parse-names":false,"suffix":""},{"dropping-particle":"","family":"Colistro","given":"Valentina","non-dropping-particle":"","parse-names":false,"suffix":""},{"dropping-particle":"","family":"Colomar","given":"Mercedes","non-dropping-particle":"","parse-names":false,"suffix":""},{"dropping-particle":"","family":"Colquhoun","given":"Samantha M","non-dropping-particle":"","parse-names":false,"suffix":""},{"dropping-particle":"","family":"Contreras","given":"Alejandra G","non-dropping-particle":"","parse-names":false,"suffix":""},{"dropping-particle":"","family":"Cooper","given":"Cyrus","non-dropping-particle":"","parse-names":false,"suffix":""},{"dropping-particle":"","family":"Cooperrider","given":"Kimberly","non-dropping-particle":"","parse-names":false,"suffix":""},{"dropping-particle":"","family":"Cooper","given":"Leslie T","non-dropping-particle":"","parse-names":false,"suffix":""},{"dropping-particle":"","family":"Coresh","given":"Josef","non-dropping-particle":"","parse-names":false,"suffix":""},{"dropping-particle":"","family":"Courville","given":"Karen J","non-dropping-particle":"","parse-names":false,"suffix":""},{"dropping-particle":"","family":"Criqui","given":"Michael H","non-dropping-particle":"","parse-names":false,"suffix":""},{"dropping-particle":"","family":"Cuevas-Nasu","given":"Lucia","non-dropping-particle":"","parse-names":false,"suffix":""},{"dropping-particle":"","family":"Damsere-Derry","given":"James","non-dropping-particle":"","parse-names":false,"suffix":""},{"dropping-particle":"","family":"Danawi","given":"Hadi","non-dropping-particle":"","parse-names":false,"suffix":""},{"dropping-particle":"","family":"Dandona","given":"Lalit","non-dropping-particle":"","parse-names":false,"suffix":""},{"dropping-particle":"","family":"Dandona","given":"Rakhi","non-dropping-particle":"","parse-names":false,"suffix":""},{"dropping-particle":"","family":"Dargan","given":"Paul I","non-dropping-particle":"","parse-names":false,"suffix":""},{"dropping-particle":"","family":"Davis","given":"Adrian","non-dropping-particle":"","parse-names":false,"suffix":""},{"dropping-particle":"V","family":"Davitoiu","given":"Dragos","non-dropping-particle":"","parse-names":false,"suffix":""},{"dropping-particle":"","family":"Dayama","given":"Anand","non-dropping-particle":"","parse-names":false,"suffix":""},{"dropping-particle":"","family":"Castro","given":"E Filipa","non-dropping-particle":"de","parse-names":false,"suffix":""},{"dropping-particle":"","family":"la Cruz-Góngora","given":"Vanessa","non-dropping-particle":"De","parse-names":false,"suffix":""},{"dropping-particle":"","family":"Leo","given":"Diego","non-dropping-particle":"De","parse-names":false,"suffix":""},{"dropping-particle":"","family":"Lima","given":"Graça","non-dropping-particle":"de","parse-names":false,"suffix":""},{"dropping-particle":"","family":"Degenhardt","given":"Louisa","non-dropping-particle":"","parse-names":false,"suffix":""},{"dropping-particle":"","family":"Pozo-Cruz","given":"Borja","non-dropping-particle":"del","parse-names":false,"suffix":""},{"dropping-particle":"","family":"Dellavalle","given":"Robert P","non-dropping-particle":"","parse-names":false,"suffix":""},{"dropping-particle":"","family":"Deribe","given":"Kebede","non-dropping-particle":"","parse-names":false,"suffix":""},{"dropping-particle":"","family":"Derrett","given":"Sarah","non-dropping-particle":"","parse-names":false,"suffix":""},{"dropping-particle":"Des","family":"Jarlais","given":"Don C","non-dropping-particle":"","parse-names":false,"suffix":""},{"dropping-particle":"","family":"Dessalegn","given":"Muluken","non-dropping-particle":"","parse-names":false,"suffix":""},{"dropping-particle":"","family":"deVeber","given":"Gabrielle A","non-dropping-particle":"","parse-names":false,"suffix":""},{"dropping-particle":"","family":"Devries","given":"Karen M","non-dropping-particle":"","parse-names":false,"suffix":""},{"dropping-particle":"","family":"Dharmaratne","given":"Samath D","non-dropping-particle":"","parse-names":false,"suffix":""},{"dropping-particle":"","family":"Dherani","given":"Mukesh K","non-dropping-particle":"","parse-names":false,"suffix":""},{"dropping-particle":"","family":"Dicker","given":"Daniel","non-dropping-particle":"","parse-names":false,"suffix":""},{"dropping-particle":"","family":"Ding","given":"Eric L","non-dropping-particle":"","parse-names":false,"suffix":""},{"dropping-particle":"","family":"Dokova","given":"Klara","non-dropping-particle":"","parse-names":false,"suffix":""},{"dropping-particle":"","family":"Dorsey","given":"E Ray","non-dropping-particle":"","parse-names":false,"suffix":""},{"dropping-particle":"","family":"Driscoll","given":"Tim R","non-dropping-particle":"","parse-names":false,"suffix":""},{"dropping-particle":"","family":"Duan","given":"Leilei","non-dropping-particle":"","parse-names":false,"suffix":""},{"dropping-particle":"","family":"Durrani","given":"Adnan M","non-dropping-particle":"","parse-names":false,"suffix":""},{"dropping-particle":"","family":"Ebel","given":"Beth E","non-dropping-particle":"","parse-names":false,"suffix":""},{"dropping-particle":"","family":"Ellenbogen","given":"Richard G","non-dropping-particle":"","parse-names":false,"suffix":""},{"dropping-particle":"","family":"Elshrek","given":"Yousef M","non-dropping-particle":"","parse-names":false,"suffix":""},{"dropping-particle":"","family":"Endres","given":"Matthias","non-dropping-particle":"","parse-names":false,"suffix":""},{"dropping-particle":"","family":"Ermakov","given":"Sergey P","non-dropping-particle":"","parse-names":false,"suffix":""},{"dropping-particle":"","family":"Erskine","given":"Holly E","non-dropping-particle":"","parse-names":false,"suffix":""},{"dropping-particle":"","family":"Eshrati","given":"Babak","non-dropping-particle":"","parse-names":false,"suffix":""},{"dropping-particle":"","family":"Esteghamati","given":"Alireza","non-dropping-particle":"","parse-names":false,"suffix":""},{"dropping-particle":"","family":"Fahimi","given":"Saman","non-dropping-particle":"","parse-names":false,"suffix":""},{"dropping-particle":"","family":"Faraon","given":"Emerito Jose A","non-dropping-particle":"","parse-names":false,"suffix":""},{"dropping-particle":"","family":"Farzadfar","given":"Farshad","non-dropping-particle":"","parse-names":false,"suffix":""},{"dropping-particle":"","family":"Fay","given":"Derek F J","non-dropping-particle":"","parse-names":false,"suffix":""},{"dropping-particle":"","family":"Feigin","given":"Valery L","non-dropping-particle":"","parse-names":false,"suffix":""},{"dropping-particle":"","family":"Feigl","given":"Andrea B","non-dropping-particle":"","parse-names":false,"suffix":""},{"dropping-particle":"","family":"Fereshtehnejad","given":"Seyed-Mohammad","non-dropping-particle":"","parse-names":false,"suffix":""},{"dropping-particle":"","family":"Ferrari","given":"Alize J","non-dropping-particle":"","parse-names":false,"suffix":""},{"dropping-particle":"","family":"Ferri","given":"Cleusa P","non-dropping-particle":"","parse-names":false,"suffix":""},{"dropping-particle":"","family":"Flaxman","given":"Abraham D","non-dropping-particle":"","parse-names":false,"suffix":""},{"dropping-particle":"","family":"Fleming","given":"Thomas D","non-dropping-particle":"","parse-names":false,"suffix":""},{"dropping-particle":"","family":"Foigt","given":"Nataliya","non-dropping-particle":"","parse-names":false,"suffix":""},{"dropping-particle":"","family":"Foreman","given":"Kyle J","non-dropping-particle":"","parse-names":false,"suffix":""},{"dropping-particle":"","family":"Paleo","given":"Urbano Fra","non-dropping-particle":"","parse-names":false,"suffix":""},{"dropping-particle":"","family":"Franklin","given":"Richard C","non-dropping-particle":"","parse-names":false,"suffix":""},{"dropping-particle":"","family":"Gabbe","given":"Belinda","non-dropping-particle":"","parse-names":false,"suffix":""},{"dropping-particle":"","family":"Gaffikin","given":"Lynne","non-dropping-particle":"","parse-names":false,"suffix":""},{"dropping-particle":"","family":"Gakidou","given":"Emmanuela","non-dropping-particle":"","parse-names":false,"suffix":""},{"dropping-particle":"","family":"Gamkrelidze","given":"Amiran","non-dropping-particle":"","parse-names":false,"suffix":""},{"dropping-particle":"","family":"Gankpé","given":"Fortuné G","non-dropping-particle":"","parse-names":false,"suffix":""},{"dropping-particle":"","family":"Gansevoort","given":"Ron T","non-dropping-particle":"","parse-names":false,"suffix":""},{"dropping-particle":"","family":"García-Guerra","given":"Francisco A","non-dropping-particle":"","parse-names":false,"suffix":""},{"dropping-particle":"","family":"Gasana","given":"Evariste","non-dropping-particle":"","parse-names":false,"suffix":""},{"dropping-particle":"","family":"Geleijnse","given":"Johanna M","non-dropping-particle":"","parse-names":false,"suffix":""},{"dropping-particle":"","family":"Gessner","given":"Bradford D","non-dropping-particle":"","parse-names":false,"suffix":""},{"dropping-particle":"","family":"Gething","given":"Pete","non-dropping-particle":"","parse-names":false,"suffix":""},{"dropping-particle":"","family":"Gibney","given":"Katherine B","non-dropping-particle":"","parse-names":false,"suffix":""},{"dropping-particle":"","family":"Gillum","given":"Richard F","non-dropping-particle":"","parse-names":false,"suffix":""},{"dropping-particle":"","family":"Ginawi","given":"Ibrahim A M","non-dropping-particle":"","parse-names":false,"suffix":""},{"dropping-particle":"","family":"Giroud","given":"Maurice","non-dropping-particle":"","parse-names":false,"suffix":""},{"dropping-particle":"","family":"Giussani","given":"Giorgia","non-dropping-particle":"","parse-names":false,"suffix":""},{"dropping-particle":"","family":"Goenka","given":"Shifalika","non-dropping-particle":"","parse-names":false,"suffix":""},{"dropping-particle":"","family":"Goginashvili","given":"Ketevan","non-dropping-particle":"","parse-names":false,"suffix":""},{"dropping-particle":"","family":"Dantes","given":"Hector Gomez","non-dropping-particle":"","parse-names":false,"suffix":""},{"dropping-particle":"","family":"Gona","given":"Philimon","non-dropping-particle":"","parse-names":false,"suffix":""},{"dropping-particle":"","family":"Cosio","given":"Teresita Gonzalez","non-dropping-particle":"de","parse-names":false,"suffix":""},{"dropping-particle":"","family":"González-Castell","given":"Dinorah","non-dropping-particle":"","parse-names":false,"suffix":""},{"dropping-particle":"","family":"Gotay","given":"Carolyn C","non-dropping-particle":"","parse-names":false,"suffix":""},{"dropping-particle":"","family":"Goto","given":"Atsushi","non-dropping-particle":"","parse-names":false,"suffix":""},{"dropping-particle":"","family":"Gouda","given":"Hebe N","non-dropping-particle":"","parse-names":false,"suffix":""},{"dropping-particle":"","family":"Guerrant","given":"Richard L","non-dropping-particle":"","parse-names":false,"suffix":""},{"dropping-particle":"","family":"Gugnani","given":"Harish C","non-dropping-particle":"","parse-names":false,"suffix":""},{"dropping-particle":"","family":"Guillemin","given":"Francis","non-dropping-particle":"","parse-names":false,"suffix":""},{"dropping-particle":"","family":"Gunnell","given":"David","non-dropping-particle":"","parse-names":false,"suffix":""},{"dropping-particle":"","family":"Gupta","given":"Rahul","non-dropping-particle":"","parse-names":false,"suffix":""},{"dropping-particle":"","family":"Gupta","given":"Rajeev","non-dropping-particle":"","parse-names":false,"suffix":""},{"dropping-particle":"","family":"Gutiérrez","given":"Reyna A","non-dropping-particle":"","parse-names":false,"suffix":""},{"dropping-particle":"","family":"Hafezi-Nejad","given":"Nima","non-dropping-particle":"","parse-names":false,"suffix":""},{"dropping-particle":"","family":"Hagan","given":"Holly","non-dropping-particle":"","parse-names":false,"suffix":""},{"dropping-particle":"","family":"Hagstromer","given":"Maria","non-dropping-particle":"","parse-names":false,"suffix":""},{"dropping-particle":"","family":"Halasa","given":"Yara A","non-dropping-particle":"","parse-names":false,"suffix":""},{"dropping-particle":"","family":"Hamadeh","given":"Randah R","non-dropping-particle":"","parse-names":false,"suffix":""},{"dropping-particle":"","family":"Hammami","given":"Mouhanad","non-dropping-particle":"","parse-names":false,"suffix":""},{"dropping-particle":"","family":"Hankey","given":"Graeme J","non-dropping-particle":"","parse-names":false,"suffix":""},{"dropping-particle":"","family":"Hao","given":"Yuantao","non-dropping-particle":"","parse-names":false,"suffix":""},{"dropping-particle":"","family":"Harb","given":"Hilda L","non-dropping-particle":"","parse-names":false,"suffix":""},{"dropping-particle":"","family":"Haregu","given":"Tilahun Nigatu","non-dropping-particle":"","parse-names":false,"suffix":""},{"dropping-particle":"","family":"Haro","given":"Josep Maria","non-dropping-particle":"","parse-names":false,"suffix":""},{"dropping-particle":"","family":"Havmoeller","given":"Rasmus","non-dropping-particle":"","parse-names":false,"suffix":""},{"dropping-particle":"","family":"Hay","given":"Simon I","non-dropping-particle":"","parse-names":false,"suffix":""},{"dropping-particle":"","family":"Hedayati","given":"Mohammad T","non-dropping-particle":"","parse-names":false,"suffix":""},{"dropping-particle":"","family":"Heredia-Pi","given":"Ileana B","non-dropping-particle":"","parse-names":false,"suffix":""},{"dropping-particle":"","family":"Hernandez","given":"Lucia","non-dropping-particle":"","parse-names":false,"suffix":""},{"dropping-particle":"","family":"Heuton","given":"Kyle R","non-dropping-particle":"","parse-names":false,"suffix":""},{"dropping-particle":"","family":"Heydarpour","given":"Pouria","non-dropping-particle":"","parse-names":false,"suffix":""},{"dropping-particle":"","family":"Hijar","given":"Martha","non-dropping-particle":"","parse-names":false,"suffix":""},{"dropping-particle":"","family":"Hoek","given":"Hans W","non-dropping-particle":"","parse-names":false,"suffix":""},{"dropping-particle":"","family":"Hoffman","given":"Howard J","non-dropping-particle":"","parse-names":false,"suffix":""},{"dropping-particle":"","family":"Hornberger","given":"John C","non-dropping-particle":"","parse-names":false,"suffix":""},{"dropping-particle":"","family":"Hosgood","given":"H Dean","non-dropping-particle":"","parse-names":false,"suffix":""},{"dropping-particle":"","family":"Hoy","given":"Damian G","non-dropping-particle":"","parse-names":false,"suffix":""},{"dropping-particle":"","family":"Hsairi","given":"Mohamed","non-dropping-particle":"","parse-names":false,"suffix":""},{"dropping-particle":"","family":"Hu","given":"Guoqing","non-dropping-particle":"","parse-names":false,"suffix":""},{"dropping-particle":"","family":"Hu","given":"Howard","non-dropping-particle":"","parse-names":false,"suffix":""},{"dropping-particle":"","family":"Huang","given":"Cheng","non-dropping-particle":"","parse-names":false,"suffix":""},{"dropping-particle":"","family":"Huang","given":"John J","non-dropping-particle":"","parse-names":false,"suffix":""},{"dropping-particle":"","family":"Hubbell","given":"Bryan J","non-dropping-particle":"","parse-names":false,"suffix":""},{"dropping-particle":"","family":"Huiart","given":"Laetitia","non-dropping-particle":"","parse-names":false,"suffix":""},{"dropping-particle":"","family":"Husseini","given":"Abdullatif","non-dropping-particle":"","parse-names":false,"suffix":""},{"dropping-particle":"","family":"Iannarone","given":"Marissa L","non-dropping-particle":"","parse-names":false,"suffix":""},{"dropping-particle":"","family":"Iburg","given":"Kim M","non-dropping-particle":"","parse-names":false,"suffix":""},{"dropping-particle":"","family":"Idrisov","given":"Bulat T","non-dropping-particle":"","parse-names":false,"suffix":""},{"dropping-particle":"","family":"Ikeda","given":"Nayu","non-dropping-particle":"","parse-names":false,"suffix":""},{"dropping-particle":"","family":"Innos","given":"Kaire","non-dropping-particle":"","parse-names":false,"suffix":""},{"dropping-particle":"","family":"Inoue","given":"Manami","non-dropping-particle":"","parse-names":false,"suffix":""},{"dropping-particle":"","family":"Islami","given":"Farhad","non-dropping-particle":"","parse-names":false,"suffix":""},{"dropping-particle":"","family":"Ismayilova","given":"Samaya","non-dropping-particle":"","parse-names":false,"suffix":""},{"dropping-particle":"","family":"Jacobsen","given":"Kathryn H","non-dropping-particle":"","parse-names":false,"suffix":""},{"dropping-particle":"","family":"Jansen","given":"Henrica A","non-dropping-particle":"","parse-names":false,"suffix":""},{"dropping-particle":"","family":"Jarvis","given":"Deborah L","non-dropping-particle":"","parse-names":false,"suffix":""},{"dropping-particle":"","family":"Jassal","given":"Simerjot K","non-dropping-particle":"","parse-names":false,"suffix":""},{"dropping-particle":"","family":"Jauregui","given":"Alejandra","non-dropping-particle":"","parse-names":false,"suffix":""},{"dropping-particle":"","family":"Jayaraman","given":"Sudha","non-dropping-particle":"","parse-names":false,"suffix":""},{"dropping-particle":"","family":"Jeemon","given":"Panniyammakal","non-dropping-particle":"","parse-names":false,"suffix":""},{"dropping-particle":"","family":"Jensen","given":"Paul N","non-dropping-particle":"","parse-names":false,"suffix":""},{"dropping-particle":"","family":"Jha","given":"Vivekanand","non-dropping-particle":"","parse-names":false,"suffix":""},{"dropping-particle":"","family":"Jiang","given":"Fan","non-dropping-particle":"","parse-names":false,"suffix":""},{"dropping-particle":"","family":"Jiang","given":"Guohong","non-dropping-particle":"","parse-names":false,"suffix":""},{"dropping-particle":"","family":"Jiang","given":"Ying","non-dropping-particle":"","parse-names":false,"suffix":""},{"dropping-particle":"","family":"Jonas","given":"Jost B","non-dropping-particle":"","parse-names":false,"suffix":""},{"dropping-particle":"","family":"Juel","given":"Knud","non-dropping-particle":"","parse-names":false,"suffix":""},{"dropping-particle":"","family":"Kan","given":"Haidong","non-dropping-particle":"","parse-names":false,"suffix":""},{"dropping-particle":"","family":"Roseline","given":"Sidibe S Kany","non-dropping-particle":"","parse-names":false,"suffix":""},{"dropping-particle":"","family":"Karam","given":"Nadim E","non-dropping-particle":"","parse-names":false,"suffix":""},{"dropping-particle":"","family":"Karch","given":"André","non-dropping-particle":"","parse-names":false,"suffix":""},{"dropping-particle":"","family":"Karema","given":"Corine K","non-dropping-particle":"","parse-names":false,"suffix":""},{"dropping-particle":"","family":"Karthikeyan","given":"Ganesan","non-dropping-particle":"","parse-names":false,"suffix":""},{"dropping-particle":"","family":"Kaul","given":"Anil","non-dropping-particle":"","parse-names":false,"suffix":""},{"dropping-particle":"","family":"Kawakami","given":"Norito","non-dropping-particle":"","parse-names":false,"suffix":""},{"dropping-particle":"","family":"Kazi","given":"Dhruv S","non-dropping-particle":"","parse-names":false,"suffix":""},{"dropping-particle":"","family":"Kemp","given":"Andrew H","non-dropping-particle":"","parse-names":false,"suffix":""},{"dropping-particle":"","family":"Kengne","given":"Andre P","non-dropping-particle":"","parse-names":false,"suffix":""},{"dropping-particle":"","family":"Keren","given":"Andre","non-dropping-particle":"","parse-names":false,"suffix":""},{"dropping-particle":"","family":"Khader","given":"Yousef S","non-dropping-particle":"","parse-names":false,"suffix":""},{"dropping-particle":"","family":"Khalifa","given":"Shams Eldin Ali Hassan","non-dropping-particle":"","parse-names":false,"suffix":""},{"dropping-particle":"","family":"Khan","given":"Ejaz A","non-dropping-particle":"","parse-names":false,"suffix":""},{"dropping-particle":"","family":"Khang","given":"Young-Ho","non-dropping-particle":"","parse-names":false,"suffix":""},{"dropping-particle":"","family":"Khatibzadeh","given":"Shahab","non-dropping-particle":"","parse-names":false,"suffix":""},{"dropping-particle":"","family":"Khonelidze","given":"Irma","non-dropping-particle":"","parse-names":false,"suffix":""},{"dropping-particle":"","family":"Kieling","given":"Christian","non-dropping-particle":"","parse-names":false,"suffix":""},{"dropping-particle":"","family":"Kim","given":"Daniel","non-dropping-particle":"","parse-names":false,"suffix":""},{"dropping-particle":"","family":"Kim","given":"Sungroul","non-dropping-particle":"","parse-names":false,"suffix":""},{"dropping-particle":"","family":"Kim","given":"Yunjin","non-dropping-particle":"","parse-names":false,"suffix":""},{"dropping-particle":"","family":"Kimokoti","given":"Ruth W","non-dropping-particle":"","parse-names":false,"suffix":""},{"dropping-particle":"","family":"Kinfu","given":"Yohannes","non-dropping-particle":"","parse-names":false,"suffix":""},{"dropping-particle":"","family":"Kinge","given":"Jonas M","non-dropping-particle":"","parse-names":false,"suffix":""},{"dropping-particle":"","family":"Kissela","given":"Brett M","non-dropping-particle":"","parse-names":false,"suffix":""},{"dropping-particle":"","family":"Kivipelto","given":"Miia","non-dropping-particle":"","parse-names":false,"suffix":""},{"dropping-particle":"","family":"Knibbs","given":"Luke D","non-dropping-particle":"","parse-names":false,"suffix":""},{"dropping-particle":"","family":"Knudsen","given":"Ann Kristin","non-dropping-particle":"","parse-names":false,"suffix":""},{"dropping-particle":"","family":"Kokubo","given":"Yoshihiro","non-dropping-particle":"","parse-names":false,"suffix":""},{"dropping-particle":"","family":"Kose","given":"M Rifat","non-dropping-particle":"","parse-names":false,"suffix":""},{"dropping-particle":"","family":"Kosen","given":"Soewarta","non-dropping-particle":"","parse-names":false,"suffix":""},{"dropping-particle":"","family":"Kraemer","given":"Alexander","non-dropping-particle":"","parse-names":false,"suffix":""},{"dropping-particle":"","family":"Kravchenko","given":"Michael","non-dropping-particle":"","parse-names":false,"suffix":""},{"dropping-particle":"","family":"Krishnaswami","given":"Sanjay","non-dropping-particle":"","parse-names":false,"suffix":""},{"dropping-particle":"","family":"Kromhout","given":"Hans","non-dropping-particle":"","parse-names":false,"suffix":""},{"dropping-particle":"","family":"Ku","given":"Tiffany","non-dropping-particle":"","parse-names":false,"suffix":""},{"dropping-particle":"","family":"Defo","given":"Barthelemy Kuate","non-dropping-particle":"","parse-names":false,"suffix":""},{"dropping-particle":"","family":"Bicer","given":"Burcu Kucuk","non-dropping-particle":"","parse-names":false,"suffix":""},{"dropping-particle":"","family":"Kuipers","given":"Ernst J","non-dropping-particle":"","parse-names":false,"suffix":""},{"dropping-particle":"","family":"Kulkarni","given":"Chanda","non-dropping-particle":"","parse-names":false,"suffix":""},{"dropping-particle":"","family":"Kulkarni","given":"Veena S","non-dropping-particle":"","parse-names":false,"suffix":""},{"dropping-particle":"","family":"Kumar","given":"G Anil","non-dropping-particle":"","parse-names":false,"suffix":""},{"dropping-particle":"","family":"Kwan","given":"Gene F","non-dropping-particle":"","parse-names":false,"suffix":""},{"dropping-particle":"","family":"Lai","given":"Taavi","non-dropping-particle":"","parse-names":false,"suffix":""},{"dropping-particle":"","family":"Balaji","given":"Arjun Lakshmana","non-dropping-particle":"","parse-names":false,"suffix":""},{"dropping-particle":"","family":"Lalloo","given":"Ratilal","non-dropping-particle":"","parse-names":false,"suffix":""},{"dropping-particle":"","family":"Lallukka","given":"Tea","non-dropping-particle":"","parse-names":false,"suffix":""},{"dropping-particle":"","family":"Lam","given":"Hilton","non-dropping-particle":"","parse-names":false,"suffix":""},{"dropping-particle":"","family":"Lan","given":"Qing","non-dropping-particle":"","parse-names":false,"suffix":""},{"dropping-particle":"","family":"Lansingh","given":"Van C","non-dropping-particle":"","parse-names":false,"suffix":""},{"dropping-particle":"","family":"Larson","given":"Heidi J","non-dropping-particle":"","parse-names":false,"suffix":""},{"dropping-particle":"","family":"Larsson","given":"Anders","non-dropping-particle":"","parse-names":false,"suffix":""},{"dropping-particle":"","family":"Laryea","given":"Dennis O","non-dropping-particle":"","parse-names":false,"suffix":""},{"dropping-particle":"","family":"Lavados","given":"Pablo M","non-dropping-particle":"","parse-names":false,"suffix":""},{"dropping-particle":"","family":"Lawrynowicz","given":"Alicia E","non-dropping-particle":"","parse-names":false,"suffix":""},{"dropping-particle":"","family":"Leasher","given":"Janet L","non-dropping-particle":"","parse-names":false,"suffix":""},{"dropping-particle":"","family":"Lee","given":"Jong-Tae","non-dropping-particle":"","parse-names":false,"suffix":""},{"dropping-particle":"","family":"Leigh","given":"James","non-dropping-particle":"","parse-names":false,"suffix":""},{"dropping-particle":"","family":"Leung","given":"Ricky","non-dropping-particle":"","parse-names":false,"suffix":""},{"dropping-particle":"","family":"Levi","given":"Miriam","non-dropping-particle":"","parse-names":false,"suffix":""},{"dropping-particle":"","family":"Li","given":"Yichong","non-dropping-particle":"","parse-names":false,"suffix":""},{"dropping-particle":"","family":"Li","given":"Yongmei","non-dropping-particle":"","parse-names":false,"suffix":""},{"dropping-particle":"","family":"Liang","given":"Juan","non-dropping-particle":"","parse-names":false,"suffix":""},{"dropping-particle":"","family":"Liang","given":"Xiaofeng","non-dropping-particle":"","parse-names":false,"suffix":""},{"dropping-particle":"","family":"Lim","given":"Stephen S","non-dropping-particle":"","parse-names":false,"suffix":""},{"dropping-particle":"","family":"Lindsay","given":"M Patrice","non-dropping-particle":"","parse-names":false,"suffix":""},{"dropping-particle":"","family":"Lipshultz","given":"Steven E","non-dropping-particle":"","parse-names":false,"suffix":""},{"dropping-particle":"","family":"Liu","given":"Shiwei","non-dropping-particle":"","parse-names":false,"suffix":""},{"dropping-particle":"","family":"Liu","given":"Yang","non-dropping-particle":"","parse-names":false,"suffix":""},{"dropping-particle":"","family":"Lloyd","given":"Belinda K","non-dropping-particle":"","parse-names":false,"suffix":""},{"dropping-particle":"","family":"Logroscino","given":"Giancarlo","non-dropping-particle":"","parse-names":false,"suffix":""},{"dropping-particle":"","family":"London","given":"Stephanie J","non-dropping-particle":"","parse-names":false,"suffix":""},{"dropping-particle":"","family":"Lopez","given":"Nancy","non-dropping-particle":"","parse-names":false,"suffix":""},{"dropping-particle":"","family":"Lortet-Tieulent","given":"Joannie","non-dropping-particle":"","parse-names":false,"suffix":""},{"dropping-particle":"","family":"Lotufo","given":"Paulo A","non-dropping-particle":"","parse-names":false,"suffix":""},{"dropping-particle":"","family":"Lozano","given":"Rafael","non-dropping-particle":"","parse-names":false,"suffix":""},{"dropping-particle":"","family":"Lunevicius","given":"Raimundas","non-dropping-particle":"","parse-names":false,"suffix":""},{"dropping-particle":"","family":"Ma","given":"Jixiang","non-dropping-particle":"","parse-names":false,"suffix":""},{"dropping-particle":"","family":"Ma","given":"Stefan","non-dropping-particle":"","parse-names":false,"suffix":""},{"dropping-particle":"","family":"Machado","given":"Vasco M P","non-dropping-particle":"","parse-names":false,"suffix":""},{"dropping-particle":"","family":"MacIntyre","given":"Michael F","non-dropping-particle":"","parse-names":false,"suffix":""},{"dropping-particle":"","family":"Magis-Rodriguez","given":"Carlos","non-dropping-particle":"","parse-names":false,"suffix":""},{"dropping-particle":"","family":"Mahdi","given":"Abbas A","non-dropping-particle":"","parse-names":false,"suffix":""},{"dropping-particle":"","family":"Majdan","given":"Marek","non-dropping-particle":"","parse-names":false,"suffix":""},{"dropping-particle":"","family":"Malekzadeh","given":"Reza","non-dropping-particle":"","parse-names":false,"suffix":""},{"dropping-particle":"","family":"Mangalam","given":"Srikanth","non-dropping-particle":"","parse-names":false,"suffix":""},{"dropping-particle":"","family":"Mapoma","given":"Christopher C","non-dropping-particle":"","parse-names":false,"suffix":""},{"dropping-particle":"","family":"Marape","given":"Marape","non-dropping-particle":"","parse-names":false,"suffix":""},{"dropping-particle":"","family":"Marcenes","given":"Wagner","non-dropping-particle":"","parse-names":false,"suffix":""},{"dropping-particle":"","family":"Margolis","given":"David J","non-dropping-particle":"","parse-names":false,"suffix":""},{"dropping-particle":"","family":"Margono","given":"Christopher","non-dropping-particle":"","parse-names":false,"suffix":""},{"dropping-particle":"","family":"Marks","given":"Guy B","non-dropping-particle":"","parse-names":false,"suffix":""},{"dropping-particle":"V","family":"Martin","given":"Randall","non-dropping-particle":"","parse-names":false,"suffix":""},{"dropping-particle":"","family":"Marzan","given":"Melvin B","non-dropping-particle":"","parse-names":false,"suffix":""},{"dropping-particle":"","family":"Mashal","given":"Mohammad T","non-dropping-particle":"","parse-names":false,"suffix":""},{"dropping-particle":"","family":"Masiye","given":"Felix","non-dropping-particle":"","parse-names":false,"suffix":""},{"dropping-particle":"","family":"Mason-Jones","given":"Amanda J","non-dropping-particle":"","parse-names":false,"suffix":""},{"dropping-particle":"","family":"Matsushita","given":"Kunihiro","non-dropping-particle":"","parse-names":false,"suffix":""},{"dropping-particle":"","family":"Matzopoulos","given":"Richard","non-dropping-particle":"","parse-names":false,"suffix":""},{"dropping-particle":"","family":"Mayosi","given":"Bongani M","non-dropping-particle":"","parse-names":false,"suffix":""},{"dropping-particle":"","family":"Mazorodze","given":"Tasara T","non-dropping-particle":"","parse-names":false,"suffix":""},{"dropping-particle":"","family":"McKay","given":"Abigail C","non-dropping-particle":"","parse-names":false,"suffix":""},{"dropping-particle":"","family":"McKee","given":"Martin","non-dropping-particle":"","parse-names":false,"suffix":""},{"dropping-particle":"","family":"McLain","given":"Abigail","non-dropping-particle":"","parse-names":false,"suffix":""},{"dropping-particle":"","family":"Meaney","given":"Peter A","non-dropping-particle":"","parse-names":false,"suffix":""},{"dropping-particle":"","family":"Medina","given":"Catalina","non-dropping-particle":"","parse-names":false,"suffix":""},{"dropping-particle":"","family":"Mehndiratta","given":"Man Mohan","non-dropping-particle":"","parse-names":false,"suffix":""},{"dropping-particle":"","family":"Mejia-Rodriguez","given":"Fabiola","non-dropping-particle":"","parse-names":false,"suffix":""},{"dropping-particle":"","family":"Mekonnen","given":"Wubegzier","non-dropping-particle":"","parse-names":false,"suffix":""},{"dropping-particle":"","family":"Melaku","given":"Yohannes A","non-dropping-particle":"","parse-names":false,"suffix":""},{"dropping-particle":"","family":"Meltzer","given":"Michele","non-dropping-particle":"","parse-names":false,"suffix":""},{"dropping-particle":"","family":"Memish","given":"Ziad A","non-dropping-particle":"","parse-names":false,"suffix":""},{"dropping-particle":"","family":"Mendoza","given":"Walter","non-dropping-particle":"","parse-names":false,"suffix":""},{"dropping-particle":"","family":"Mensah","given":"George A","non-dropping-particle":"","parse-names":false,"suffix":""},{"dropping-particle":"","family":"Meretoja","given":"Atte","non-dropping-particle":"","parse-names":false,"suffix":""},{"dropping-particle":"","family":"Mhimbira","given":"Francis Apolinary","non-dropping-particle":"","parse-names":false,"suffix":""},{"dropping-particle":"","family":"Micha","given":"Renata","non-dropping-particle":"","parse-names":false,"suffix":""},{"dropping-particle":"","family":"Miller","given":"Ted R","non-dropping-particle":"","parse-names":false,"suffix":""},{"dropping-particle":"","family":"Mills","given":"Edward J","non-dropping-particle":"","parse-names":false,"suffix":""},{"dropping-particle":"","family":"Misganaw","given":"Awoke","non-dropping-particle":"","parse-names":false,"suffix":""},{"dropping-particle":"","family":"Mishra","given":"Santosh","non-dropping-particle":"","parse-names":false,"suffix":""},{"dropping-particle":"","family":"Ibrahim","given":"Norlinah Mohamed","non-dropping-particle":"","parse-names":false,"suffix":""},{"dropping-particle":"","family":"Mohammad","given":"Karzan A","non-dropping-particle":"","parse-names":false,"suffix":""},{"dropping-particle":"","family":"Mokdad","given":"Ali H","non-dropping-particle":"","parse-names":false,"suffix":""},{"dropping-particle":"","family":"Mola","given":"Glen L","non-dropping-particle":"","parse-names":false,"suffix":""},{"dropping-particle":"","family":"Monasta","given":"Lorenzo","non-dropping-particle":"","parse-names":false,"suffix":""},{"dropping-particle":"","family":"Hernandez","given":"Julio C Montañez","non-dropping-particle":"","parse-names":false,"suffix":""},{"dropping-particle":"","family":"Montico","given":"Marcella","non-dropping-particle":"","parse-names":false,"suffix":""},{"dropping-particle":"","family":"Moore","given":"Ami R","non-dropping-particle":"","parse-names":false,"suffix":""},{"dropping-particle":"","family":"Morawska","given":"Lidia","non-dropping-particle":"","parse-names":false,"suffix":""},{"dropping-particle":"","family":"Mori","given":"Rintaro","non-dropping-particle":"","parse-names":false,"suffix":""},{"dropping-particle":"","family":"Moschandreas","given":"Joanna","non-dropping-particle":"","parse-names":false,"suffix":""},{"dropping-particle":"","family":"Moturi","given":"Wilkister N","non-dropping-particle":"","parse-names":false,"suffix":""},{"dropping-particle":"","family":"Mozaffarian","given":"Dariush","non-dropping-particle":"","parse-names":false,"suffix":""},{"dropping-particle":"","family":"Mueller","given":"Ulrich O","non-dropping-particle":"","parse-names":false,"suffix":""},{"dropping-particle":"","family":"Mukaigawara","given":"Mitsuru","non-dropping-particle":"","parse-names":false,"suffix":""},{"dropping-particle":"","family":"Mullany","given":"Erin C","non-dropping-particle":"","parse-names":false,"suffix":""},{"dropping-particle":"","family":"Murthy","given":"Kinnari S","non-dropping-particle":"","parse-names":false,"suffix":""},{"dropping-particle":"","family":"Naghavi","given":"Mohsen","non-dropping-particle":"","parse-names":false,"suffix":""},{"dropping-particle":"","family":"Nahas","given":"Ziad","non-dropping-particle":"","parse-names":false,"suffix":""},{"dropping-particle":"","family":"Naheed","given":"Aliya","non-dropping-particle":"","parse-names":false,"suffix":""},{"dropping-particle":"","family":"Naidoo","given":"Kovin S","non-dropping-particle":"","parse-names":false,"suffix":""},{"dropping-particle":"","family":"Naldi","given":"Luigi","non-dropping-particle":"","parse-names":false,"suffix":""},{"dropping-particle":"","family":"Nand","given":"Devina","non-dropping-particle":"","parse-names":false,"suffix":""},{"dropping-particle":"","family":"Nangia","given":"Vinay","non-dropping-particle":"","parse-names":false,"suffix":""},{"dropping-particle":"","family":"Narayan","given":"K M Venkat","non-dropping-particle":"","parse-names":false,"suffix":""},{"dropping-particle":"","family":"Nash","given":"Denis","non-dropping-particle":"","parse-names":false,"suffix":""},{"dropping-particle":"","family":"Neal","given":"Bruce","non-dropping-particle":"","parse-names":false,"suffix":""},{"dropping-particle":"","family":"Nejjari","given":"Chakib","non-dropping-particle":"","parse-names":false,"suffix":""},{"dropping-particle":"","family":"Neupane","given":"Sudan P","non-dropping-particle":"","parse-names":false,"suffix":""},{"dropping-particle":"","family":"Newton","given":"Charles R","non-dropping-particle":"","parse-names":false,"suffix":""},{"dropping-particle":"","family":"Ngalesoni","given":"Frida N","non-dropping-particle":"","parse-names":false,"suffix":""},{"dropping-particle":"","family":"Dieu Ngirabega","given":"Jean","non-dropping-particle":"de","parse-names":false,"suffix":""},{"dropping-particle":"","family":"Nguyen","given":"Grant","non-dropping-particle":"","parse-names":false,"suffix":""},{"dropping-particle":"","family":"Nguyen","given":"Nhung T","non-dropping-particle":"","parse-names":false,"suffix":""},{"dropping-particle":"","family":"Nieuwenhuijsen","given":"Mark J","non-dropping-particle":"","parse-names":false,"suffix":""},{"dropping-particle":"","family":"Nisar","given":"Muhammad I","non-dropping-particle":"","parse-names":false,"suffix":""},{"dropping-particle":"","family":"Nogueira","given":"José R","non-dropping-particle":"","parse-names":false,"suffix":""},{"dropping-particle":"","family":"Nolla","given":"Joan M","non-dropping-particle":"","parse-names":false,"suffix":""},{"dropping-particle":"","family":"Nolte","given":"Sandra","non-dropping-particle":"","parse-names":false,"suffix":""},{"dropping-particle":"","family":"Norheim","given":"Ole F","non-dropping-particle":"","parse-names":false,"suffix":""},{"dropping-particle":"","family":"Norman","given":"Rosana E","non-dropping-particle":"","parse-names":false,"suffix":""},{"dropping-particle":"","family":"Norrving","given":"Bo","non-dropping-particle":"","parse-names":false,"suffix":""},{"dropping-particle":"","family":"Nyakarahuka","given":"Luke","non-dropping-particle":"","parse-names":false,"suffix":""},{"dropping-particle":"","family":"Oh","given":"In-Hwan","non-dropping-particle":"","parse-names":false,"suffix":""},{"dropping-particle":"","family":"Ohkubo","given":"Takayoshi","non-dropping-particle":"","parse-names":false,"suffix":""},{"dropping-particle":"","family":"Olusanya","given":"Bolajoko O","non-dropping-particle":"","parse-names":false,"suffix":""},{"dropping-particle":"","family":"Omer","given":"Saad B","non-dropping-particle":"","parse-names":false,"suffix":""},{"dropping-particle":"","family":"Opio","given":"John Nelson","non-dropping-particle":"","parse-names":false,"suffix":""},{"dropping-particle":"","family":"Orozco","given":"Ricardo","non-dropping-particle":"","parse-names":false,"suffix":""},{"dropping-particle":"","family":"Pagcatipunan","given":"Rodolfo S","non-dropping-particle":"","parse-names":false,"suffix":""},{"dropping-particle":"","family":"Pain","given":"Amanda W","non-dropping-particle":"","parse-names":false,"suffix":""},{"dropping-particle":"","family":"Pandian","given":"Jeyaraj D","non-dropping-particle":"","parse-names":false,"suffix":""},{"dropping-particle":"","family":"Panelo","given":"Carlo Irwin A","non-dropping-particle":"","parse-names":false,"suffix":""},{"dropping-particle":"","family":"Papachristou","given":"Christina","non-dropping-particle":"","parse-names":false,"suffix":""},{"dropping-particle":"","family":"Park","given":"Eun-Kee","non-dropping-particle":"","parse-names":false,"suffix":""},{"dropping-particle":"","family":"Parry","given":"Charles D","non-dropping-particle":"","parse-names":false,"suffix":""},{"dropping-particle":"","family":"Caicedo","given":"Angel J Paternina","non-dropping-particle":"","parse-names":false,"suffix":""},{"dropping-particle":"","family":"Patten","given":"Scott B","non-dropping-particle":"","parse-names":false,"suffix":""},{"dropping-particle":"","family":"Paul","given":"Vinod K","non-dropping-particle":"","parse-names":false,"suffix":""},{"dropping-particle":"","family":"Pavlin","given":"Boris I","non-dropping-particle":"","parse-names":false,"suffix":""},{"dropping-particle":"","family":"Pearce","given":"Neil","non-dropping-particle":"","parse-names":false,"suffix":""},{"dropping-particle":"","family":"Pedraza","given":"Lilia S","non-dropping-particle":"","parse-names":false,"suffix":""},{"dropping-particle":"","family":"Pedroza","given":"Andrea","non-dropping-particle":"","parse-names":false,"suffix":""},{"dropping-particle":"","family":"Stokic","given":"Ljiljana Pejin","non-dropping-particle":"","parse-names":false,"suffix":""},{"dropping-particle":"","family":"Pekericli","given":"Ayfer","non-dropping-particle":"","parse-names":false,"suffix":""},{"dropping-particle":"","family":"Pereira","given":"David M","non-dropping-particle":"","parse-names":false,"suffix":""},{"dropping-particle":"","family":"Perez-Padilla","given":"Rogelio","non-dropping-particle":"","parse-names":false,"suffix":""},{"dropping-particle":"","family":"Perez-Ruiz","given":"Fernando","non-dropping-particle":"","parse-names":false,"suffix":""},{"dropping-particle":"","family":"Perico","given":"Norberto","non-dropping-particle":"","parse-names":false,"suffix":""},{"dropping-particle":"","family":"Perry","given":"Samuel A L","non-dropping-particle":"","parse-names":false,"suffix":""},{"dropping-particle":"","family":"Pervaiz","given":"Aslam","non-dropping-particle":"","parse-names":false,"suffix":""},{"dropping-particle":"","family":"Pesudovs","given":"Konrad","non-dropping-particle":"","parse-names":false,"suffix":""},{"dropping-particle":"","family":"Peterson","given":"Carrie B","non-dropping-particle":"","parse-names":false,"suffix":""},{"dropping-particle":"","family":"Petzold","given":"Max","non-dropping-particle":"","parse-names":false,"suffix":""},{"dropping-particle":"","family":"Phillips","given":"Michael R","non-dropping-particle":"","parse-names":false,"suffix":""},{"dropping-particle":"","family":"Phua","given":"Hwee Pin","non-dropping-particle":"","parse-names":false,"suffix":""},{"dropping-particle":"","family":"Plass","given":"Dietrich","non-dropping-particle":"","parse-names":false,"suffix":""},{"dropping-particle":"","family":"Poenaru","given":"Dan","non-dropping-particle":"","parse-names":false,"suffix":""},{"dropping-particle":"V","family":"Polanczyk","given":"Guilherme","non-dropping-particle":"","parse-names":false,"suffix":""},{"dropping-particle":"","family":"Polinder","given":"Suzanne","non-dropping-particle":"","parse-names":false,"suffix":""},{"dropping-particle":"","family":"Pond","given":"Constance D","non-dropping-particle":"","parse-names":false,"suffix":""},{"dropping-particle":"","family":"Pope","given":"C Arden","non-dropping-particle":"","parse-names":false,"suffix":""},{"dropping-particle":"","family":"Pope","given":"Daniel","non-dropping-particle":"","parse-names":false,"suffix":""},{"dropping-particle":"","family":"Popova","given":"Svetlana","non-dropping-particle":"","parse-names":false,"suffix":""},{"dropping-particle":"","family":"Pourmalek","given":"Farshad","non-dropping-particle":"","parse-names":false,"suffix":""},{"dropping-particle":"","family":"Powles","given":"John","non-dropping-particle":"","parse-names":false,"suffix":""},{"dropping-particle":"","family":"Prabhakaran","given":"Dorairaj","non-dropping-particle":"","parse-names":false,"suffix":""},{"dropping-particle":"","family":"Prasad","given":"Noela M","non-dropping-particle":"","parse-names":false,"suffix":""},{"dropping-particle":"","family":"Qato","given":"Dima M","non-dropping-particle":"","parse-names":false,"suffix":""},{"dropping-particle":"","family":"Quezada","given":"Amado D","non-dropping-particle":"","parse-names":false,"suffix":""},{"dropping-particle":"","family":"Quistberg","given":"D Alex A","non-dropping-particle":"","parse-names":false,"suffix":""},{"dropping-particle":"","family":"Racapé","given":"Lionel","non-dropping-particle":"","parse-names":false,"suffix":""},{"dropping-particle":"","family":"Rafay","given":"Anwar","non-dropping-particle":"","parse-names":false,"suffix":""},{"dropping-particle":"","family":"Rahimi","given":"Kazem","non-dropping-particle":"","parse-names":false,"suffix":""},{"dropping-particle":"","family":"Rahimi-Movaghar","given":"Vafa","non-dropping-particle":"","parse-names":false,"suffix":""},{"dropping-particle":"","family":"Rahman","given":"Sajjad Ur","non-dropping-particle":"","parse-names":false,"suffix":""},{"dropping-particle":"","family":"Raju","given":"Murugesan","non-dropping-particle":"","parse-names":false,"suffix":""},{"dropping-particle":"","family":"Rakovac","given":"Ivo","non-dropping-particle":"","parse-names":false,"suffix":""},{"dropping-particle":"","family":"Rana","given":"Saleem M","non-dropping-particle":"","parse-names":false,"suffix":""},{"dropping-particle":"","family":"Rao","given":"Mayuree","non-dropping-particle":"","parse-names":false,"suffix":""},{"dropping-particle":"","family":"Razavi","given":"Homie","non-dropping-particle":"","parse-names":false,"suffix":""},{"dropping-particle":"","family":"Reddy","given":"K Srinath","non-dropping-particle":"","parse-names":false,"suffix":""},{"dropping-particle":"","family":"Refaat","given":"Amany H","non-dropping-particle":"","parse-names":false,"suffix":""},{"dropping-particle":"","family":"Rehm","given":"Jürgen","non-dropping-particle":"","parse-names":false,"suffix":""},{"dropping-particle":"","family":"Remuzzi","given":"Giuseppe","non-dropping-particle":"","parse-names":false,"suffix":""},{"dropping-particle":"","family":"Ribeiro","given":"Antonio L","non-dropping-particle":"","parse-names":false,"suffix":""},{"dropping-particle":"","family":"Riccio","given":"Patricia M","non-dropping-particle":"","parse-names":false,"suffix":""},{"dropping-particle":"","family":"Richardson","given":"Lee","non-dropping-particle":"","parse-names":false,"suffix":""},{"dropping-particle":"","family":"Riederer","given":"Anne","non-dropping-particle":"","parse-names":false,"suffix":""},{"dropping-particle":"","family":"Robinson","given":"Margaret","non-dropping-particle":"","parse-names":false,"suffix":""},{"dropping-particle":"","family":"Roca","given":"Anna","non-dropping-particle":"","parse-names":false,"suffix":""},{"dropping-particle":"","family":"Rodriguez","given":"Alina","non-dropping-particle":"","parse-names":false,"suffix":""},{"dropping-particle":"","family":"Rojas-Rueda","given":"David","non-dropping-particle":"","parse-names":false,"suffix":""},{"dropping-particle":"","family":"Romieu","given":"Isabelle","non-dropping-particle":"","parse-names":false,"suffix":""},{"dropping-particle":"","family":"Ronfani","given":"Luca","non-dropping-particle":"","parse-names":false,"suffix":""},{"dropping-particle":"","family":"Room","given":"Robin","non-dropping-particle":"","parse-names":false,"suffix":""},{"dropping-particle":"","family":"Roy","given":"Nobhojit","non-dropping-particle":"","parse-names":false,"suffix":""},{"dropping-particle":"","family":"Ruhago","given":"George M","non-dropping-particle":"","parse-names":false,"suffix":""},{"dropping-particle":"","family":"Rushton","given":"Lesley","non-dropping-particle":"","parse-names":false,"suffix":""},{"dropping-particle":"","family":"Sabin","given":"Nsanzimana","non-dropping-particle":"","parse-names":false,"suffix":""},{"dropping-particle":"","family":"Sacco","given":"Ralph L","non-dropping-particle":"","parse-names":false,"suffix":""},{"dropping-particle":"","family":"Saha","given":"Sukanta","non-dropping-particle":"","parse-names":false,"suffix":""},{"dropping-particle":"","family":"Sahathevan","given":"Ramesh","non-dropping-particle":"","parse-names":false,"suffix":""},{"dropping-particle":"","family":"Sahraian","given":"Mohammad Ali","non-dropping-particle":"","parse-names":false,"suffix":""},{"dropping-particle":"","family":"Salomon","given":"Joshua A","non-dropping-particle":"","parse-names":false,"suffix":""},{"dropping-particle":"","family":"Salvo","given":"Deborah","non-dropping-particle":"","parse-names":false,"suffix":""},{"dropping-particle":"","family":"Sampson","given":"Uchechukwu K","non-dropping-particle":"","parse-names":false,"suffix":""},{"dropping-particle":"","family":"Sanabria","given":"Juan R","non-dropping-particle":"","parse-names":false,"suffix":""},{"dropping-particle":"","family":"Sanchez","given":"Luz Maria","non-dropping-particle":"","parse-names":false,"suffix":""},{"dropping-particle":"","family":"Sánchez-Pimienta","given":"Tania G","non-dropping-particle":"","parse-names":false,"suffix":""},{"dropping-particle":"","family":"Sanchez-Riera","given":"Lidia","non-dropping-particle":"","parse-names":false,"suffix":""},{"dropping-particle":"","family":"Sandar","given":"Logan","non-dropping-particle":"","parse-names":false,"suffix":""},{"dropping-particle":"","family":"Santos","given":"Itamar S","non-dropping-particle":"","parse-names":false,"suffix":""},{"dropping-particle":"","family":"Sapkota","given":"Amir","non-dropping-particle":"","parse-names":false,"suffix":""},{"dropping-particle":"","family":"Satpathy","given":"Maheswar","non-dropping-particle":"","parse-names":false,"suffix":""},{"dropping-particle":"","family":"Saunders","given":"James E","non-dropping-particle":"","parse-names":false,"suffix":""},{"dropping-particle":"","family":"Sawhney","given":"Monika","non-dropping-particle":"","parse-names":false,"suffix":""},{"dropping-particle":"","family":"Saylan","given":"Mete I","non-dropping-particle":"","parse-names":false,"suffix":""},{"dropping-particle":"","family":"Scarborough","given":"Peter","non-dropping-particle":"","parse-names":false,"suffix":""},{"dropping-particle":"","family":"Schmidt","given":"Jürgen C","non-dropping-particle":"","parse-names":false,"suffix":""},{"dropping-particle":"","family":"Schneider","given":"Ione J C","non-dropping-particle":"","parse-names":false,"suffix":""},{"dropping-particle":"","family":"Schöttker","given":"Ben","non-dropping-particle":"","parse-names":false,"suffix":""},{"dropping-particle":"","family":"Schwebel","given":"David C","non-dropping-particle":"","parse-names":false,"suffix":""},{"dropping-particle":"","family":"Scott","given":"James G","non-dropping-particle":"","parse-names":false,"suffix":""},{"dropping-particle":"","family":"Seedat","given":"Soraya","non-dropping-particle":"","parse-names":false,"suffix":""},{"dropping-particle":"","family":"Sepanlou","given":"Sadaf G","non-dropping-particle":"","parse-names":false,"suffix":""},{"dropping-particle":"","family":"Serdar","given":"Berrin","non-dropping-particle":"","parse-names":false,"suffix":""},{"dropping-particle":"","family":"Servan-Mori","given":"Edson E","non-dropping-particle":"","parse-names":false,"suffix":""},{"dropping-particle":"","family":"Shaddick","given":"Gavin","non-dropping-particle":"","parse-names":false,"suffix":""},{"dropping-particle":"","family":"Shahraz","given":"Saeid","non-dropping-particle":"","parse-names":false,"suffix":""},{"dropping-particle":"","family":"Levy","given":"Teresa Shamah","non-dropping-particle":"","parse-names":false,"suffix":""},{"dropping-particle":"","family":"Shangguan","given":"Siyi","non-dropping-particle":"","parse-names":false,"suffix":""},{"dropping-particle":"","family":"She","given":"Jun","non-dropping-particle":"","parse-names":false,"suffix":""},{"dropping-particle":"","family":"Sheikhbahaei","given":"Sara","non-dropping-particle":"","parse-names":false,"suffix":""},{"dropping-particle":"","family":"Shibuya","given":"Kenji","non-dropping-particle":"","parse-names":false,"suffix":""},{"dropping-particle":"","family":"Shin","given":"Hwashin H","non-dropping-particle":"","parse-names":false,"suffix":""},{"dropping-particle":"","family":"Shinohara","given":"Yukito","non-dropping-particle":"","parse-names":false,"suffix":""},{"dropping-particle":"","family":"Shiri","given":"Rahman","non-dropping-particle":"","parse-names":false,"suffix":""},{"dropping-particle":"","family":"Shishani","given":"Kawkab","non-dropping-particle":"","parse-names":false,"suffix":""},{"dropping-particle":"","family":"Shiue","given":"Ivy","non-dropping-particle":"","parse-names":false,"suffix":""},{"dropping-particle":"","family":"Sigfusdottir","given":"Inga D","non-dropping-particle":"","parse-names":false,"suffix":""},{"dropping-particle":"","family":"Silberberg","given":"Donald H","non-dropping-particle":"","parse-names":false,"suffix":""},{"dropping-particle":"","family":"Simard","given":"Edgar P","non-dropping-particle":"","parse-names":false,"suffix":""},{"dropping-particle":"","family":"Sindi","given":"Shireen","non-dropping-particle":"","parse-names":false,"suffix":""},{"dropping-particle":"","family":"Singh","given":"Abhishek","non-dropping-particle":"","parse-names":false,"suffix":""},{"dropping-particle":"","family":"Singh","given":"Gitanjali M","non-dropping-particle":"","parse-names":false,"suffix":""},{"dropping-particle":"","family":"Singh","given":"Jasvinder A","non-dropping-particle":"","parse-names":false,"suffix":""},{"dropping-particle":"","family":"Skirbekk","given":"Vegard","non-dropping-particle":"","parse-names":false,"suffix":""},{"dropping-particle":"","family":"Sliwa","given":"Karen","non-dropping-particle":"","parse-names":false,"suffix":""},{"dropping-particle":"","family":"Soljak","given":"Michael","non-dropping-particle":"","parse-names":false,"suffix":""},{"dropping-particle":"","family":"Soneji","given":"Samir","non-dropping-particle":"","parse-names":false,"suffix":""},{"dropping-particle":"","family":"Søreide","given":"Kjetil","non-dropping-particle":"","parse-names":false,"suffix":""},{"dropping-particle":"","family":"Soshnikov","given":"Sergey","non-dropping-particle":"","parse-names":false,"suffix":""},{"dropping-particle":"","family":"Sposato","given":"Luciano A","non-dropping-particle":"","parse-names":false,"suffix":""},{"dropping-particle":"","family":"Sreeramareddy","given":"Chandrashekhar T","non-dropping-particle":"","parse-names":false,"suffix":""},{"dropping-particle":"","family":"Stapelberg","given":"Nicolas J C","non-dropping-particle":"","parse-names":false,"suffix":""},{"dropping-particle":"","family":"Stathopoulou","given":"Vasiliki","non-dropping-particle":"","parse-names":false,"suffix":""},{"dropping-particle":"","family":"Steckling","given":"Nadine","non-dropping-particle":"","parse-names":false,"suffix":""},{"dropping-particle":"","family":"Stein","given":"Dan J","non-dropping-particle":"","parse-names":false,"suffix":""},{"dropping-particle":"","family":"Stein","given":"Murray B","non-dropping-particle":"","parse-names":false,"suffix":""},{"dropping-particle":"","family":"Stephens","given":"Natalie","non-dropping-particle":"","parse-names":false,"suffix":""},{"dropping-particle":"","family":"Stöckl","given":"Heidi","non-dropping-particle":"","parse-names":false,"suffix":""},{"dropping-particle":"","family":"Straif","given":"Kurt","non-dropping-particle":"","parse-names":false,"suffix":""},{"dropping-particle":"","family":"Stroumpoulis","given":"Konstantinos","non-dropping-particle":"","parse-names":false,"suffix":""},{"dropping-particle":"","family":"Sturua","given":"Lela","non-dropping-particle":"","parse-names":false,"suffix":""},{"dropping-particle":"","family":"Sunguya","given":"Bruno F","non-dropping-particle":"","parse-names":false,"suffix":""},{"dropping-particle":"","family":"Swaminathan","given":"Soumya","non-dropping-particle":"","parse-names":false,"suffix":""},{"dropping-particle":"","family":"Swaroop","given":"Mamta","non-dropping-particle":"","parse-names":false,"suffix":""},{"dropping-particle":"","family":"Sykes","given":"Bryan L","non-dropping-particle":"","parse-names":false,"suffix":""},{"dropping-particle":"","family":"Tabb","given":"Karen M","non-dropping-particle":"","parse-names":false,"suffix":""},{"dropping-particle":"","family":"Takahashi","given":"Ken","non-dropping-particle":"","parse-names":false,"suffix":""},{"dropping-particle":"","family":"Talongwa","given":"Roberto T","non-dropping-particle":"","parse-names":false,"suffix":""},{"dropping-particle":"","family":"Tandon","given":"Nikhil","non-dropping-particle":"","parse-names":false,"suffix":""},{"dropping-particle":"","family":"Tanne","given":"David","non-dropping-particle":"","parse-names":false,"suffix":""},{"dropping-particle":"","family":"Tanner","given":"Marcel","non-dropping-particle":"","parse-names":false,"suffix":""},{"dropping-particle":"","family":"Tavakkoli","given":"Mohammad","non-dropping-particle":"","parse-names":false,"suffix":""},{"dropping-particle":"","family":"Ao","given":"Braden J","non-dropping-particle":"Te","parse-names":false,"suffix":""},{"dropping-particle":"","family":"Teixeira","given":"Carolina M","non-dropping-particle":"","parse-names":false,"suffix":""},{"dropping-particle":"","family":"Téllez Rojo","given":"Martha M","non-dropping-particle":"","parse-names":false,"suffix":""},{"dropping-particle":"","family":"Terkawi","given":"Abdullah S","non-dropping-particle":"","parse-names":false,"suffix":""},{"dropping-particle":"","family":"Texcalac-Sangrador","given":"José Luis","non-dropping-particle":"","parse-names":false,"suffix":""},{"dropping-particle":"V","family":"Thackway","given":"Sarah","non-dropping-particle":"","parse-names":false,"suffix":""},{"dropping-particle":"","family":"Thomson","given":"Blake","non-dropping-particle":"","parse-names":false,"suffix":""},{"dropping-particle":"","family":"Thorne-Lyman","given":"Andrew L","non-dropping-particle":"","parse-names":false,"suffix":""},{"dropping-particle":"","family":"Thrift","given":"Amanda G","non-dropping-particle":"","parse-names":false,"suffix":""},{"dropping-particle":"","family":"Thurston","given":"George D","non-dropping-particle":"","parse-names":false,"suffix":""},{"dropping-particle":"","family":"Tillmann","given":"Taavi","non-dropping-particle":"","parse-names":false,"suffix":""},{"dropping-particle":"","family":"Tobollik","given":"Myriam","non-dropping-particle":"","parse-names":false,"suffix":""},{"dropping-particle":"","family":"Tonelli","given":"Marcello","non-dropping-particle":"","parse-names":false,"suffix":""},{"dropping-particle":"","family":"Topouzis","given":"Fotis","non-dropping-particle":"","parse-names":false,"suffix":""},{"dropping-particle":"","family":"Towbin","given":"Jeffrey A","non-dropping-particle":"","parse-names":false,"suffix":""},{"dropping-particle":"","family":"Toyoshima","given":"Hideaki","non-dropping-particle":"","parse-names":false,"suffix":""},{"dropping-particle":"","family":"Traebert","given":"Jefferson","non-dropping-particle":"","parse-names":false,"suffix":""},{"dropping-particle":"","family":"Tran","given":"Bach X","non-dropping-particle":"","parse-names":false,"suffix":""},{"dropping-particle":"","family":"Trasande","given":"Leonardo","non-dropping-particle":"","parse-names":false,"suffix":""},{"dropping-particle":"","family":"Trillini","given":"Matias","non-dropping-particle":"","parse-names":false,"suffix":""},{"dropping-particle":"","family":"Trujillo","given":"Ulises","non-dropping-particle":"","parse-names":false,"suffix":""},{"dropping-particle":"","family":"Dimbuene","given":"Zacharie Tsala","non-dropping-particle":"","parse-names":false,"suffix":""},{"dropping-particle":"","family":"Tsilimbaris","given":"Miltiadis","non-dropping-particle":"","parse-names":false,"suffix":""},{"dropping-particle":"","family":"Tuzcu","given":"Emin Murat","non-dropping-particle":"","parse-names":false,"suffix":""},{"dropping-particle":"","family":"Uchendu","given":"Uche S","non-dropping-particle":"","parse-names":false,"suffix":""},{"dropping-particle":"","family":"Ukwaja","given":"Kingsley N","non-dropping-particle":"","parse-names":false,"suffix":""},{"dropping-particle":"","family":"Uzun","given":"Selen B","non-dropping-particle":"","parse-names":false,"suffix":""},{"dropping-particle":"","family":"Vijver","given":"Steven","non-dropping-particle":"van de","parse-names":false,"suffix":""},{"dropping-particle":"","family":"Dingenen","given":"Rita","non-dropping-particle":"Van","parse-names":false,"suffix":""},{"dropping-particle":"","family":"Gool","given":"Coen H","non-dropping-particle":"van","parse-names":false,"suffix":""},{"dropping-particle":"","family":"Os","given":"Jim","non-dropping-particle":"van","parse-names":false,"suffix":""},{"dropping-particle":"","family":"Varakin","given":"Yuri Y","non-dropping-particle":"","parse-names":false,"suffix":""},{"dropping-particle":"","family":"Vasankari","given":"Tommi J","non-dropping-particle":"","parse-names":false,"suffix":""},{"dropping-particle":"","family":"Vasconcelos","given":"Ana Maria N","non-dropping-particle":"","parse-names":false,"suffix":""},{"dropping-particle":"","family":"Vavilala","given":"Monica S","non-dropping-particle":"","parse-names":false,"suffix":""},{"dropping-particle":"","family":"Veerman","given":"Lennert J","non-dropping-particle":"","parse-names":false,"suffix":""},{"dropping-particle":"","family":"Velasquez-Melendez","given":"Gustavo","non-dropping-particle":"","parse-names":false,"suffix":""},{"dropping-particle":"","family":"Venketasubramanian","given":"N","non-dropping-particle":"","parse-names":false,"suffix":""},{"dropping-particle":"","family":"Vijayakumar","given":"Lakshmi","non-dropping-particle":"","parse-names":false,"suffix":""},{"dropping-particle":"","family":"Villalpando","given":"Salvador","non-dropping-particle":"","parse-names":false,"suffix":""},{"dropping-particle":"","family":"Violante","given":"Francesco S","non-dropping-particle":"","parse-names":false,"suffix":""},{"dropping-particle":"","family":"Vlassov","given":"Vasiliy Victorovich","non-dropping-particle":"","parse-names":false,"suffix":""},{"dropping-particle":"","family":"Vollset","given":"Stein Emil","non-dropping-particle":"","parse-names":false,"suffix":""},{"dropping-particle":"","family":"Wagner","given":"Gregory R","non-dropping-particle":"","parse-names":false,"suffix":""},{"dropping-particle":"","family":"Waller","given":"Stephen G","non-dropping-particle":"","parse-names":false,"suffix":""},{"dropping-particle":"","family":"Wallin","given":"Mitchell T","non-dropping-particle":"","parse-names":false,"suffix":""},{"dropping-particle":"","family":"Wan","given":"Xia","non-dropping-particle":"","parse-names":false,"suffix":""},{"dropping-particle":"","family":"Wang","given":"Haidong","non-dropping-particle":"","parse-names":false,"suffix":""},{"dropping-particle":"","family":"Wang","given":"JianLi","non-dropping-particle":"","parse-names":false,"suffix":""},{"dropping-particle":"","family":"Wang","given":"Linhong","non-dropping-particle":"","parse-names":false,"suffix":""},{"dropping-particle":"","family":"Wang","given":"Wenzhi","non-dropping-particle":"","parse-names":false,"suffix":""},{"dropping-particle":"","family":"Wang","given":"Yanping","non-dropping-particle":"","parse-names":false,"suffix":""},{"dropping-particle":"","family":"Warouw","given":"Tati S","non-dropping-particle":"","parse-names":false,"suffix":""},{"dropping-particle":"","family":"Watts","given":"Charlotte H","non-dropping-particle":"","parse-names":false,"suffix":""},{"dropping-particle":"","family":"Weichenthal","given":"Scott","non-dropping-particle":"","parse-names":false,"suffix":""},{"dropping-particle":"","family":"Weiderpass","given":"Elisabete","non-dropping-particle":"","parse-names":false,"suffix":""},{"dropping-particle":"","family":"Weintraub","given":"Robert G","non-dropping-particle":"","parse-names":false,"suffix":""},{"dropping-particle":"","family":"Werdecker","given":"Andrea","non-dropping-particle":"","parse-names":false,"suffix":""},{"dropping-particle":"","family":"Wessells","given":"K Ryan","non-dropping-particle":"","parse-names":false,"suffix":""},{"dropping-particle":"","family":"Westerman","given":"Ronny","non-dropping-particle":"","parse-names":false,"suffix":""},{"dropping-particle":"","family":"Whiteford","given":"Harvey A","non-dropping-particle":"","parse-names":false,"suffix":""},{"dropping-particle":"","family":"Wilkinson","given":"James D","non-dropping-particle":"","parse-names":false,"suffix":""},{"dropping-particle":"","family":"Williams","given":"Hywel C","non-dropping-particle":"","parse-names":false,"suffix":""},{"dropping-particle":"","family":"Williams","given":"Thomas N","non-dropping-particle":"","parse-names":false,"suffix":""},{"dropping-particle":"","family":"Woldeyohannes","given":"Solomon M","non-dropping-particle":"","parse-names":false,"suffix":""},{"dropping-particle":"","family":"Wolfe","given":"Charles D A","non-dropping-particle":"","parse-names":false,"suffix":""},{"dropping-particle":"","family":"Wong","given":"John Q","non-dropping-particle":"","parse-names":false,"suffix":""},{"dropping-particle":"","family":"Woolf","given":"Anthony D","non-dropping-particle":"","parse-names":false,"suffix":""},{"dropping-particle":"","family":"Wright","given":"Jonathan L","non-dropping-particle":"","parse-names":false,"suffix":""},{"dropping-particle":"","family":"Wurtz","given":"Brittany","non-dropping-particle":"","parse-names":false,"suffix":""},{"dropping-particle":"","family":"Xu","given":"Gelin","non-dropping-particle":"","parse-names":false,"suffix":""},{"dropping-particle":"","family":"Yan","given":"Lijing L","non-dropping-particle":"","parse-names":false,"suffix":""},{"dropping-particle":"","family":"Yang","given":"Gonghuan","non-dropping-particle":"","parse-names":false,"suffix":""},{"dropping-particle":"","family":"Yano","given":"Yuichiro","non-dropping-particle":"","parse-names":false,"suffix":""},{"dropping-particle":"","family":"Ye","given":"Pengpeng","non-dropping-particle":"","parse-names":false,"suffix":""},{"dropping-particle":"","family":"Yenesew","given":"Muluken","non-dropping-particle":"","parse-names":false,"suffix":""},{"dropping-particle":"","family":"Yentür","given":"Gökalp K","non-dropping-particle":"","parse-names":false,"suffix":""},{"dropping-particle":"","family":"Yip","given":"Paul","non-dropping-particle":"","parse-names":false,"suffix":""},{"dropping-particle":"","family":"Yonemoto","given":"Naohiro","non-dropping-particle":"","parse-names":false,"suffix":""},{"dropping-particle":"","family":"Yoon","given":"Seok-Jun","non-dropping-particle":"","parse-names":false,"suffix":""},{"dropping-particle":"","family":"Younis","given":"Mustafa Z","non-dropping-particle":"","parse-names":false,"suffix":""},{"dropping-particle":"","family":"Younoussi","given":"Zourkaleini","non-dropping-particle":"","parse-names":false,"suffix":""},{"dropping-particle":"","family":"Yu","given":"Chuanhua","non-dropping-particle":"","parse-names":false,"suffix":""},{"dropping-particle":"","family":"Zaki","given":"Maysaa E","non-dropping-particle":"","parse-names":false,"suffix":""},{"dropping-particle":"","family":"Zhao","given":"Yong","non-dropping-particle":"","parse-names":false,"suffix":""},{"dropping-particle":"","family":"Zheng","given":"Yingfeng","non-dropping-particle":"","parse-names":false,"suffix":""},{"dropping-particle":"","family":"Zhou","given":"Maigeng","non-dropping-particle":"","parse-names":false,"suffix":""},{"dropping-particle":"","family":"Zhu","given":"Jun","non-dropping-particle":"","parse-names":false,"suffix":""},{"dropping-particle":"","family":"Zhu","given":"Shankuan","non-dropping-particle":"","parse-names":false,"suffix":""},{"dropping-particle":"","family":"Zou","given":"Xiaonong","non-dropping-particle":"","parse-names":false,"suffix":""},{"dropping-particle":"","family":"Zunt","given":"Joseph R","non-dropping-particle":"","parse-names":false,"suffix":""},{"dropping-particle":"","family":"Lopez","given":"Alan D","non-dropping-particle":"","parse-names":false,"suffix":""},{"dropping-particle":"","family":"Vos","given":"Theo","non-dropping-particle":"","parse-names":false,"suffix":""},{"dropping-particle":"","family":"Murray","given":"Christopher J","non-dropping-particle":"","parse-names":false,"suffix":""}],"container-title":"The Lancet","id":"ITEM-2","issue":"10010","issued":{"date-parts":[["2015","2","20"]]},"language":"en","page":"2287-2323","title":"Global, regional, and national comparative risk assessment of 79 behavioural, environmental and occupational, and metabolic risks or clusters of risks in 188 countries, 1990–2013: a systematic analysis for the Global Burden of Disease Study 2013","type":"article-journal","volume":"386"}}],"schema":"https://github.com/citation-style-language/schema/raw/master/csl-citation.json"}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34,46</w:t>
      </w:r>
      <w:r w:rsidRPr="009664B1">
        <w:rPr>
          <w:rFonts w:ascii="Arial" w:hAnsi="Arial" w:cs="Arial"/>
        </w:rPr>
        <w:fldChar w:fldCharType="end"/>
      </w:r>
      <w:r w:rsidRPr="009664B1">
        <w:rPr>
          <w:rFonts w:ascii="Arial" w:hAnsi="Arial" w:cs="Arial"/>
        </w:rPr>
        <w:t xml:space="preserve"> </w:t>
      </w:r>
      <w:r w:rsidRPr="00BB231B">
        <w:rPr>
          <w:rFonts w:ascii="Arial" w:hAnsi="Arial" w:cs="Arial"/>
        </w:rPr>
        <w:t xml:space="preserve">Table </w:t>
      </w:r>
      <w:r w:rsidR="001371FA" w:rsidRPr="00BB231B">
        <w:rPr>
          <w:rFonts w:ascii="Arial" w:hAnsi="Arial" w:cs="Arial"/>
        </w:rPr>
        <w:t>S3</w:t>
      </w:r>
      <w:r w:rsidRPr="00BB231B">
        <w:rPr>
          <w:rFonts w:ascii="Arial" w:hAnsi="Arial" w:cs="Arial"/>
        </w:rPr>
        <w:t xml:space="preserve"> provides</w:t>
      </w:r>
      <w:r w:rsidRPr="009664B1">
        <w:rPr>
          <w:rFonts w:ascii="Arial" w:hAnsi="Arial" w:cs="Arial"/>
        </w:rPr>
        <w:t xml:space="preserve"> an overview of the relative-risk parameters used. </w:t>
      </w:r>
    </w:p>
    <w:p w14:paraId="7FCF1762" w14:textId="77777777" w:rsidR="00FC0B1B" w:rsidRDefault="00FC0B1B" w:rsidP="00FC0B1B">
      <w:pPr>
        <w:pStyle w:val="NoSpacing"/>
        <w:spacing w:line="360" w:lineRule="auto"/>
        <w:rPr>
          <w:rFonts w:ascii="Arial" w:hAnsi="Arial" w:cs="Arial"/>
          <w:b/>
        </w:rPr>
      </w:pPr>
    </w:p>
    <w:p w14:paraId="5FF9BCE9" w14:textId="6D824AEB" w:rsidR="003653BF" w:rsidRPr="009664B1" w:rsidRDefault="003653BF" w:rsidP="00FC0B1B">
      <w:pPr>
        <w:spacing w:line="360" w:lineRule="auto"/>
        <w:rPr>
          <w:rFonts w:ascii="Arial" w:hAnsi="Arial" w:cs="Arial"/>
          <w:sz w:val="22"/>
          <w:szCs w:val="22"/>
        </w:rPr>
      </w:pPr>
      <w:r w:rsidRPr="009664B1">
        <w:rPr>
          <w:rFonts w:ascii="Arial" w:hAnsi="Arial" w:cs="Arial"/>
          <w:b/>
          <w:sz w:val="22"/>
          <w:szCs w:val="22"/>
        </w:rPr>
        <w:t xml:space="preserve">Table </w:t>
      </w:r>
      <w:r w:rsidR="001371FA" w:rsidRPr="009664B1">
        <w:rPr>
          <w:rFonts w:ascii="Arial" w:hAnsi="Arial" w:cs="Arial"/>
          <w:b/>
          <w:sz w:val="22"/>
          <w:szCs w:val="22"/>
        </w:rPr>
        <w:t>S3</w:t>
      </w:r>
      <w:r w:rsidRPr="009664B1">
        <w:rPr>
          <w:rFonts w:ascii="Arial" w:hAnsi="Arial" w:cs="Arial"/>
          <w:b/>
          <w:sz w:val="22"/>
          <w:szCs w:val="22"/>
        </w:rPr>
        <w:t>.</w:t>
      </w:r>
      <w:r w:rsidRPr="009664B1">
        <w:rPr>
          <w:rFonts w:ascii="Arial" w:hAnsi="Arial" w:cs="Arial"/>
          <w:sz w:val="22"/>
          <w:szCs w:val="22"/>
        </w:rPr>
        <w:t xml:space="preserve"> Relative risk parameters (mean and low and high values of 95% confidence intervals) for dietary risks and weight-related risks. </w:t>
      </w:r>
    </w:p>
    <w:p w14:paraId="0AD12F35" w14:textId="77777777" w:rsidR="003653BF" w:rsidRPr="009664B1" w:rsidRDefault="003653BF" w:rsidP="00FC0B1B">
      <w:pPr>
        <w:spacing w:line="360" w:lineRule="auto"/>
        <w:rPr>
          <w:rFonts w:ascii="Arial" w:hAnsi="Arial" w:cs="Arial"/>
          <w:i/>
          <w:sz w:val="22"/>
          <w:szCs w:val="22"/>
        </w:rPr>
      </w:pPr>
      <w:r w:rsidRPr="009664B1">
        <w:rPr>
          <w:rFonts w:ascii="Arial" w:hAnsi="Arial" w:cs="Arial"/>
          <w:i/>
          <w:noProof/>
          <w:sz w:val="22"/>
          <w:szCs w:val="22"/>
        </w:rPr>
        <w:drawing>
          <wp:inline distT="0" distB="0" distL="0" distR="0" wp14:anchorId="584CA9E4" wp14:editId="4AF9EC00">
            <wp:extent cx="5041874" cy="6629400"/>
            <wp:effectExtent l="0" t="0" r="635" b="0"/>
            <wp:docPr id="595288177" name="Picture 59528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8603" cy="6638248"/>
                    </a:xfrm>
                    <a:prstGeom prst="rect">
                      <a:avLst/>
                    </a:prstGeom>
                  </pic:spPr>
                </pic:pic>
              </a:graphicData>
            </a:graphic>
          </wp:inline>
        </w:drawing>
      </w:r>
    </w:p>
    <w:p w14:paraId="6E6B4A40" w14:textId="0F6E8143" w:rsidR="00292287" w:rsidRPr="00BB231B" w:rsidRDefault="00292287" w:rsidP="00FC0B1B">
      <w:pPr>
        <w:pStyle w:val="NoSpacing"/>
        <w:spacing w:line="360" w:lineRule="auto"/>
        <w:rPr>
          <w:rFonts w:ascii="Arial" w:hAnsi="Arial" w:cs="Arial"/>
        </w:rPr>
      </w:pPr>
      <w:r w:rsidRPr="009664B1">
        <w:rPr>
          <w:rFonts w:ascii="Arial" w:hAnsi="Arial" w:cs="Arial"/>
        </w:rPr>
        <w:lastRenderedPageBreak/>
        <w:t>The selection of risk-disease associations used in the health analysis was supported by available criteria used to judge the certainty of evidence, such as the Bradford-Hill criteria used by the Nutrition and Chronic Diseases Expert Group (</w:t>
      </w:r>
      <w:proofErr w:type="spellStart"/>
      <w:r w:rsidRPr="009664B1">
        <w:rPr>
          <w:rFonts w:ascii="Arial" w:hAnsi="Arial" w:cs="Arial"/>
        </w:rPr>
        <w:t>NutriCoDE</w:t>
      </w:r>
      <w:proofErr w:type="spellEnd"/>
      <w:r w:rsidRPr="009664B1">
        <w:rPr>
          <w:rFonts w:ascii="Arial" w:hAnsi="Arial" w:cs="Arial"/>
        </w:rPr>
        <w:t>),</w:t>
      </w:r>
      <w:r w:rsidRPr="009664B1">
        <w:rPr>
          <w:rFonts w:ascii="Arial" w:hAnsi="Arial" w:cs="Arial"/>
        </w:rPr>
        <w:fldChar w:fldCharType="begin" w:fldLock="1"/>
      </w:r>
      <w:r w:rsidR="00935615">
        <w:rPr>
          <w:rFonts w:ascii="Arial" w:hAnsi="Arial" w:cs="Arial"/>
        </w:rPr>
        <w:instrText xml:space="preserve"> ADDIN ZOTERO_ITEM CSL_CITATION {"citationID":"Uhbk4eRl","properties":{"formattedCitation":"\\super 46\\nosupersub{}","plainCitation":"46","noteIndex":0},"citationItems":[{"id":"XSX8F4tB/X6cQNIGw","uris":["http://www.mendeley.com/documents/?uuid=0f067f83-2d4b-47d5-a28e-4332e6c44add",["http://www.mendeley.com/documents/?uuid=0f067f83-2d4b-47d5-a28e-4332e6c44add"]],"itemData":{"DOI":"10.1371/journal.pone.0175149","ISSN":"1932-6203","author":[{"dropping-particle":"","family":"Micha","given":"Renata","non-dropping-particle":"","parse-names":false,"suffix":""},{"dropping-particle":"","family":"Shulkin","given":"Masha L","non-dropping-particle":"","parse-names":false,"suffix":""},{"dropping-particle":"","family":"Peñalvo","given":"Jose L","non-dropping-particle":"","parse-names":false,"suffix":""},{"dropping-particle":"","family":"Khatibzadeh","given":"Shahab","non-dropping-particle":"","parse-names":false,"suffix":""},{"dropping-particle":"","family":"Singh","given":"Gitanjali M","non-dropping-particle":"","parse-names":false,"suffix":""},{"dropping-particle":"","family":"Rao","given":"Mayuree","non-dropping-particle":"","parse-names":false,"suffix":""},{"dropping-particle":"","family":"Fahimi","given":"Saman","non-dropping-particle":"","parse-names":false,"suffix":""},{"dropping-particle":"","family":"Powles","given":"John","non-dropping-particle":"","parse-names":false,"suffix":""},{"dropping-particle":"","family":"Mozaffarian","given":"Dariush","non-dropping-particle":"","parse-names":false,"suffix":""}],"container-title":"PLOS ONE","editor":[{"dropping-particle":"","family":"Kiechl","given":"Stefan","non-dropping-particle":"","parse-names":false,"suffix":""}],"id":"ITEM-1","issue":"4","issued":{"date-parts":[["2017","10","3"]]},"language":"en","page":"e0175149","title":"Etiologic effects and optimal intakes of foods and nutrients for risk of cardiovascular diseases and diabetes: Systematic reviews and meta-analyses from the Nutrition and Chronic Diseases Expert Group (NutriCoDE)","type":"article-journal","volume":"12"}}],"schema":"https://github.com/citation-style-language/schema/raw/master/csl-citation.json"}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46</w:t>
      </w:r>
      <w:r w:rsidRPr="009664B1">
        <w:rPr>
          <w:rFonts w:ascii="Arial" w:hAnsi="Arial" w:cs="Arial"/>
        </w:rPr>
        <w:fldChar w:fldCharType="end"/>
      </w:r>
      <w:r w:rsidRPr="009664B1">
        <w:rPr>
          <w:rFonts w:ascii="Arial" w:hAnsi="Arial" w:cs="Arial"/>
        </w:rPr>
        <w:t xml:space="preserve"> the World-Cancer-Research-Fund criteria used by the Global Burden of Disease project,</w:t>
      </w:r>
      <w:r w:rsidRPr="009664B1">
        <w:rPr>
          <w:rFonts w:ascii="Arial" w:hAnsi="Arial" w:cs="Arial"/>
        </w:rPr>
        <w:fldChar w:fldCharType="begin" w:fldLock="1"/>
      </w:r>
      <w:r w:rsidR="00935615">
        <w:rPr>
          <w:rFonts w:ascii="Arial" w:hAnsi="Arial" w:cs="Arial"/>
        </w:rPr>
        <w:instrText xml:space="preserve"> ADDIN ZOTERO_ITEM CSL_CITATION {"citationID":"iZU8mkc8","properties":{"formattedCitation":"\\super 47\\nosupersub{}","plainCitation":"47","noteIndex":0},"citationItems":[{"id":"XSX8F4tB/1Bm9Kshg","uris":["http://www.mendeley.com/documents/?uuid=98ac7178-01f8-3792-9ea0-505159a3c054",["http://www.mendeley.com/documents/?uuid=98ac7178-01f8-3792-9ea0-505159a3c054"]],"itemData":{"DOI":"10.1016/S0140-6736(19)30041-8","ISSN":"1474-547X","PMID":"30954305","abstract":"BACKGROUND Suboptimal diet is an important preventable risk factor for non-communicable diseases (NCDs); however, its impact on the burden of NCDs has not been systematically evaluated. This study aimed to evaluate the consumption of major foods and nutrients across 195 countries and to quantify the impact of their suboptimal intake on NCD mortality and morbidity. METHODS By use of a comparative risk assessment approach, we estimated the proportion of disease-specific burden attributable to each dietary risk factor (also referred to as population attributable fraction) among adults aged 25 years or older. The main inputs to this analysis included the intake of each dietary factor, the effect size of the dietary factor on disease endpoint, and the level of intake associated with the lowest risk of mortality. Then, by use of disease-specific population attributable fractions, mortality, and disability-adjusted life-years (DALYs), we calculated the number of deaths and DALYs attributable to diet for each disease outcome. FINDINGS In 2017, 11 million (95% uncertainty interval [UI] 10-12) deaths and 255 million (234-274) DALYs were attributable to dietary risk factors. High intake of sodium (3 million [1-5] deaths and 70 million [34-118] DALYs), low intake of whole grains (3 million [2-4] deaths and 82 million [59-109] DALYs), and low intake of fruits (2 million [1-4] deaths and 65 million [41-92] DALYs) were the leading dietary risk factors for deaths and DALYs globally and in many countries. Dietary data were from mixed sources and were not available for all countries, increasing the statistical uncertainty of our estimates. INTERPRETATION This study provides a comprehensive picture of the potential impact of suboptimal diet on NCD mortality and morbidity, highlighting the need for improving diet across nations. Our findings will inform implementation of evidence-based dietary interventions and provide a platform for evaluation of their impact on human health annually. FUNDING Bill &amp; Melinda Gates Foundation.","author":[{"dropping-particle":"","family":"GBD 2017 Diet Collaborators","given":"Ashkan","non-dropping-particle":"","parse-names":false,"suffix":""},{"dropping-particle":"","family":"Sur","given":"Patrick John","non-dropping-particle":"","parse-names":false,"suffix":""},{"dropping-particle":"","family":"Fay","given":"Kairsten A.","non-dropping-particle":"","parse-names":false,"suffix":""},{"dropping-particle":"","family":"Cornaby","given":"Leslie","non-dropping-particle":"","parse-names":false,"suffix":""},{"dropping-particle":"","family":"Ferrara","given":"Giannina","non-dropping-particle":"","parse-names":false,"suffix":""},{"dropping-particle":"","family":"Salama","given":"Joseph S","non-dropping-particle":"","parse-names":false,"suffix":""},{"dropping-particle":"","family":"Mullany","given":"Erin C","non-dropping-particle":"","parse-names":false,"suffix":""},{"dropping-particle":"","family":"Abate","given":"Kalkidan Hassen","non-dropping-particle":"","parse-names":false,"suffix":""},{"dropping-particle":"","family":"Abbafati","given":"Cristiana","non-dropping-particle":"","parse-names":false,"suffix":""},{"dropping-particle":"","family":"Abebe","given":"Zegeye","non-dropping-particle":"","parse-names":false,"suffix":""},{"dropping-particle":"","family":"Afarideh","given":"Mohsen","non-dropping-particle":"","parse-names":false,"suffix":""},{"dropping-particle":"","family":"Aggarwal","given":"Anju","non-dropping-particle":"","parse-names":false,"suffix":""},{"dropping-particle":"","family":"Agrawal","given":"Sutapa","non-dropping-particle":"","parse-names":false,"suffix":""},{"dropping-particle":"","family":"Akinyemiju","given":"Tomi","non-dropping-particle":"","parse-names":false,"suffix":""},{"dropping-particle":"","family":"Alahdab","given":"Fares","non-dropping-particle":"","parse-names":false,"suffix":""},{"dropping-particle":"","family":"Bacha","given":"Umar","non-dropping-particle":"","parse-names":false,"suffix":""},{"dropping-particle":"","family":"Bachman","given":"Victoria F","non-dropping-particle":"","parse-names":false,"suffix":""},{"dropping-particle":"","family":"Badali","given":"Hamid","non-dropping-particle":"","parse-names":false,"suffix":""},{"dropping-particle":"","family":"Badawi","given":"Alaa","non-dropping-particle":"","parse-names":false,"suffix":""},{"dropping-particle":"","family":"Bensenor","given":"Isabela M","non-dropping-particle":"","parse-names":false,"suffix":""},{"dropping-particle":"","family":"Bernabe","given":"Eduardo","non-dropping-particle":"","parse-names":false,"suffix":""},{"dropping-particle":"","family":"Biadgilign","given":"Sibhatu Kassa K","non-dropping-particle":"","parse-names":false,"suffix":""},{"dropping-particle":"","family":"Biryukov","given":"Stan H","non-dropping-particle":"","parse-names":false,"suffix":""},{"dropping-particle":"","family":"Cahill","given":"Leah E","non-dropping-particle":"","parse-names":false,"suffix":""},{"dropping-particle":"","family":"Carrero","given":"Juan J","non-dropping-particle":"","parse-names":false,"suffix":""},{"dropping-particle":"","family":"Cercy","given":"Kelly M.","non-dropping-particle":"","parse-names":false,"suffix":""},{"dropping-particle":"","family":"Dandona","given":"Lalit","non-dropping-particle":"","parse-names":false,"suffix":""},{"dropping-particle":"","family":"Dandona","given":"Rakhi","non-dropping-particle":"","parse-names":false,"suffix":""},{"dropping-particle":"","family":"Dang","given":"Anh Kim","non-dropping-particle":"","parse-names":false,"suffix":""},{"dropping-particle":"","family":"Degefa","given":"Meaza Girma","non-dropping-particle":"","parse-names":false,"suffix":""},{"dropping-particle":"","family":"Zaki","given":"Maysaa El Sayed","non-dropping-particle":"","parse-names":false,"suffix":""},{"dropping-particle":"","family":"Esteghamati","given":"Alireza","non-dropping-particle":"","parse-names":false,"suffix":""},{"dropping-particle":"","family":"Esteghamati","given":"Sadaf","non-dropping-particle":"","parse-names":false,"suffix":""},{"dropping-particle":"","family":"Fanzo","given":"Jessica","non-dropping-particle":"","parse-names":false,"suffix":""},{"dropping-particle":"","family":"Farinha","given":"Carla Sofia e Sá","non-dropping-particle":"","parse-names":false,"suffix":""},{"dropping-particle":"","family":"Farvid","given":"Maryam S","non-dropping-particle":"","parse-names":false,"suffix":""},{"dropping-particle":"","family":"Farzadfar","given":"Farshad","non-dropping-particle":"","parse-names":false,"suffix":""},{"dropping-particle":"","family":"Feigin","given":"Valery L.","non-dropping-particle":"","parse-names":false,"suffix":""},{"dropping-particle":"","family":"Fernandes","given":"Joao C","non-dropping-particle":"","parse-names":false,"suffix":""},{"dropping-particle":"","family":"Flor","given":"Luisa Sorio","non-dropping-particle":"","parse-names":false,"suffix":""},{"dropping-particle":"","family":"Foigt","given":"Nataliya A.","non-dropping-particle":"","parse-names":false,"suffix":""},{"dropping-particle":"","family":"Forouzanfar","given":"Mohammad H","non-dropping-particle":"","parse-names":false,"suffix":""},{"dropping-particle":"","family":"Ganji","given":"Morsaleh","non-dropping-particle":"","parse-names":false,"suffix":""},{"dropping-particle":"","family":"Geleijnse","given":"Johanna M.","non-dropping-particle":"","parse-names":false,"suffix":""},{"dropping-particle":"","family":"Gillum","given":"Richard F","non-dropping-particle":"","parse-names":false,"suffix":""},{"dropping-particle":"","family":"Goulart","given":"Alessandra C","non-dropping-particle":"","parse-names":false,"suffix":""},{"dropping-particle":"","family":"Grosso","given":"Giuseppe","non-dropping-particle":"","parse-names":false,"suffix":""},{"dropping-particle":"","family":"Guessous","given":"Idris","non-dropping-particle":"","parse-names":false,"suffix":""},{"dropping-particle":"","family":"Hamidi","given":"Samer","non-dropping-particle":"","parse-names":false,"suffix":""},{"dropping-particle":"","family":"Hankey","given":"Graeme J.","non-dropping-particle":"","parse-names":false,"suffix":""},{"dropping-particle":"","family":"Harikrishnan","given":"Sivadasanpillai","non-dropping-particle":"","parse-names":false,"suffix":""},{"dropping-particle":"","family":"Hassen","given":"Hamid Yimam","non-dropping-particle":"","parse-names":false,"suffix":""},{"dropping-particle":"","family":"Hay","given":"Simon I.","non-dropping-particle":"","parse-names":false,"suffix":""},{"dropping-particle":"","family":"Hoang","given":"Chi Linh","non-dropping-particle":"","parse-names":false,"suffix":""},{"dropping-particle":"","family":"Horino","given":"Masako","non-dropping-particle":"","parse-names":false,"suffix":""},{"dropping-particle":"","family":"Islami","given":"Farhad","non-dropping-particle":"","parse-names":false,"suffix":""},{"dropping-particle":"","family":"Jackson","given":"Maria D.","non-dropping-particle":"","parse-names":false,"suffix":""},{"dropping-particle":"","family":"James","given":"Spencer L.","non-dropping-particle":"","parse-names":false,"suffix":""},{"dropping-particle":"","family":"Johansson","given":"Lars","non-dropping-particle":"","parse-names":false,"suffix":""},{"dropping-particle":"","family":"Jonas","given":"Jost B.","non-dropping-particle":"","parse-names":false,"suffix":""},{"dropping-particle":"","family":"Kasaeian","given":"Amir","non-dropping-particle":"","parse-names":false,"suffix":""},{"dropping-particle":"","family":"Khader","given":"Yousef Saleh","non-dropping-particle":"","parse-names":false,"suffix":""},{"dropping-particle":"","family":"Khalil","given":"Ibrahim A.","non-dropping-particle":"","parse-names":false,"suffix":""},{"dropping-particle":"","family":"Khang","given":"Young-Ho","non-dropping-particle":"","parse-names":false,"suffix":""},{"dropping-particle":"","family":"Kimokoti","given":"Ruth W","non-dropping-particle":"","parse-names":false,"suffix":""},{"dropping-particle":"","family":"Kokubo","given":"Yoshihiro","non-dropping-particle":"","parse-names":false,"suffix":""},{"dropping-particle":"","family":"Kumar","given":"G Anil","non-dropping-particle":"","parse-names":false,"suffix":""},{"dropping-particle":"","family":"Lallukka","given":"Tea","non-dropping-particle":"","parse-names":false,"suffix":""},{"dropping-particle":"","family":"Lopez","given":"Alan D","non-dropping-particle":"","parse-names":false,"suffix":""},{"dropping-particle":"","family":"Lorkowski","given":"Stefan","non-dropping-particle":"","parse-names":false,"suffix":""},{"dropping-particle":"","family":"Lotufo","given":"Paulo A.","non-dropping-particle":"","parse-names":false,"suffix":""},{"dropping-particle":"","family":"Lozano","given":"Rafael","non-dropping-particle":"","parse-names":false,"suffix":""},{"dropping-particle":"","family":"Malekzadeh","given":"Reza","non-dropping-particle":"","parse-names":false,"suffix":""},{"dropping-particle":"","family":"März","given":"Winfried","non-dropping-particle":"","parse-names":false,"suffix":""},{"dropping-particle":"","family":"Meier","given":"Toni","non-dropping-particle":"","parse-names":false,"suffix":""},{"dropping-particle":"","family":"Melaku","given":"Yohannes A","non-dropping-particle":"","parse-names":false,"suffix":""},{"dropping-particle":"","family":"Mendoza","given":"Walter","non-dropping-particle":"","parse-names":false,"suffix":""},{"dropping-particle":"","family":"Mensink","given":"Gert B.M.","non-dropping-particle":"","parse-names":false,"suffix":""},{"dropping-particle":"","family":"Micha","given":"Renata","non-dropping-particle":"","parse-names":false,"suffix":""},{"dropping-particle":"","family":"Miller","given":"Ted R","non-dropping-particle":"","parse-names":false,"suffix":""},{"dropping-particle":"","family":"Mirarefin","given":"Mojde","non-dropping-particle":"","parse-names":false,"suffix":""},{"dropping-particle":"","family":"Mohan","given":"Viswanathan","non-dropping-particle":"","parse-names":false,"suffix":""},{"dropping-particle":"","family":"Mokdad","given":"Ali H","non-dropping-particle":"","parse-names":false,"suffix":""},{"dropping-particle":"","family":"Mozaffarian","given":"Dariush","non-dropping-particle":"","parse-names":false,"suffix":""},{"dropping-particle":"","family":"Nagel","given":"Gabriele","non-dropping-particle":"","parse-names":false,"suffix":""},{"dropping-particle":"","family":"Naghavi","given":"Mohsen","non-dropping-particle":"","parse-names":false,"suffix":""},{"dropping-particle":"","family":"Nguyen","given":"Cuong Tat","non-dropping-particle":"","parse-names":false,"suffix":""},{"dropping-particle":"","family":"Nixon","given":"Molly R","non-dropping-particle":"","parse-names":false,"suffix":""},{"dropping-particle":"","family":"Ong","given":"Kanyin L","non-dropping-particle":"","parse-names":false,"suffix":""},{"dropping-particle":"","family":"Pereira","given":"David M.","non-dropping-particle":"","parse-names":false,"suffix":""},{"dropping-particle":"","family":"Poustchi","given":"Hossein","non-dropping-particle":"","parse-names":false,"suffix":""},{"dropping-particle":"","family":"Qorbani","given":"Mostafa","non-dropping-particle":"","parse-names":false,"suffix":""},{"dropping-particle":"","family":"Rai","given":"Rajesh Kumar","non-dropping-particle":"","parse-names":false,"suffix":""},{"dropping-particle":"","family":"Razo-García","given":"Christian","non-dropping-particle":"","parse-names":false,"suffix":""},{"dropping-particle":"","family":"Rehm","given":"Colin D","non-dropping-particle":"","parse-names":false,"suffix":""},{"dropping-particle":"","family":"Rivera","given":"Juan A","non-dropping-particle":"","parse-names":false,"suffix":""},{"dropping-particle":"","family":"Rodríguez-Ramírez","given":"Sonia","non-dropping-particle":"","parse-names":false,"suffix":""},{"dropping-particle":"","family":"Roshandel","given":"Gholamreza","non-dropping-particle":"","parse-names":false,"suffix":""},{"dropping-particle":"","family":"Roth","given":"Gregory A","non-dropping-particle":"","parse-names":false,"suffix":""},{"dropping-particle":"","family":"Sanabria","given":"Juan","non-dropping-particle":"","parse-names":false,"suffix":""},{"dropping-particle":"","family":"Sánchez-Pimienta","given":"Tania G","non-dropping-particle":"","parse-names":false,"suffix":""},{"dropping-particle":"","family":"Sartorius","given":"Benn","non-dropping-particle":"","parse-names":false,"suffix":""},{"dropping-particle":"","family":"Schmidhuber","given":"Josef","non-dropping-particle":"","parse-names":false,"suffix":""},{"dropping-particle":"","family":"Schutte","given":"Aletta Elisabeth","non-dropping-particle":"","parse-names":false,"suffix":""},{"dropping-particle":"","family":"Sepanlou","given":"Sadaf G.","non-dropping-particle":"","parse-names":false,"suffix":""},{"dropping-particle":"","family":"Shin","given":"Min-Jeong","non-dropping-particle":"","parse-names":false,"suffix":""},{"dropping-particle":"","family":"Sorensen","given":"Reed J.D.","non-dropping-particle":"","parse-names":false,"suffix":""},{"dropping-particle":"","family":"Springmann","given":"Marco","non-dropping-particle":"","parse-names":false,"suffix":""},{"dropping-particle":"","family":"Szponar","given":"Lucjan","non-dropping-particle":"","parse-names":false,"suffix":""},{"dropping-particle":"","family":"Thorne-Lyman","given":"Andrew L","non-dropping-particle":"","parse-names":false,"suffix":""},{"dropping-particle":"","family":"Thrift","given":"Amanda G","non-dropping-particle":"","parse-names":false,"suffix":""},{"dropping-particle":"","family":"Touvier","given":"Mathilde","non-dropping-particle":"","parse-names":false,"suffix":""},{"dropping-particle":"","family":"Tran","given":"Bach Xuan","non-dropping-particle":"","parse-names":false,"suffix":""},{"dropping-particle":"","family":"Tyrovolas","given":"Stefanos","non-dropping-particle":"","parse-names":false,"suffix":""},{"dropping-particle":"","family":"Ukwaja","given":"Kingsley Nnanna","non-dropping-particle":"","parse-names":false,"suffix":""},{"dropping-particle":"","family":"Ullah","given":"Irfan","non-dropping-particle":"","parse-names":false,"suffix":""},{"dropping-particle":"","family":"Uthman","given":"Olalekan A","non-dropping-particle":"","parse-names":false,"suffix":""},{"dropping-particle":"","family":"Vaezghasemi","given":"Masoud","non-dropping-particle":"","parse-names":false,"suffix":""},{"dropping-particle":"","family":"Vasankari","given":"Tommi Juhani","non-dropping-particle":"","parse-names":false,"suffix":""},{"dropping-particle":"","family":"Vollset","given":"Stein Emil","non-dropping-particle":"","parse-names":false,"suffix":""},{"dropping-particle":"","family":"Vos","given":"Theo","non-dropping-particle":"","parse-names":false,"suffix":""},{"dropping-particle":"","family":"Vu","given":"Giang Thu","non-dropping-particle":"","parse-names":false,"suffix":""},{"dropping-particle":"","family":"Vu","given":"Linh Gia","non-dropping-particle":"","parse-names":false,"suffix":""},{"dropping-particle":"","family":"Weiderpass","given":"Elisabete","non-dropping-particle":"","parse-names":false,"suffix":""},{"dropping-particle":"","family":"Werdecker","given":"Andrea","non-dropping-particle":"","parse-names":false,"suffix":""},{"dropping-particle":"","family":"Wijeratne","given":"Tissa","non-dropping-particle":"","parse-names":false,"suffix":""},{"dropping-particle":"","family":"Willett","given":"Walter C","non-dropping-particle":"","parse-names":false,"suffix":""},{"dropping-particle":"","family":"Wu","given":"Jason H","non-dropping-particle":"","parse-names":false,"suffix":""},{"dropping-particle":"","family":"Xu","given":"Gelin","non-dropping-particle":"","parse-names":false,"suffix":""},{"dropping-particle":"","family":"Yonemoto","given":"Naohiro","non-dropping-particle":"","parse-names":false,"suffix":""},{"dropping-particle":"","family":"Yu","given":"Chuanhua","non-dropping-particle":"","parse-names":false,"suffix":""},{"dropping-particle":"","family":"Murray","given":"Christopher J L","non-dropping-particle":"","parse-names":false,"suffix":""}],"container-title":"Lancet (London, England)","id":"ITEM-1","issue":"0","issued":{"date-parts":[["2019","4","3"]]},"publisher":"Elsevier","title":"Health effects of dietary risks in 195 countries, 1990-2017: a systematic analysis for the Global Burden of Disease Study 2017.","type":"article-journal","volume":"0"}}],"schema":"https://github.com/citation-style-language/schema/raw/master/csl-citation.json"}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47</w:t>
      </w:r>
      <w:r w:rsidRPr="009664B1">
        <w:rPr>
          <w:rFonts w:ascii="Arial" w:hAnsi="Arial" w:cs="Arial"/>
        </w:rPr>
        <w:fldChar w:fldCharType="end"/>
      </w:r>
      <w:r w:rsidRPr="009664B1">
        <w:rPr>
          <w:rFonts w:ascii="Arial" w:hAnsi="Arial" w:cs="Arial"/>
        </w:rPr>
        <w:t xml:space="preserve"> as well as </w:t>
      </w:r>
      <w:proofErr w:type="spellStart"/>
      <w:r w:rsidRPr="009664B1">
        <w:rPr>
          <w:rFonts w:ascii="Arial" w:hAnsi="Arial" w:cs="Arial"/>
        </w:rPr>
        <w:t>NutriGrade</w:t>
      </w:r>
      <w:proofErr w:type="spellEnd"/>
      <w:r w:rsidRPr="009664B1">
        <w:rPr>
          <w:rFonts w:ascii="Arial" w:hAnsi="Arial" w:cs="Arial"/>
        </w:rPr>
        <w:t xml:space="preserve"> </w:t>
      </w:r>
      <w:r w:rsidRPr="00BB231B">
        <w:rPr>
          <w:rFonts w:ascii="Arial" w:hAnsi="Arial" w:cs="Arial"/>
        </w:rPr>
        <w:t>(Table S4).</w:t>
      </w:r>
      <w:r w:rsidRPr="00BB231B">
        <w:rPr>
          <w:rFonts w:ascii="Arial" w:hAnsi="Arial" w:cs="Arial"/>
        </w:rPr>
        <w:fldChar w:fldCharType="begin" w:fldLock="1"/>
      </w:r>
      <w:r w:rsidR="00935615" w:rsidRPr="00BB231B">
        <w:rPr>
          <w:rFonts w:ascii="Arial" w:hAnsi="Arial" w:cs="Arial"/>
        </w:rPr>
        <w:instrText xml:space="preserve"> ADDIN ZOTERO_ITEM CSL_CITATION {"citationID":"Ib05aZRc","properties":{"formattedCitation":"\\super 48\\nosupersub{}","plainCitation":"48","noteIndex":0},"citationItems":[{"id":"XSX8F4tB/0083Ztho","uris":["http://www.mendeley.com/documents/?uuid=1dcb1c7e-8b6c-3f44-9230-1b5c6d431659",["http://www.mendeley.com/documents/?uuid=1dcb1c7e-8b6c-3f44-9230-1b5c6d431659"]],"itemData":{"DOI":"10.3945/an.116.013052","ISSN":"2156-5376","abstract":"ï¿½ 2016 American Society for Nutrition. The objective of this study was to develop a scoring system (NutriGrade) to evaluate the quality of evidence of randomized controlled trial (RCT) and cohort study meta-analyses in nutrition research, building upon previous tools and expert recommendations. NutriGrade aims to assess the meta-evidence of an association or effect between different nutrition factors and outcomes, taking into account nutrition research-specific requirements not considered by other tools. In a pretest study, 6 randomly selected meta-analyses investigating diet-disease relations were evaluated with NutriGrade by 5 independent raters. After revision, NutriGrade was applied by the same raters to 30 randomly selected meta-analyses in the same thematic area. The reliability of ratings of NutriGrade items was calculated with the use of a multirater k, and reliability of the total (summed scores) was calculated with the use of intraclass correlation coefficients (ICCs). The following categories for meta-evidence evaluation were established: high (8-10), moderate (6-7.99), low (4-5.99), and very low (0-3.99). The NutriGrade scoring system (maximum of 10 points) comprises the following items: 1) risk of bias, study quality, and study limitations, 2) precision, 3) heterogeneity, 4) directness, 5) publication bias, 6) funding bias, 7) study design, 8) effect size, and 9) dose-response. The NutriGrade score varied between 2.9 (very lowmeta-evidence) and 8.8 (high meta-evidence) for meta-analyses of RCTs, and it ranged between 3.1 and 8.8 for meta-analyses of cohort studies. The k value of the ratings for each scoring item varied from 0.32 (95% CI: 0.22, 0.42) for risk of bias for cohort studies and 0.95 (95% CI: 0.91, 0.99) for study design, with a mean k of 0.66 (95% CI: 0.53, 0.79). The ICC of the total score was 0.81 (95% CI: 0.69, 0.90). The NutriGrade scoring system showed good agreement and reliability. The initial findings regarding the performance of this newly established scoring system need further evaluation in independent analyses.","author":[{"dropping-particle":"","family":"Schwingshackl","given":"Lukas","non-dropping-particle":"","parse-names":false,"suffix":""},{"dropping-particle":"","family":"Knüppel","given":"Sven","non-dropping-particle":"","parse-names":false,"suffix":""},{"dropping-particle":"","family":"Schwedhelm","given":"Carolina","non-dropping-particle":"","parse-names":false,"suffix":""},{"dropping-particle":"","family":"Hoffmann","given":"Georg","non-dropping-particle":"","parse-names":false,"suffix":""},{"dropping-particle":"","family":"Missbach","given":"Benjamin","non-dropping-particle":"","parse-names":false,"suffix":""},{"dropping-particle":"","family":"Stelmach-Mardas","given":"Marta","non-dropping-particle":"","parse-names":false,"suffix":""},{"dropping-particle":"","family":"Dietrich","given":"Stefan","non-dropping-particle":"","parse-names":false,"suffix":""},{"dropping-particle":"","family":"Eichelmann","given":"Fabian","non-dropping-particle":"","parse-names":false,"suffix":""},{"dropping-particle":"","family":"Kontopanteils","given":"Evangelos","non-dropping-particle":"","parse-names":false,"suffix":""},{"dropping-particle":"","family":"Iqbal","given":"Khalid","non-dropping-particle":"","parse-names":false,"suffix":""},{"dropping-particle":"","family":"Aleksandrova","given":"Krasimira","non-dropping-particle":"","parse-names":false,"suffix":""},{"dropping-particle":"","family":"Lorkowski","given":"Stefan","non-dropping-particle":"","parse-names":false,"suffix":""},{"dropping-particle":"","family":"Leitzmann","given":"Michael F","non-dropping-particle":"","parse-names":false,"suffix":""},{"dropping-particle":"","family":"Kroke","given":"Anja","non-dropping-particle":"","parse-names":false,"suffix":""},{"dropping-particle":"","family":"Boeing","given":"Heiner","non-dropping-particle":"","parse-names":false,"suffix":""}],"container-title":"Advances in Nutrition: An International Review Journal","id":"ITEM-1","issue":"6","issued":{"date-parts":[["2016","11"]]},"page":"994-1004","publisher":"Oxford University Press (OUP)","title":"Perspective: NutriGrade: A Scoring System to Assess and Judge the Meta-Evidence of Randomized Controlled Trials and Cohort Studies in Nutrition Research","type":"article-journal","volume":"7"}}],"schema":"https://github.com/citation-style-language/schema/raw/master/csl-citation.json"} </w:instrText>
      </w:r>
      <w:r w:rsidRPr="00BB231B">
        <w:rPr>
          <w:rFonts w:ascii="Arial" w:hAnsi="Arial" w:cs="Arial"/>
        </w:rPr>
        <w:fldChar w:fldCharType="separate"/>
      </w:r>
      <w:r w:rsidR="00935615" w:rsidRPr="00BB231B">
        <w:rPr>
          <w:rFonts w:ascii="Arial" w:hAnsi="Arial" w:cs="Arial"/>
          <w:vertAlign w:val="superscript"/>
        </w:rPr>
        <w:t>48</w:t>
      </w:r>
      <w:r w:rsidRPr="00BB231B">
        <w:rPr>
          <w:rFonts w:ascii="Arial" w:hAnsi="Arial" w:cs="Arial"/>
        </w:rPr>
        <w:fldChar w:fldCharType="end"/>
      </w:r>
      <w:r w:rsidRPr="00BB231B">
        <w:rPr>
          <w:rFonts w:ascii="Arial" w:hAnsi="Arial" w:cs="Arial"/>
        </w:rPr>
        <w:t xml:space="preserve"> </w:t>
      </w:r>
      <w:bookmarkStart w:id="4" w:name="_Hlk39674646"/>
      <w:r w:rsidRPr="00BB231B">
        <w:rPr>
          <w:rFonts w:ascii="Arial" w:hAnsi="Arial" w:cs="Arial"/>
        </w:rPr>
        <w:t>The certainty of evidence supporting the associations of dietary risks and disease outcomes as used here were graded as moderate or high with NutriGrade,</w:t>
      </w:r>
      <w:r w:rsidRPr="00BB231B">
        <w:rPr>
          <w:rFonts w:ascii="Arial" w:hAnsi="Arial" w:cs="Arial"/>
        </w:rPr>
        <w:fldChar w:fldCharType="begin" w:fldLock="1"/>
      </w:r>
      <w:r w:rsidR="00935615" w:rsidRPr="00BB231B">
        <w:rPr>
          <w:rFonts w:ascii="Arial" w:hAnsi="Arial" w:cs="Arial"/>
        </w:rPr>
        <w:instrText xml:space="preserve"> ADDIN ZOTERO_ITEM CSL_CITATION {"citationID":"Gfu3nGtH","properties":{"formattedCitation":"\\super 41\\uc0\\u8211{}43\\nosupersub{}","plainCitation":"41–43","noteIndex":0},"citationItems":[{"id":"XSX8F4tB/3PuLfWsb","uris":["http://www.mendeley.com/documents/?uuid=cb63f780-e59e-3150-938d-88988d23d5ea",["http://www.mendeley.com/documents/?uuid=cb63f780-e59e-3150-938d-88988d23d5ea"]],"itemData":{"DOI":"10.1080/10408398.2017.1392288","ISSN":"1040-8398","abstract":"ABSTRACTBackground: Despite growing evidence for food-based dietary patterns' potential to reduce cardiovascular disease risk, knowledge about the amounts of food associated with the greatest change in risk of specific cardiovascular outcomes and about the quality of meta-evidence is limited. Therefore, the aim of this meta-analysis was to synthesize the knowledge about the relation between intake of 12 major food groups (whole grains, refined grains, vegetables, fruits, nuts, legumes, eggs, dairy, fish, red meat, processed meat, and sugar-sweetened beverages [SSB]) and the risk of coronary heart disease (CHD), stroke and heart failure (HF).Methods: We conducted a systematic search in PubMed and Embase up to March 2017 for prospective studies. Summary risk ratios (RRs) and 95% confidence intervals (95% CI) were estimated using a random effects model for highest versus lowest intake categories, as well as for linear and non-linear relationships.Results: Overall, 123 reports were included in the meta-analys...","author":[{"dropping-particle":"","family":"Bechthold","given":"Angela","non-dropping-particle":"","parse-names":false,"suffix":""},{"dropping-particle":"","family":"Boeing","given":"Heiner","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Iqbal","given":"Khalid","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Schlesinger","given":"Sabrina","non-dropping-particle":"","parse-names":false,"suffix":""},{"dropping-particle":"","family":"Schwingshackl","given":"Lukas","non-dropping-particle":"","parse-names":false,"suffix":""}],"container-title":"Critical Reviews in Food Science and Nutrition","id":"ITEM-1","issue":"7","issued":{"date-parts":[["2019","10","17"]]},"page":"1071-1090","publisher":"Taylor &amp; Francis","title":"Food groups and risk of coronary heart disease, stroke and heart failure: A systematic review and dose-response meta-analysis of prospective studies","type":"article-journal","volume":"59"}},{"id":"XSX8F4tB/iSVmoVEm","uris":["http://www.mendeley.com/documents/?uuid=ba4fcacc-f1c5-3030-ade7-aa63e34b8ebb",["http://www.mendeley.com/documents/?uuid=ba4fcacc-f1c5-3030-ade7-aa63e34b8ebb"]],"itemData":{"DOI":"10.1007/s10654-017-0246-y","ISSN":"15737284","PMID":"28397016","abstract":"The aim of this systematic review and meta-analysis was to synthesize the knowledge about the relation between intake of 12 major food groups and risk of type 2 diabetes (T2D). We conducted a systematic search in PubMed, Embase, Medline (Ovid), Cochrane Central, and Google Scholar for prospective studies investigating the association between whole grains, refined grains, vegetables, fruits, nuts, legumes, eggs, dairy, fish, red meat, processed meat, and sugar-sweetened beverages (SSB) on risk of T2D. Summary relative risks were estimated using a random effects model by contrasting categories, and for linear and non-linear dose–response relationships. Six out of the 12 food-groups showed a significant relation with risk of T2D, three of them a decrease of risk with increasing consumption (whole grains, fruits, and dairy), and three an increase of risk with increasing consumption (red meat, processed meat, and SSB) in the linear dose–response meta-analysis. There was evidence of a non-linear relationship between fruits, vegetables, processed meat, whole grains, and SSB and T2D risk. Optimal consumption of risk-decreasing foods resulted in a 42% reduction, and consumption of risk-increasing foods was associated with a threefold T2D risk, compared to non-consumption. The meta-evidence was graded “low” for legumes and nuts; “moderate” for refined grains, vegetables, fruit, eggs, dairy, and fish; and “high” for processed meat, red meat, whole grains, and SSB. Among the investigated food groups, selecting specific optimal intakes can lead to a considerable change in risk of T2D.","author":[{"dropping-particle":"","family":"Schwingshackl","given":"Lukas","non-dropping-particle":"","parse-names":false,"suffix":""},{"dropping-particle":"","family":"Hoffmann","given":"Georg","non-dropping-particle":"","parse-names":false,"suffix":""},{"dropping-particle":"","family":"Lampousi","given":"Anna Maria","non-dropping-particle":"","parse-names":false,"suffix":""},{"dropping-particle":"","family":"Knüppel","given":"Sven","non-dropping-particle":"","parse-names":false,"suffix":""},{"dropping-particle":"","family":"Iqbal","given":"Khalid","non-dropping-particle":"","parse-names":false,"suffix":""},{"dropping-particle":"","family":"Schwedhelm","given":"Carolina","non-dropping-particle":"","parse-names":false,"suffix":""},{"dropping-particle":"","family":"Bechthold","given":"Angela","non-dropping-particle":"","parse-names":false,"suffix":""},{"dropping-particle":"","family":"Schlesinger","given":"Sabrina","non-dropping-particle":"","parse-names":false,"suffix":""},{"dropping-particle":"","family":"Boeing","given":"Heiner","non-dropping-particle":"","parse-names":false,"suffix":""}],"container-title":"European Journal of Epidemiology","id":"ITEM-2","issue":"5","issued":{"date-parts":[["2017","5","1"]]},"page":"363-375","publisher":"Springer Netherlands","title":"Food groups and risk of type 2 diabetes mellitus: a systematic review and meta-analysis of prospective studies","type":"article-journal","volume":"32"}},{"id":"XSX8F4tB/dhr8IGXe","uris":["http://www.mendeley.com/documents/?uuid=bdd9c8da-ff28-31d3-9ce7-abf0cba8378b",["http://www.mendeley.com/documents/?uuid=bdd9c8da-ff28-31d3-9ce7-abf0cba8378b"]],"itemData":{"DOI":"10.1002/ijc.31198","ISSN":"10970215","PMID":"29210053","abstract":"The aim of this systematic review and meta-analysis was to summarize the evidence on the relationship between intake of 12 major food groups, including whole grains, refined grains, vegetables, fruit, nuts, legumes, eggs, dairy, fish, red meat, processed meat and sugar-sweetened beverages with risk of colorectal cancer (CRC). We conducted a systematic search in PubMed and Embase for prospective studies investigating the association between these 12 food groups and risk of CRC until April 2017. Summary risk ratios (RRs) and 95% confidence intervals (95% CI) were estimated using a random effects model for high vs. low intake categories, as well as for linear and nonlinear relationships. An inverse association was observed for whole grains (RR30g/d: 0.95, 95% CI 0.93, 0.97; n = 9 studies), vegetables (RR100g/d: 0.97, 95% CI 0.96, 0.98; n = 15), fruit (RR100g/d: 0.97, 95% CI 0.95, 0.99; n = 16) and dairy (RR200g/d: 0.93, 95% CI 0.91, 0.94; n = 15), while a positive association for red meat (RR100g/d: 1.12, 95% CI 1.06, 1.19; n = 21) and processed meat (RR50g/d: 1.17, 95% CI 1.10, 1.23; n = 16), was seen in the linear dose-response meta-analysis. Some evidence for nonlinear relationships was observed between vegetables, fruit and dairy and risk of colorectal cancer. Findings of this meta-analysis showed that a diet characterized by high intake of whole grains, vegetables, fruit and dairy products and low amounts of red meat and processed meat was associated with lower risk of CRC.","author":[{"dropping-particle":"","family":"Schwingshackl","given":"Lukas","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Laure Preterre","given":"Anne","non-dropping-particle":"","parse-names":false,"suffix":""},{"dropping-particle":"","family":"Iqbal","given":"Khalid","non-dropping-particle":"","parse-names":false,"suffix":""},{"dropping-particle":"","family":"Bechthold","given":"Angela","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Boeing","given":"Heiner","non-dropping-particle":"","parse-names":false,"suffix":""},{"dropping-particle":"","family":"Schlesinger","given":"Sabrina","non-dropping-particle":"","parse-names":false,"suffix":""}],"container-title":"International Journal of Cancer","id":"ITEM-3","issue":"9","issued":{"date-parts":[["2018","5","1"]]},"page":"1748-1758","publisher":"Wiley-Liss Inc.","title":"Food groups and risk of colorectal cancer","type":"article-journal","volume":"142"}}],"schema":"https://github.com/citation-style-language/schema/raw/master/csl-citation.json"} </w:instrText>
      </w:r>
      <w:r w:rsidRPr="00BB231B">
        <w:rPr>
          <w:rFonts w:ascii="Arial" w:hAnsi="Arial" w:cs="Arial"/>
        </w:rPr>
        <w:fldChar w:fldCharType="separate"/>
      </w:r>
      <w:r w:rsidR="00935615" w:rsidRPr="00BB231B">
        <w:rPr>
          <w:rFonts w:ascii="Arial" w:hAnsi="Arial" w:cs="Arial"/>
          <w:vertAlign w:val="superscript"/>
        </w:rPr>
        <w:t>41–43</w:t>
      </w:r>
      <w:r w:rsidRPr="00BB231B">
        <w:rPr>
          <w:rFonts w:ascii="Arial" w:hAnsi="Arial" w:cs="Arial"/>
        </w:rPr>
        <w:fldChar w:fldCharType="end"/>
      </w:r>
      <w:r w:rsidRPr="00BB231B">
        <w:rPr>
          <w:rFonts w:ascii="Arial" w:hAnsi="Arial" w:cs="Arial"/>
        </w:rPr>
        <w:t xml:space="preserve"> and/or assessed as probable or convincing by the Nutrition and Chronic Diseases Expert Group,</w:t>
      </w:r>
      <w:r w:rsidRPr="00BB231B">
        <w:rPr>
          <w:rFonts w:ascii="Arial" w:hAnsi="Arial" w:cs="Arial"/>
        </w:rPr>
        <w:fldChar w:fldCharType="begin" w:fldLock="1"/>
      </w:r>
      <w:r w:rsidR="00935615" w:rsidRPr="00BB231B">
        <w:rPr>
          <w:rFonts w:ascii="Arial" w:hAnsi="Arial" w:cs="Arial"/>
        </w:rPr>
        <w:instrText xml:space="preserve"> ADDIN ZOTERO_ITEM CSL_CITATION {"citationID":"AES6i1YI","properties":{"formattedCitation":"\\super 46\\nosupersub{}","plainCitation":"46","noteIndex":0},"citationItems":[{"id":"XSX8F4tB/X6cQNIGw","uris":["http://www.mendeley.com/documents/?uuid=0f067f83-2d4b-47d5-a28e-4332e6c44add",["http://www.mendeley.com/documents/?uuid=0f067f83-2d4b-47d5-a28e-4332e6c44add"]],"itemData":{"DOI":"10.1371/journal.pone.0175149","ISSN":"1932-6203","author":[{"dropping-particle":"","family":"Micha","given":"Renata","non-dropping-particle":"","parse-names":false,"suffix":""},{"dropping-particle":"","family":"Shulkin","given":"Masha L","non-dropping-particle":"","parse-names":false,"suffix":""},{"dropping-particle":"","family":"Peñalvo","given":"Jose L","non-dropping-particle":"","parse-names":false,"suffix":""},{"dropping-particle":"","family":"Khatibzadeh","given":"Shahab","non-dropping-particle":"","parse-names":false,"suffix":""},{"dropping-particle":"","family":"Singh","given":"Gitanjali M","non-dropping-particle":"","parse-names":false,"suffix":""},{"dropping-particle":"","family":"Rao","given":"Mayuree","non-dropping-particle":"","parse-names":false,"suffix":""},{"dropping-particle":"","family":"Fahimi","given":"Saman","non-dropping-particle":"","parse-names":false,"suffix":""},{"dropping-particle":"","family":"Powles","given":"John","non-dropping-particle":"","parse-names":false,"suffix":""},{"dropping-particle":"","family":"Mozaffarian","given":"Dariush","non-dropping-particle":"","parse-names":false,"suffix":""}],"container-title":"PLOS ONE","editor":[{"dropping-particle":"","family":"Kiechl","given":"Stefan","non-dropping-particle":"","parse-names":false,"suffix":""}],"id":"ITEM-1","issue":"4","issued":{"date-parts":[["2017","10","3"]]},"language":"en","page":"e0175149","title":"Etiologic effects and optimal intakes of foods and nutrients for risk of cardiovascular diseases and diabetes: Systematic reviews and meta-analyses from the Nutrition and Chronic Diseases Expert Group (NutriCoDE)","type":"article-journal","volume":"12"}}],"schema":"https://github.com/citation-style-language/schema/raw/master/csl-citation.json"} </w:instrText>
      </w:r>
      <w:r w:rsidRPr="00BB231B">
        <w:rPr>
          <w:rFonts w:ascii="Arial" w:hAnsi="Arial" w:cs="Arial"/>
        </w:rPr>
        <w:fldChar w:fldCharType="separate"/>
      </w:r>
      <w:r w:rsidR="00935615" w:rsidRPr="00BB231B">
        <w:rPr>
          <w:rFonts w:ascii="Arial" w:hAnsi="Arial" w:cs="Arial"/>
          <w:vertAlign w:val="superscript"/>
        </w:rPr>
        <w:t>46</w:t>
      </w:r>
      <w:r w:rsidRPr="00BB231B">
        <w:rPr>
          <w:rFonts w:ascii="Arial" w:hAnsi="Arial" w:cs="Arial"/>
        </w:rPr>
        <w:fldChar w:fldCharType="end"/>
      </w:r>
      <w:r w:rsidRPr="00BB231B">
        <w:rPr>
          <w:rFonts w:ascii="Arial" w:hAnsi="Arial" w:cs="Arial"/>
        </w:rPr>
        <w:t xml:space="preserve"> and by the World Cancer Research.</w:t>
      </w:r>
      <w:r w:rsidRPr="00BB231B">
        <w:rPr>
          <w:rFonts w:ascii="Arial" w:hAnsi="Arial" w:cs="Arial"/>
        </w:rPr>
        <w:fldChar w:fldCharType="begin" w:fldLock="1"/>
      </w:r>
      <w:r w:rsidR="00935615" w:rsidRPr="00BB231B">
        <w:rPr>
          <w:rFonts w:ascii="Arial" w:hAnsi="Arial" w:cs="Arial"/>
        </w:rPr>
        <w:instrText xml:space="preserve"> ADDIN ZOTERO_ITEM CSL_CITATION {"citationID":"CNRPqVVp","properties":{"formattedCitation":"\\super 49\\nosupersub{}","plainCitation":"49","noteIndex":0},"citationItems":[{"id":"XSX8F4tB/L5QqIn2O","uris":["http://www.mendeley.com/documents/?uuid=f3f01bfb-0d50-32f1-a09f-ceec3af2993b",["http://www.mendeley.com/documents/?uuid=f3f01bfb-0d50-32f1-a09f-ceec3af2993b"]],"itemData":{"author":[{"dropping-particle":"","family":"World Cancer Research Fund/American Institute for Cancer Research","given":"","non-dropping-particle":"","parse-names":false,"suffix":""}],"id":"ITEM-1","issued":{"date-parts":[["2018"]]},"title":"Diet, Nutrition, Physical Activity and Cancer: A Global Perspective. Continuous Update Project Expert Report","type":"article-journal"}}],"schema":"https://github.com/citation-style-language/schema/raw/master/csl-citation.json"} </w:instrText>
      </w:r>
      <w:r w:rsidRPr="00BB231B">
        <w:rPr>
          <w:rFonts w:ascii="Arial" w:hAnsi="Arial" w:cs="Arial"/>
        </w:rPr>
        <w:fldChar w:fldCharType="separate"/>
      </w:r>
      <w:r w:rsidR="00935615" w:rsidRPr="00BB231B">
        <w:rPr>
          <w:rFonts w:ascii="Arial" w:hAnsi="Arial" w:cs="Arial"/>
          <w:vertAlign w:val="superscript"/>
        </w:rPr>
        <w:t>49</w:t>
      </w:r>
      <w:r w:rsidRPr="00BB231B">
        <w:rPr>
          <w:rFonts w:ascii="Arial" w:hAnsi="Arial" w:cs="Arial"/>
        </w:rPr>
        <w:fldChar w:fldCharType="end"/>
      </w:r>
      <w:bookmarkEnd w:id="4"/>
      <w:r w:rsidRPr="00BB231B">
        <w:rPr>
          <w:rFonts w:ascii="Arial" w:hAnsi="Arial" w:cs="Arial"/>
        </w:rPr>
        <w:t xml:space="preserve"> The certainty of evidence grading in each case relates to the general relationship between a risk factor and a health outcome, and not to a specific relative-risk value. </w:t>
      </w:r>
    </w:p>
    <w:p w14:paraId="6AAD681C" w14:textId="77777777" w:rsidR="00292287" w:rsidRPr="00BB231B" w:rsidRDefault="00292287" w:rsidP="00FC0B1B">
      <w:pPr>
        <w:pStyle w:val="NoSpacing"/>
        <w:spacing w:line="360" w:lineRule="auto"/>
        <w:rPr>
          <w:rFonts w:ascii="Arial" w:hAnsi="Arial" w:cs="Arial"/>
        </w:rPr>
      </w:pPr>
    </w:p>
    <w:p w14:paraId="0D128673" w14:textId="4660B1AA" w:rsidR="003653BF" w:rsidRPr="009664B1" w:rsidRDefault="003653BF" w:rsidP="00FC0B1B">
      <w:pPr>
        <w:pStyle w:val="NoSpacing"/>
        <w:spacing w:line="360" w:lineRule="auto"/>
        <w:rPr>
          <w:rFonts w:ascii="Arial" w:hAnsi="Arial" w:cs="Arial"/>
        </w:rPr>
      </w:pPr>
      <w:r w:rsidRPr="00BB231B">
        <w:rPr>
          <w:rFonts w:ascii="Arial" w:hAnsi="Arial" w:cs="Arial"/>
          <w:b/>
          <w:bCs/>
        </w:rPr>
        <w:t xml:space="preserve">Table </w:t>
      </w:r>
      <w:r w:rsidR="001371FA" w:rsidRPr="00BB231B">
        <w:rPr>
          <w:rFonts w:ascii="Arial" w:hAnsi="Arial" w:cs="Arial"/>
          <w:b/>
          <w:bCs/>
        </w:rPr>
        <w:t>S4</w:t>
      </w:r>
      <w:r w:rsidRPr="00BB231B">
        <w:rPr>
          <w:rFonts w:ascii="Arial" w:hAnsi="Arial" w:cs="Arial"/>
          <w:b/>
          <w:bCs/>
        </w:rPr>
        <w:t>.</w:t>
      </w:r>
      <w:r w:rsidRPr="00BB231B">
        <w:rPr>
          <w:rFonts w:ascii="Arial" w:hAnsi="Arial" w:cs="Arial"/>
        </w:rPr>
        <w:t xml:space="preserve"> Overview of</w:t>
      </w:r>
      <w:r w:rsidRPr="009664B1">
        <w:rPr>
          <w:rFonts w:ascii="Arial" w:hAnsi="Arial" w:cs="Arial"/>
        </w:rPr>
        <w:t xml:space="preserve"> existing ratings on the certainty of evidence for a statistically significant association between a risk factor and a disease endpoint. The ratings include those of the Nutrition and Chronic Diseases Expert Group (</w:t>
      </w:r>
      <w:proofErr w:type="spellStart"/>
      <w:r w:rsidRPr="009664B1">
        <w:rPr>
          <w:rFonts w:ascii="Arial" w:hAnsi="Arial" w:cs="Arial"/>
        </w:rPr>
        <w:t>NutriCoDE</w:t>
      </w:r>
      <w:proofErr w:type="spellEnd"/>
      <w:r w:rsidRPr="009664B1">
        <w:rPr>
          <w:rFonts w:ascii="Arial" w:hAnsi="Arial" w:cs="Arial"/>
        </w:rPr>
        <w:t>),</w:t>
      </w:r>
      <w:r w:rsidRPr="009664B1">
        <w:rPr>
          <w:rFonts w:ascii="Arial" w:hAnsi="Arial" w:cs="Arial"/>
        </w:rPr>
        <w:fldChar w:fldCharType="begin" w:fldLock="1"/>
      </w:r>
      <w:r w:rsidR="00935615">
        <w:rPr>
          <w:rFonts w:ascii="Arial" w:hAnsi="Arial" w:cs="Arial"/>
        </w:rPr>
        <w:instrText xml:space="preserve"> ADDIN ZOTERO_ITEM CSL_CITATION {"citationID":"0RspTSjg","properties":{"formattedCitation":"\\super 46\\nosupersub{}","plainCitation":"46","noteIndex":0},"citationItems":[{"id":"XSX8F4tB/X6cQNIGw","uris":["http://www.mendeley.com/documents/?uuid=0f067f83-2d4b-47d5-a28e-4332e6c44add",["http://www.mendeley.com/documents/?uuid=0f067f83-2d4b-47d5-a28e-4332e6c44add"]],"itemData":{"DOI":"10.1371/journal.pone.0175149","ISSN":"1932-6203","author":[{"dropping-particle":"","family":"Micha","given":"Renata","non-dropping-particle":"","parse-names":false,"suffix":""},{"dropping-particle":"","family":"Shulkin","given":"Masha L","non-dropping-particle":"","parse-names":false,"suffix":""},{"dropping-particle":"","family":"Peñalvo","given":"Jose L","non-dropping-particle":"","parse-names":false,"suffix":""},{"dropping-particle":"","family":"Khatibzadeh","given":"Shahab","non-dropping-particle":"","parse-names":false,"suffix":""},{"dropping-particle":"","family":"Singh","given":"Gitanjali M","non-dropping-particle":"","parse-names":false,"suffix":""},{"dropping-particle":"","family":"Rao","given":"Mayuree","non-dropping-particle":"","parse-names":false,"suffix":""},{"dropping-particle":"","family":"Fahimi","given":"Saman","non-dropping-particle":"","parse-names":false,"suffix":""},{"dropping-particle":"","family":"Powles","given":"John","non-dropping-particle":"","parse-names":false,"suffix":""},{"dropping-particle":"","family":"Mozaffarian","given":"Dariush","non-dropping-particle":"","parse-names":false,"suffix":""}],"container-title":"PLOS ONE","editor":[{"dropping-particle":"","family":"Kiechl","given":"Stefan","non-dropping-particle":"","parse-names":false,"suffix":""}],"id":"ITEM-1","issue":"4","issued":{"date-parts":[["2017","10","3"]]},"language":"en","page":"e0175149","title":"Etiologic effects and optimal intakes of foods and nutrients for risk of cardiovascular diseases and diabetes: Systematic reviews and meta-analyses from the Nutrition and Chronic Diseases Expert Group (NutriCoDE)","type":"article-journal","volume":"12"}}],"schema":"https://github.com/citation-style-language/schema/raw/master/csl-citation.json"}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46</w:t>
      </w:r>
      <w:r w:rsidRPr="009664B1">
        <w:rPr>
          <w:rFonts w:ascii="Arial" w:hAnsi="Arial" w:cs="Arial"/>
        </w:rPr>
        <w:fldChar w:fldCharType="end"/>
      </w:r>
      <w:r w:rsidRPr="009664B1">
        <w:rPr>
          <w:rFonts w:ascii="Arial" w:hAnsi="Arial" w:cs="Arial"/>
        </w:rPr>
        <w:t xml:space="preserve"> the World Cancer Research Fund,</w:t>
      </w:r>
      <w:r w:rsidRPr="009664B1">
        <w:rPr>
          <w:rFonts w:ascii="Arial" w:hAnsi="Arial" w:cs="Arial"/>
        </w:rPr>
        <w:fldChar w:fldCharType="begin" w:fldLock="1"/>
      </w:r>
      <w:r w:rsidR="00935615">
        <w:rPr>
          <w:rFonts w:ascii="Arial" w:hAnsi="Arial" w:cs="Arial"/>
        </w:rPr>
        <w:instrText xml:space="preserve"> ADDIN ZOTERO_ITEM CSL_CITATION {"citationID":"PKcFT1uM","properties":{"formattedCitation":"\\super 49\\nosupersub{}","plainCitation":"49","noteIndex":0},"citationItems":[{"id":"XSX8F4tB/L5QqIn2O","uris":["http://www.mendeley.com/documents/?uuid=f3f01bfb-0d50-32f1-a09f-ceec3af2993b",["http://www.mendeley.com/documents/?uuid=f3f01bfb-0d50-32f1-a09f-ceec3af2993b"]],"itemData":{"author":[{"dropping-particle":"","family":"World Cancer Research Fund/American Institute for Cancer Research","given":"","non-dropping-particle":"","parse-names":false,"suffix":""}],"id":"ITEM-1","issued":{"date-parts":[["2018"]]},"title":"Diet, Nutrition, Physical Activity and Cancer: A Global Perspective. Continuous Update Project Expert Report","type":"article-journal"}}],"schema":"https://github.com/citation-style-language/schema/raw/master/csl-citation.json"}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49</w:t>
      </w:r>
      <w:r w:rsidRPr="009664B1">
        <w:rPr>
          <w:rFonts w:ascii="Arial" w:hAnsi="Arial" w:cs="Arial"/>
        </w:rPr>
        <w:fldChar w:fldCharType="end"/>
      </w:r>
      <w:r w:rsidRPr="009664B1">
        <w:rPr>
          <w:rFonts w:ascii="Arial" w:hAnsi="Arial" w:cs="Arial"/>
        </w:rPr>
        <w:t xml:space="preserve"> and NutriGrade.</w:t>
      </w:r>
      <w:r w:rsidRPr="009664B1">
        <w:rPr>
          <w:rFonts w:ascii="Arial" w:hAnsi="Arial" w:cs="Arial"/>
        </w:rPr>
        <w:fldChar w:fldCharType="begin" w:fldLock="1"/>
      </w:r>
      <w:r w:rsidR="00935615">
        <w:rPr>
          <w:rFonts w:ascii="Arial" w:hAnsi="Arial" w:cs="Arial"/>
        </w:rPr>
        <w:instrText xml:space="preserve"> ADDIN ZOTERO_ITEM CSL_CITATION {"citationID":"blf6SG9J","properties":{"formattedCitation":"\\super 41\\uc0\\u8211{}43\\nosupersub{}","plainCitation":"41–43","noteIndex":0},"citationItems":[{"id":"XSX8F4tB/3PuLfWsb","uris":["http://www.mendeley.com/documents/?uuid=cb63f780-e59e-3150-938d-88988d23d5ea",["http://www.mendeley.com/documents/?uuid=cb63f780-e59e-3150-938d-88988d23d5ea"]],"itemData":{"DOI":"10.1080/10408398.2017.1392288","ISSN":"1040-8398","abstract":"ABSTRACTBackground: Despite growing evidence for food-based dietary patterns' potential to reduce cardiovascular disease risk, knowledge about the amounts of food associated with the greatest change in risk of specific cardiovascular outcomes and about the quality of meta-evidence is limited. Therefore, the aim of this meta-analysis was to synthesize the knowledge about the relation between intake of 12 major food groups (whole grains, refined grains, vegetables, fruits, nuts, legumes, eggs, dairy, fish, red meat, processed meat, and sugar-sweetened beverages [SSB]) and the risk of coronary heart disease (CHD), stroke and heart failure (HF).Methods: We conducted a systematic search in PubMed and Embase up to March 2017 for prospective studies. Summary risk ratios (RRs) and 95% confidence intervals (95% CI) were estimated using a random effects model for highest versus lowest intake categories, as well as for linear and non-linear relationships.Results: Overall, 123 reports were included in the meta-analys...","author":[{"dropping-particle":"","family":"Bechthold","given":"Angela","non-dropping-particle":"","parse-names":false,"suffix":""},{"dropping-particle":"","family":"Boeing","given":"Heiner","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Iqbal","given":"Khalid","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Schlesinger","given":"Sabrina","non-dropping-particle":"","parse-names":false,"suffix":""},{"dropping-particle":"","family":"Schwingshackl","given":"Lukas","non-dropping-particle":"","parse-names":false,"suffix":""}],"container-title":"Critical Reviews in Food Science and Nutrition","id":"ITEM-1","issue":"7","issued":{"date-parts":[["2019","10","17"]]},"page":"1071-1090","publisher":"Taylor &amp; Francis","title":"Food groups and risk of coronary heart disease, stroke and heart failure: A systematic review and dose-response meta-analysis of prospective studies","type":"article-journal","volume":"59"}},{"id":"XSX8F4tB/iSVmoVEm","uris":["http://www.mendeley.com/documents/?uuid=ba4fcacc-f1c5-3030-ade7-aa63e34b8ebb",["http://www.mendeley.com/documents/?uuid=ba4fcacc-f1c5-3030-ade7-aa63e34b8ebb"]],"itemData":{"DOI":"10.1007/s10654-017-0246-y","ISSN":"15737284","PMID":"28397016","abstract":"The aim of this systematic review and meta-analysis was to synthesize the knowledge about the relation between intake of 12 major food groups and risk of type 2 diabetes (T2D). We conducted a systematic search in PubMed, Embase, Medline (Ovid), Cochrane Central, and Google Scholar for prospective studies investigating the association between whole grains, refined grains, vegetables, fruits, nuts, legumes, eggs, dairy, fish, red meat, processed meat, and sugar-sweetened beverages (SSB) on risk of T2D. Summary relative risks were estimated using a random effects model by contrasting categories, and for linear and non-linear dose–response relationships. Six out of the 12 food-groups showed a significant relation with risk of T2D, three of them a decrease of risk with increasing consumption (whole grains, fruits, and dairy), and three an increase of risk with increasing consumption (red meat, processed meat, and SSB) in the linear dose–response meta-analysis. There was evidence of a non-linear relationship between fruits, vegetables, processed meat, whole grains, and SSB and T2D risk. Optimal consumption of risk-decreasing foods resulted in a 42% reduction, and consumption of risk-increasing foods was associated with a threefold T2D risk, compared to non-consumption. The meta-evidence was graded “low” for legumes and nuts; “moderate” for refined grains, vegetables, fruit, eggs, dairy, and fish; and “high” for processed meat, red meat, whole grains, and SSB. Among the investigated food groups, selecting specific optimal intakes can lead to a considerable change in risk of T2D.","author":[{"dropping-particle":"","family":"Schwingshackl","given":"Lukas","non-dropping-particle":"","parse-names":false,"suffix":""},{"dropping-particle":"","family":"Hoffmann","given":"Georg","non-dropping-particle":"","parse-names":false,"suffix":""},{"dropping-particle":"","family":"Lampousi","given":"Anna Maria","non-dropping-particle":"","parse-names":false,"suffix":""},{"dropping-particle":"","family":"Knüppel","given":"Sven","non-dropping-particle":"","parse-names":false,"suffix":""},{"dropping-particle":"","family":"Iqbal","given":"Khalid","non-dropping-particle":"","parse-names":false,"suffix":""},{"dropping-particle":"","family":"Schwedhelm","given":"Carolina","non-dropping-particle":"","parse-names":false,"suffix":""},{"dropping-particle":"","family":"Bechthold","given":"Angela","non-dropping-particle":"","parse-names":false,"suffix":""},{"dropping-particle":"","family":"Schlesinger","given":"Sabrina","non-dropping-particle":"","parse-names":false,"suffix":""},{"dropping-particle":"","family":"Boeing","given":"Heiner","non-dropping-particle":"","parse-names":false,"suffix":""}],"container-title":"European Journal of Epidemiology","id":"ITEM-2","issue":"5","issued":{"date-parts":[["2017","5","1"]]},"page":"363-375","publisher":"Springer Netherlands","title":"Food groups and risk of type 2 diabetes mellitus: a systematic review and meta-analysis of prospective studies","type":"article-journal","volume":"32"}},{"id":"XSX8F4tB/dhr8IGXe","uris":["http://www.mendeley.com/documents/?uuid=bdd9c8da-ff28-31d3-9ce7-abf0cba8378b",["http://www.mendeley.com/documents/?uuid=bdd9c8da-ff28-31d3-9ce7-abf0cba8378b"]],"itemData":{"DOI":"10.1002/ijc.31198","ISSN":"10970215","PMID":"29210053","abstract":"The aim of this systematic review and meta-analysis was to summarize the evidence on the relationship between intake of 12 major food groups, including whole grains, refined grains, vegetables, fruit, nuts, legumes, eggs, dairy, fish, red meat, processed meat and sugar-sweetened beverages with risk of colorectal cancer (CRC). We conducted a systematic search in PubMed and Embase for prospective studies investigating the association between these 12 food groups and risk of CRC until April 2017. Summary risk ratios (RRs) and 95% confidence intervals (95% CI) were estimated using a random effects model for high vs. low intake categories, as well as for linear and nonlinear relationships. An inverse association was observed for whole grains (RR30g/d: 0.95, 95% CI 0.93, 0.97; n = 9 studies), vegetables (RR100g/d: 0.97, 95% CI 0.96, 0.98; n = 15), fruit (RR100g/d: 0.97, 95% CI 0.95, 0.99; n = 16) and dairy (RR200g/d: 0.93, 95% CI 0.91, 0.94; n = 15), while a positive association for red meat (RR100g/d: 1.12, 95% CI 1.06, 1.19; n = 21) and processed meat (RR50g/d: 1.17, 95% CI 1.10, 1.23; n = 16), was seen in the linear dose-response meta-analysis. Some evidence for nonlinear relationships was observed between vegetables, fruit and dairy and risk of colorectal cancer. Findings of this meta-analysis showed that a diet characterized by high intake of whole grains, vegetables, fruit and dairy products and low amounts of red meat and processed meat was associated with lower risk of CRC.","author":[{"dropping-particle":"","family":"Schwingshackl","given":"Lukas","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Laure Preterre","given":"Anne","non-dropping-particle":"","parse-names":false,"suffix":""},{"dropping-particle":"","family":"Iqbal","given":"Khalid","non-dropping-particle":"","parse-names":false,"suffix":""},{"dropping-particle":"","family":"Bechthold","given":"Angela","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Boeing","given":"Heiner","non-dropping-particle":"","parse-names":false,"suffix":""},{"dropping-particle":"","family":"Schlesinger","given":"Sabrina","non-dropping-particle":"","parse-names":false,"suffix":""}],"container-title":"International Journal of Cancer","id":"ITEM-3","issue":"9","issued":{"date-parts":[["2018","5","1"]]},"page":"1748-1758","publisher":"Wiley-Liss Inc.","title":"Food groups and risk of colorectal cancer","type":"article-journal","volume":"142"}}],"schema":"https://github.com/citation-style-language/schema/raw/master/csl-citation.json"}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41–43</w:t>
      </w:r>
      <w:r w:rsidRPr="009664B1">
        <w:rPr>
          <w:rFonts w:ascii="Arial" w:hAnsi="Arial" w:cs="Arial"/>
        </w:rPr>
        <w:fldChar w:fldCharType="end"/>
      </w:r>
      <w:r w:rsidRPr="009664B1">
        <w:rPr>
          <w:rFonts w:ascii="Arial" w:hAnsi="Arial" w:cs="Arial"/>
        </w:rPr>
        <w:t xml:space="preserve"> The ratings relate to the risk-disease associations in general, and not to the specific relative-risk factor used for those associations in this analysis.  </w:t>
      </w:r>
      <w:r w:rsidRPr="009664B1" w:rsidDel="00FA4202">
        <w:rPr>
          <w:rFonts w:ascii="Arial" w:hAnsi="Arial" w:cs="Arial"/>
        </w:rPr>
        <w:t xml:space="preserve"> </w:t>
      </w:r>
    </w:p>
    <w:p w14:paraId="1ABC9BFB" w14:textId="77777777" w:rsidR="003653BF" w:rsidRPr="009664B1" w:rsidRDefault="003653BF" w:rsidP="00FC0B1B">
      <w:pPr>
        <w:pStyle w:val="NoSpacing"/>
        <w:spacing w:line="360" w:lineRule="auto"/>
        <w:rPr>
          <w:rFonts w:ascii="Arial" w:hAnsi="Arial" w:cs="Arial"/>
        </w:rPr>
      </w:pPr>
      <w:r w:rsidRPr="009664B1">
        <w:rPr>
          <w:rFonts w:ascii="Arial" w:hAnsi="Arial" w:cs="Arial"/>
          <w:noProof/>
        </w:rPr>
        <w:drawing>
          <wp:inline distT="0" distB="0" distL="0" distR="0" wp14:anchorId="7E29A45A" wp14:editId="1E93147F">
            <wp:extent cx="4977127" cy="4751043"/>
            <wp:effectExtent l="0" t="0" r="1905" b="0"/>
            <wp:docPr id="1259906745" name="Picture 125990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3497" cy="4757124"/>
                    </a:xfrm>
                    <a:prstGeom prst="rect">
                      <a:avLst/>
                    </a:prstGeom>
                  </pic:spPr>
                </pic:pic>
              </a:graphicData>
            </a:graphic>
          </wp:inline>
        </w:drawing>
      </w:r>
    </w:p>
    <w:p w14:paraId="02D64B76" w14:textId="686E2549" w:rsidR="001371FA" w:rsidRPr="009664B1" w:rsidRDefault="001371FA" w:rsidP="00FC0B1B">
      <w:pPr>
        <w:pStyle w:val="NoSpacing"/>
        <w:spacing w:line="360" w:lineRule="auto"/>
        <w:rPr>
          <w:rFonts w:ascii="Arial" w:hAnsi="Arial" w:cs="Arial"/>
        </w:rPr>
      </w:pPr>
      <w:r w:rsidRPr="002B6A64">
        <w:rPr>
          <w:rFonts w:ascii="Arial" w:hAnsi="Arial" w:cs="Arial"/>
        </w:rPr>
        <w:lastRenderedPageBreak/>
        <w:t>We did not include all available risk-disease associations that were graded as having a</w:t>
      </w:r>
      <w:r w:rsidRPr="009664B1">
        <w:rPr>
          <w:rFonts w:ascii="Arial" w:hAnsi="Arial" w:cs="Arial"/>
        </w:rPr>
        <w:t xml:space="preserve"> moderate certainty of evidence and showed statistically significant results in the meta-analyses that included </w:t>
      </w:r>
      <w:proofErr w:type="spellStart"/>
      <w:r w:rsidRPr="009664B1">
        <w:rPr>
          <w:rFonts w:ascii="Arial" w:hAnsi="Arial" w:cs="Arial"/>
        </w:rPr>
        <w:t>NutriGrade</w:t>
      </w:r>
      <w:proofErr w:type="spellEnd"/>
      <w:r w:rsidRPr="009664B1">
        <w:rPr>
          <w:rFonts w:ascii="Arial" w:hAnsi="Arial" w:cs="Arial"/>
        </w:rPr>
        <w:t xml:space="preserve"> assessments.</w:t>
      </w:r>
      <w:r w:rsidRPr="009664B1">
        <w:rPr>
          <w:rFonts w:ascii="Arial" w:hAnsi="Arial" w:cs="Arial"/>
        </w:rPr>
        <w:fldChar w:fldCharType="begin" w:fldLock="1"/>
      </w:r>
      <w:r w:rsidR="00935615">
        <w:rPr>
          <w:rFonts w:ascii="Arial" w:hAnsi="Arial" w:cs="Arial"/>
        </w:rPr>
        <w:instrText xml:space="preserve"> ADDIN ZOTERO_ITEM CSL_CITATION {"citationID":"DQwJ4vko","properties":{"formattedCitation":"\\super 41\\uc0\\u8211{}43\\nosupersub{}","plainCitation":"41–43","noteIndex":0},"citationItems":[{"id":"XSX8F4tB/3PuLfWsb","uris":["http://www.mendeley.com/documents/?uuid=cb63f780-e59e-3150-938d-88988d23d5ea",["http://www.mendeley.com/documents/?uuid=cb63f780-e59e-3150-938d-88988d23d5ea"]],"itemData":{"DOI":"10.1080/10408398.2017.1392288","ISSN":"1040-8398","abstract":"ABSTRACTBackground: Despite growing evidence for food-based dietary patterns' potential to reduce cardiovascular disease risk, knowledge about the amounts of food associated with the greatest change in risk of specific cardiovascular outcomes and about the quality of meta-evidence is limited. Therefore, the aim of this meta-analysis was to synthesize the knowledge about the relation between intake of 12 major food groups (whole grains, refined grains, vegetables, fruits, nuts, legumes, eggs, dairy, fish, red meat, processed meat, and sugar-sweetened beverages [SSB]) and the risk of coronary heart disease (CHD), stroke and heart failure (HF).Methods: We conducted a systematic search in PubMed and Embase up to March 2017 for prospective studies. Summary risk ratios (RRs) and 95% confidence intervals (95% CI) were estimated using a random effects model for highest versus lowest intake categories, as well as for linear and non-linear relationships.Results: Overall, 123 reports were included in the meta-analys...","author":[{"dropping-particle":"","family":"Bechthold","given":"Angela","non-dropping-particle":"","parse-names":false,"suffix":""},{"dropping-particle":"","family":"Boeing","given":"Heiner","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Iqbal","given":"Khalid","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Schlesinger","given":"Sabrina","non-dropping-particle":"","parse-names":false,"suffix":""},{"dropping-particle":"","family":"Schwingshackl","given":"Lukas","non-dropping-particle":"","parse-names":false,"suffix":""}],"container-title":"Critical Reviews in Food Science and Nutrition","id":"ITEM-1","issue":"7","issued":{"date-parts":[["2019","10","17"]]},"page":"1071-1090","publisher":"Taylor &amp; Francis","title":"Food groups and risk of coronary heart disease, stroke and heart failure: A systematic review and dose-response meta-analysis of prospective studies","type":"article-journal","volume":"59"}},{"id":"XSX8F4tB/iSVmoVEm","uris":["http://www.mendeley.com/documents/?uuid=ba4fcacc-f1c5-3030-ade7-aa63e34b8ebb",["http://www.mendeley.com/documents/?uuid=ba4fcacc-f1c5-3030-ade7-aa63e34b8ebb"]],"itemData":{"DOI":"10.1007/s10654-017-0246-y","ISSN":"15737284","PMID":"28397016","abstract":"The aim of this systematic review and meta-analysis was to synthesize the knowledge about the relation between intake of 12 major food groups and risk of type 2 diabetes (T2D). We conducted a systematic search in PubMed, Embase, Medline (Ovid), Cochrane Central, and Google Scholar for prospective studies investigating the association between whole grains, refined grains, vegetables, fruits, nuts, legumes, eggs, dairy, fish, red meat, processed meat, and sugar-sweetened beverages (SSB) on risk of T2D. Summary relative risks were estimated using a random effects model by contrasting categories, and for linear and non-linear dose–response relationships. Six out of the 12 food-groups showed a significant relation with risk of T2D, three of them a decrease of risk with increasing consumption (whole grains, fruits, and dairy), and three an increase of risk with increasing consumption (red meat, processed meat, and SSB) in the linear dose–response meta-analysis. There was evidence of a non-linear relationship between fruits, vegetables, processed meat, whole grains, and SSB and T2D risk. Optimal consumption of risk-decreasing foods resulted in a 42% reduction, and consumption of risk-increasing foods was associated with a threefold T2D risk, compared to non-consumption. The meta-evidence was graded “low” for legumes and nuts; “moderate” for refined grains, vegetables, fruit, eggs, dairy, and fish; and “high” for processed meat, red meat, whole grains, and SSB. Among the investigated food groups, selecting specific optimal intakes can lead to a considerable change in risk of T2D.","author":[{"dropping-particle":"","family":"Schwingshackl","given":"Lukas","non-dropping-particle":"","parse-names":false,"suffix":""},{"dropping-particle":"","family":"Hoffmann","given":"Georg","non-dropping-particle":"","parse-names":false,"suffix":""},{"dropping-particle":"","family":"Lampousi","given":"Anna Maria","non-dropping-particle":"","parse-names":false,"suffix":""},{"dropping-particle":"","family":"Knüppel","given":"Sven","non-dropping-particle":"","parse-names":false,"suffix":""},{"dropping-particle":"","family":"Iqbal","given":"Khalid","non-dropping-particle":"","parse-names":false,"suffix":""},{"dropping-particle":"","family":"Schwedhelm","given":"Carolina","non-dropping-particle":"","parse-names":false,"suffix":""},{"dropping-particle":"","family":"Bechthold","given":"Angela","non-dropping-particle":"","parse-names":false,"suffix":""},{"dropping-particle":"","family":"Schlesinger","given":"Sabrina","non-dropping-particle":"","parse-names":false,"suffix":""},{"dropping-particle":"","family":"Boeing","given":"Heiner","non-dropping-particle":"","parse-names":false,"suffix":""}],"container-title":"European Journal of Epidemiology","id":"ITEM-2","issue":"5","issued":{"date-parts":[["2017","5","1"]]},"page":"363-375","publisher":"Springer Netherlands","title":"Food groups and risk of type 2 diabetes mellitus: a systematic review and meta-analysis of prospective studies","type":"article-journal","volume":"32"}},{"id":"XSX8F4tB/dhr8IGXe","uris":["http://www.mendeley.com/documents/?uuid=bdd9c8da-ff28-31d3-9ce7-abf0cba8378b",["http://www.mendeley.com/documents/?uuid=bdd9c8da-ff28-31d3-9ce7-abf0cba8378b"]],"itemData":{"DOI":"10.1002/ijc.31198","ISSN":"10970215","PMID":"29210053","abstract":"The aim of this systematic review and meta-analysis was to summarize the evidence on the relationship between intake of 12 major food groups, including whole grains, refined grains, vegetables, fruit, nuts, legumes, eggs, dairy, fish, red meat, processed meat and sugar-sweetened beverages with risk of colorectal cancer (CRC). We conducted a systematic search in PubMed and Embase for prospective studies investigating the association between these 12 food groups and risk of CRC until April 2017. Summary risk ratios (RRs) and 95% confidence intervals (95% CI) were estimated using a random effects model for high vs. low intake categories, as well as for linear and nonlinear relationships. An inverse association was observed for whole grains (RR30g/d: 0.95, 95% CI 0.93, 0.97; n = 9 studies), vegetables (RR100g/d: 0.97, 95% CI 0.96, 0.98; n = 15), fruit (RR100g/d: 0.97, 95% CI 0.95, 0.99; n = 16) and dairy (RR200g/d: 0.93, 95% CI 0.91, 0.94; n = 15), while a positive association for red meat (RR100g/d: 1.12, 95% CI 1.06, 1.19; n = 21) and processed meat (RR50g/d: 1.17, 95% CI 1.10, 1.23; n = 16), was seen in the linear dose-response meta-analysis. Some evidence for nonlinear relationships was observed between vegetables, fruit and dairy and risk of colorectal cancer. Findings of this meta-analysis showed that a diet characterized by high intake of whole grains, vegetables, fruit and dairy products and low amounts of red meat and processed meat was associated with lower risk of CRC.","author":[{"dropping-particle":"","family":"Schwingshackl","given":"Lukas","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Laure Preterre","given":"Anne","non-dropping-particle":"","parse-names":false,"suffix":""},{"dropping-particle":"","family":"Iqbal","given":"Khalid","non-dropping-particle":"","parse-names":false,"suffix":""},{"dropping-particle":"","family":"Bechthold","given":"Angela","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Boeing","given":"Heiner","non-dropping-particle":"","parse-names":false,"suffix":""},{"dropping-particle":"","family":"Schlesinger","given":"Sabrina","non-dropping-particle":"","parse-names":false,"suffix":""}],"container-title":"International Journal of Cancer","id":"ITEM-3","issue":"9","issued":{"date-parts":[["2018","5","1"]]},"page":"1748-1758","publisher":"Wiley-Liss Inc.","title":"Food groups and risk of colorectal cancer","type":"article-journal","volume":"142"}}],"schema":"https://github.com/citation-style-language/schema/raw/master/csl-citation.json"}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41–43</w:t>
      </w:r>
      <w:r w:rsidRPr="009664B1">
        <w:rPr>
          <w:rFonts w:ascii="Arial" w:hAnsi="Arial" w:cs="Arial"/>
        </w:rPr>
        <w:fldChar w:fldCharType="end"/>
      </w:r>
      <w:r w:rsidRPr="009664B1">
        <w:rPr>
          <w:rFonts w:ascii="Arial" w:hAnsi="Arial" w:cs="Arial"/>
        </w:rPr>
        <w:t xml:space="preserve"> That was because for some associations, such as for milk and fish, more detailed meta-analyses (with more sensitivity analyses) were available that indicated potential confounding with other major dietary risks or health status at baseline.</w:t>
      </w:r>
      <w:r w:rsidRPr="009664B1">
        <w:rPr>
          <w:rFonts w:ascii="Arial" w:hAnsi="Arial" w:cs="Arial"/>
        </w:rPr>
        <w:fldChar w:fldCharType="begin" w:fldLock="1"/>
      </w:r>
      <w:r w:rsidR="00935615">
        <w:rPr>
          <w:rFonts w:ascii="Arial" w:hAnsi="Arial" w:cs="Arial"/>
        </w:rPr>
        <w:instrText xml:space="preserve"> ADDIN ZOTERO_ITEM CSL_CITATION {"citationID":"dVZjDGIY","properties":{"formattedCitation":"\\super 50\\uc0\\u8211{}52\\nosupersub{}","plainCitation":"50–52","noteIndex":0},"citationItems":[{"id":"XSX8F4tB/OCEvBGN3","uris":["http://www.mendeley.com/documents/?uuid=9fe7dc7d-e844-45c3-ae42-99e714cfb35f",["http://www.mendeley.com/documents/?uuid=9fe7dc7d-e844-45c3-ae42-99e714cfb35f"]],"itemData":{"DOI":"10.3945/ajcn.113.059030","ISSN":"1938-3207","abstract":"BACKGROUND: The association between intake of dairy products and the risk of type 2 diabetes has been investigated in several studies, but the evidence is not conclusive. OBJECTIVE: We conducted an updated systematic review and dose-response meta-analysis of dairy product intake and the risk of type 2 diabetes. DESIGN: We searched the PubMed database for prospective cohort and nested case-control studies of dairy product intake and risk of type 2 diabetes up to 5 June 2013. Summary RRs were estimated by use of a random-effects model. RESULTS: Seventeen cohort studies were included in the meta-analysis. In the dose-response analysis, the summary RRs (95% CIs) were 0.93 (0.87, 0.99; I(2) = 33%) per 400 g total dairy products/d (n = 12), 0.98 (0.94, 1.03; I(2) = 8%) per 200 g high-fat dairy products/d (n = 9), 0.91 (0.86, 0.96; I(2) = 40%) per 200 g low-fat dairy products/d (n = 9), 0.87 (0.72, 1.04; I(2) = 94%) per 200 g milk/d (n = 7), 0.92 (0.86, 0.99; I(2) = 0%) per 50 g cheese/d (n = 8), and 0.78 (0.60, 1.02; I(2) = 70%) per 200 g yogurt/d (n = 7). Nonlinear inverse associations were observed for total dairy products (P-nonlinearity &lt; 0.0001), low-fat dairy products (P-nonlinearity = 0.06), cheese (P-nonlinearity = 0.05), and yogurt (P-nonlinearity = 0.004), and there was a flattening of the curve at higher intakes. CONCLUSIONS: This meta-analysis suggests that there is a significant inverse association between intakes of dairy products, low-fat dairy products, and cheese and risk of type 2 diabetes. Any additional studies should assess the association between other specific types of dairy products and the risk of type 2 diabetes and adjust for more confounding factors.","author":[{"dropping-particle":"","family":"Aune","given":"Dagfinn","non-dropping-particle":"","parse-names":false,"suffix":""},{"dropping-particle":"","family":"Norat","given":"Teresa","non-dropping-particle":"","parse-names":false,"suffix":""},{"dropping-particle":"","family":"Romundstad","given":"Pål","non-dropping-particle":"","parse-names":false,"suffix":""},{"dropping-particle":"","family":"Vatten","given":"Lars J","non-dropping-particle":"","parse-names":false,"suffix":""}],"container-title":"The American Journal of Clinical Nutrition","id":"ITEM-1","issue":"4","issued":{"date-parts":[["2013"]]},"language":"eng","page":"1066-1083","title":"Dairy products and the risk of type 2 diabetes: a systematic review and dose-response meta-analysis of cohort studies","type":"article-journal","volume":"98"}},{"id":"XSX8F4tB/shdAKd35","uris":["http://www.mendeley.com/documents/?uuid=fb024c77-b211-4630-8d93-8319706ac166",["http://www.mendeley.com/documents/?uuid=fb024c77-b211-4630-8d93-8319706ac166"]],"itemData":{"DOI":"10.1093/annonc/mdr269","ISSN":"1569-8041","abstract":"BACKGROUND: Previous studies of the association between intake of dairy products and colorectal cancer risk have indicated an inverse association with milk, however, the evidence for cheese or other dairy products is inconsistent. METHODS: We conducted a systematic review and meta-analysis to clarify the shape of the dose-response relationship between dairy products and colorectal cancer risk. We searched the PubMed database for prospective studies published up to May 2010. Summary relative risks (RRs) were estimated using a random effects model. RESULTS: Nineteen cohort studies were included. The summary RR was 0.83 (95% CI [confidence interval]: 0.78-0.88, I2=25%) per 400 g/day of total dairy products, 0.91 (95% CI: 0.85-0.94, I2=0%) per 200 g/day of milk intake and 0.96 (95% CI: 0.83-1.12, I2=28%) per 50 g/day of cheese. Inverse associations were observed in both men and women but were restricted to colon cancer. There was evidence of a nonlinear association between milk and total dairy products and colorectal cancer risk, P&lt;0.001, and the inverse associations appeared to be the strongest at the higher range of intake. CONCLUSION: This meta-analysis shows that milk and total dairy products, but not cheese or other dairy products, are associated with a reduction in colorectal cancer risk.","author":[{"dropping-particle":"","family":"Aune","given":"D","non-dropping-particle":"","parse-names":false,"suffix":""},{"dropping-particle":"","family":"Lau","given":"R","non-dropping-particle":"","parse-names":false,"suffix":""},{"dropping-particle":"","family":"Chan","given":"D S M","non-dropping-particle":"","parse-names":false,"suffix":""},{"dropping-particle":"","family":"Vieira","given":"R","non-dropping-particle":"","parse-names":false,"suffix":""},{"dropping-particle":"","family":"Greenwood","given":"D C","non-dropping-particle":"","parse-names":false,"suffix":""},{"dropping-particle":"","family":"Kampman","given":"E","non-dropping-particle":"","parse-names":false,"suffix":""},{"dropping-particle":"","family":"Norat","given":"T","non-dropping-particle":"","parse-names":false,"suffix":""}],"container-title":"Annals of Oncology: Official Journal of the European Society for Medical Oncology","id":"ITEM-2","issue":"1","issued":{"date-parts":[["2012"]]},"language":"eng","page":"37-45","title":"Dairy products and colorectal cancer risk: a systematic review and meta-analysis of cohort studies","type":"article-journal","volume":"23"}},{"id":1939,"uris":["http://zotero.org/users/14122/items/HG6CAK9V",["http://zotero.org/users/14122/items/HG6CAK9V"]],"itemData":{"id":1939,"type":"article-journal","abstract":"Cohort studies report inconsistent associations between fish consumption, a major source of long-chain ω-3 fatty acids, and risk of cardiovascular disease (CVD) and mortality. Whether the associations vary between those with and those without vascular disease is unknown.To examine whether the associations of fish consumption with risk of CVD or of mortality differ between individuals with and individuals without vascular disease.This pooled analysis of individual participant data involved 191 558 individuals from 4 cohort studies—147 645 individuals (139 827 without CVD and 7818 with CVD) from 21 countries in the Prospective Urban Rural Epidemiology (PURE) study and 43 413 patients with vascular disease in 3 prospective studies from 40 countries. Adjusted hazard ratios (HRs) were calculated by multilevel Cox regression separately within each study and then pooled using random-effects meta-analysis. This analysis was conducted from January to June 2020.Fish consumption was recorded using validated food frequency questionnaires. In 1 of the cohorts with vascular disease, a separate qualitative food frequency questionnaire was used to assess intake of individual types of fish.Mortality and major CVD events (including myocardial infarction, stroke, congestive heart failure, or sudden death).Overall, 191 558 participants with a mean (SD) age of 54.1 (8.0) years (91 666 [47.9%] male) were included in the present analysis. During 9.1 years of follow-up in PURE, compared with little or no fish intake (≤50 g/mo), an intake of 350 g/wk or more was not associated with risk of major CVD (HR, 0.95; 95% CI, 0.86-1.04) or total mortality (HR, 0.96; 0.88-1.05). By contrast, in the 3 cohorts of patients with vascular disease, the HR for risk of major CVD (HR, 0.84; 95% CI, 0.73-0.96) and total mortality (HR, 0.82; 95% CI, 0.74-0.91) was lowest with intakes of at least 175 g/wk (or approximately 2 servings/wk) compared with 50 g/mo or lower, with no further apparent decrease in HR with consumption of 350 g/wk or higher. Fish with higher amounts of ω-3 fatty acids were strongly associated with a lower risk of CVD (HR, 0.94; 95% CI, 0.92-0.97 per 5-g increment of intake), whereas other fish were neutral (collected in 1 cohort of patients with vascular disease). The association between fish intake and each outcome varied by CVD status, with a lower risk found among patients with vascular disease but not in general populations (for major CVD, I2 = 82.6 [P = .02]; for death, I2 = 90.8 [P = .001]).Findings of this pooled analysis of 4 cohort studies indicated that a minimal fish intake of 175 g (approximately 2 servings) weekly is associated with lower risk of major CVD and mortality among patients with prior CVD but not in general populations. The consumption of fish (especially oily fish) should be evaluated in randomized trials of clinical outcomes among people with vascular disease.","container-title":"JAMA Internal Medicine","DOI":"10.1001/jamainternmed.2021.0036","ISSN":"2168-6106","journalAbbreviation":"JAMA Internal Medicine","source":"Silverchair","title":"Associations of Fish Consumption With Risk of Cardiovascular Disease and Mortality Among Individuals With or Without Vascular Disease From 58 Countries","URL":"https://doi.org/10.1001/jamainternmed.2021.0036","author":[{"family":"Mohan","given":"Deepa"},{"family":"Mente","given":"Andrew"},{"family":"Dehghan","given":"Mahshid"},{"family":"Rangarajan","given":"Sumathy"},{"family":"O’Donnell","given":"Martin"},{"family":"Hu","given":"Weihong"},{"family":"Dagenais","given":"Gilles"},{"family":"Wielgosz","given":"Andreas"},{"family":"Lear","given":"Scott"},{"family":"Wei","given":"Li"},{"family":"Diaz","given":"Rafael"},{"family":"Avezum","given":"Alvaro"},{"family":"Lopez-Jaramillo","given":"Patricio"},{"family":"Lanas","given":"Fernando"},{"family":"Swaminathan","given":"Sumathi"},{"family":"Kaur","given":"Manmeet"},{"family":"Vijayakumar","given":"K."},{"family":"Mohan","given":"Viswanathan"},{"family":"Gupta","given":"Rajeev"},{"family":"Szuba","given":"Andrzej"},{"family":"Iqbal","given":"Romaina"},{"family":"Yusuf","given":"Rita"},{"family":"Mohammadifard","given":"Noushin"},{"family":"Khatib","given":"Rasha"},{"family":"Yusoff","given":"Khalid"},{"family":"Gulec","given":"Sadi"},{"family":"Rosengren","given":"Annika"},{"family":"Yusufali","given":"Afzalhussein"},{"family":"Wentzel-Viljoen","given":"Edelweiss"},{"family":"Chifamba","given":"Jephat"},{"family":"Dans","given":"Antonio"},{"family":"Alhabib","given":"Khalid F."},{"family":"Yeates","given":"Karen"},{"family":"Teo","given":"Koon"},{"family":"Gerstein","given":"Hertzel C."},{"family":"Yusuf","given":"Salim"},{"family":"PURE","given":"ONTARGET","suffix":"TRANSCEND, and ORIGIN investigators"}],"accessed":{"date-parts":[["2021",3,19]]},"issued":{"date-parts":[["2021",3,8]]}}}],"schema":"https://github.com/citation-style-language/schema/raw/master/csl-citation.json"} </w:instrText>
      </w:r>
      <w:r w:rsidRPr="009664B1">
        <w:rPr>
          <w:rFonts w:ascii="Arial" w:hAnsi="Arial" w:cs="Arial"/>
        </w:rPr>
        <w:fldChar w:fldCharType="separate"/>
      </w:r>
      <w:r w:rsidR="00935615" w:rsidRPr="00935615">
        <w:rPr>
          <w:rFonts w:ascii="Arial" w:hAnsi="Arial" w:cs="Arial"/>
          <w:vertAlign w:val="superscript"/>
        </w:rPr>
        <w:t>50–52</w:t>
      </w:r>
      <w:r w:rsidRPr="009664B1">
        <w:rPr>
          <w:rFonts w:ascii="Arial" w:hAnsi="Arial" w:cs="Arial"/>
        </w:rPr>
        <w:fldChar w:fldCharType="end"/>
      </w:r>
      <w:r w:rsidRPr="009664B1">
        <w:rPr>
          <w:rFonts w:ascii="Arial" w:hAnsi="Arial" w:cs="Arial"/>
        </w:rPr>
        <w:t xml:space="preserve"> Such sensitivity analyses were not presented in the meta-analyses that included </w:t>
      </w:r>
      <w:proofErr w:type="spellStart"/>
      <w:r w:rsidRPr="009664B1">
        <w:rPr>
          <w:rFonts w:ascii="Arial" w:hAnsi="Arial" w:cs="Arial"/>
        </w:rPr>
        <w:t>NutriGrade</w:t>
      </w:r>
      <w:proofErr w:type="spellEnd"/>
      <w:r w:rsidRPr="009664B1">
        <w:rPr>
          <w:rFonts w:ascii="Arial" w:hAnsi="Arial" w:cs="Arial"/>
        </w:rPr>
        <w:t xml:space="preserve"> assessments, but they are important for health assessments that evaluate changes in multiple risk factors.</w:t>
      </w:r>
    </w:p>
    <w:p w14:paraId="086D8BA5" w14:textId="77777777" w:rsidR="0043610E" w:rsidRPr="009664B1" w:rsidRDefault="0043610E" w:rsidP="00FC0B1B">
      <w:pPr>
        <w:pStyle w:val="NoSpacing"/>
        <w:spacing w:line="360" w:lineRule="auto"/>
        <w:rPr>
          <w:rFonts w:ascii="Arial" w:hAnsi="Arial" w:cs="Arial"/>
        </w:rPr>
      </w:pPr>
    </w:p>
    <w:p w14:paraId="2738C26D" w14:textId="4BC3B2B6" w:rsidR="003653BF" w:rsidRPr="009664B1" w:rsidRDefault="0043610E" w:rsidP="00FC0B1B">
      <w:pPr>
        <w:spacing w:line="360" w:lineRule="auto"/>
        <w:rPr>
          <w:rFonts w:ascii="Arial" w:hAnsi="Arial" w:cs="Arial"/>
          <w:sz w:val="22"/>
          <w:szCs w:val="22"/>
        </w:rPr>
      </w:pPr>
      <w:r w:rsidRPr="009664B1">
        <w:rPr>
          <w:rFonts w:ascii="Arial" w:hAnsi="Arial" w:cs="Arial"/>
          <w:sz w:val="22"/>
          <w:szCs w:val="22"/>
        </w:rPr>
        <w:t xml:space="preserve">For each risk factor, we constrained the maximum attainable risk reduction to minimal risk exposure values established by </w:t>
      </w:r>
      <w:proofErr w:type="spellStart"/>
      <w:r w:rsidRPr="009664B1">
        <w:rPr>
          <w:rFonts w:ascii="Arial" w:hAnsi="Arial" w:cs="Arial"/>
          <w:sz w:val="22"/>
          <w:szCs w:val="22"/>
        </w:rPr>
        <w:t>NutriCoDe</w:t>
      </w:r>
      <w:proofErr w:type="spellEnd"/>
      <w:r w:rsidRPr="009664B1">
        <w:rPr>
          <w:rFonts w:ascii="Arial" w:hAnsi="Arial" w:cs="Arial"/>
          <w:sz w:val="22"/>
          <w:szCs w:val="22"/>
        </w:rPr>
        <w:t xml:space="preserve"> and available meta-analyses</w:t>
      </w:r>
      <w:r w:rsidR="00952437" w:rsidRPr="009664B1">
        <w:rPr>
          <w:rFonts w:ascii="Arial" w:hAnsi="Arial" w:cs="Arial"/>
          <w:sz w:val="22"/>
          <w:szCs w:val="22"/>
        </w:rPr>
        <w:t xml:space="preserve"> </w:t>
      </w:r>
      <w:r w:rsidR="00952437" w:rsidRPr="009664B1">
        <w:rPr>
          <w:rFonts w:ascii="Arial" w:hAnsi="Arial" w:cs="Arial"/>
          <w:sz w:val="22"/>
          <w:szCs w:val="22"/>
        </w:rPr>
        <w:fldChar w:fldCharType="begin" w:fldLock="1"/>
      </w:r>
      <w:r w:rsidR="00935615">
        <w:rPr>
          <w:rFonts w:ascii="Arial" w:hAnsi="Arial" w:cs="Arial"/>
          <w:sz w:val="22"/>
          <w:szCs w:val="22"/>
        </w:rPr>
        <w:instrText xml:space="preserve"> ADDIN ZOTERO_ITEM CSL_CITATION {"citationID":"DAxrkcK0","properties":{"formattedCitation":"\\super 38\\uc0\\u8211{}43,46,53\\nosupersub{}","plainCitation":"38–43,46,53","noteIndex":0},"citationItems":[{"id":"XSX8F4tB/X6cQNIGw","uris":["http://www.mendeley.com/documents/?uuid=0f067f83-2d4b-47d5-a28e-4332e6c44add",["http://www.mendeley.com/documents/?uuid=0f067f83-2d4b-47d5-a28e-4332e6c44add"]],"itemData":{"DOI":"10.1371/journal.pone.0175149","ISSN":"1932-6203","author":[{"dropping-particle":"","family":"Micha","given":"Renata","non-dropping-particle":"","parse-names":false,"suffix":""},{"dropping-particle":"","family":"Shulkin","given":"Masha L","non-dropping-particle":"","parse-names":false,"suffix":""},{"dropping-particle":"","family":"Peñalvo","given":"Jose L","non-dropping-particle":"","parse-names":false,"suffix":""},{"dropping-particle":"","family":"Khatibzadeh","given":"Shahab","non-dropping-particle":"","parse-names":false,"suffix":""},{"dropping-particle":"","family":"Singh","given":"Gitanjali M","non-dropping-particle":"","parse-names":false,"suffix":""},{"dropping-particle":"","family":"Rao","given":"Mayuree","non-dropping-particle":"","parse-names":false,"suffix":""},{"dropping-particle":"","family":"Fahimi","given":"Saman","non-dropping-particle":"","parse-names":false,"suffix":""},{"dropping-particle":"","family":"Powles","given":"John","non-dropping-particle":"","parse-names":false,"suffix":""},{"dropping-particle":"","family":"Mozaffarian","given":"Dariush","non-dropping-particle":"","parse-names":false,"suffix":""}],"container-title":"PLOS ONE","editor":[{"dropping-particle":"","family":"Kiechl","given":"Stefan","non-dropping-particle":"","parse-names":false,"suffix":""}],"id":"f0yyr5Ds/LkCKXntj","issue":"4","issued":{"date-parts":[["2017","10","3"]]},"language":"en","page":"e0175149","title":"Etiologic effects and optimal intakes of foods and nutrients for risk of cardiovascular diseases and diabetes: Systematic reviews and meta-analyses from the Nutrition and Chronic Diseases Expert Group (NutriCoDE)","type":"article-journal","volume":"12"}},{"id":"XSX8F4tB/3PuLfWsb","uris":["http://www.mendeley.com/documents/?uuid=cb63f780-e59e-3150-938d-88988d23d5ea",["http://www.mendeley.com/documents/?uuid=cb63f780-e59e-3150-938d-88988d23d5ea"]],"itemData":{"DOI":"10.1080/10408398.2017.1392288","ISSN":"1040-8398","abstract":"ABSTRACTBackground: Despite growing evidence for food-based dietary patterns' potential to reduce cardiovascular disease risk, knowledge about the amounts of food associated with the greatest change in risk of specific cardiovascular outcomes and about the quality of meta-evidence is limited. Therefore, the aim of this meta-analysis was to synthesize the knowledge about the relation between intake of 12 major food groups (whole grains, refined grains, vegetables, fruits, nuts, legumes, eggs, dairy, fish, red meat, processed meat, and sugar-sweetened beverages [SSB]) and the risk of coronary heart disease (CHD), stroke and heart failure (HF).Methods: We conducted a systematic search in PubMed and Embase up to March 2017 for prospective studies. Summary risk ratios (RRs) and 95% confidence intervals (95% CI) were estimated using a random effects model for highest versus lowest intake categories, as well as for linear and non-linear relationships.Results: Overall, 123 reports were included in the meta-analys...","author":[{"dropping-particle":"","family":"Bechthold","given":"Angela","non-dropping-particle":"","parse-names":false,"suffix":""},{"dropping-particle":"","family":"Boeing","given":"Heiner","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Iqbal","given":"Khalid","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Schlesinger","given":"Sabrina","non-dropping-particle":"","parse-names":false,"suffix":""},{"dropping-particle":"","family":"Schwingshackl","given":"Lukas","non-dropping-particle":"","parse-names":false,"suffix":""}],"container-title":"Critical Reviews in Food Science and Nutrition","id":"ITEM-4","issue":"7","issued":{"date-parts":[["2019","10","17"]]},"page":"1071-1090","publisher":"Taylor &amp; Francis","title":"Food groups and risk of coronary heart disease, stroke and heart failure: A systematic review and dose-response meta-analysis of prospective studies","type":"article-journal","volume":"59"}},{"id":"XSX8F4tB/iSVmoVEm","uris":["http://www.mendeley.com/documents/?uuid=ba4fcacc-f1c5-3030-ade7-aa63e34b8ebb",["http://www.mendeley.com/documents/?uuid=ba4fcacc-f1c5-3030-ade7-aa63e34b8ebb"]],"itemData":{"DOI":"10.1007/s10654-017-0246-y","ISSN":"15737284","PMID":"28397016","abstract":"The aim of this systematic review and meta-analysis was to synthesize the knowledge about the relation between intake of 12 major food groups and risk of type 2 diabetes (T2D). We conducted a systematic search in PubMed, Embase, Medline (Ovid), Cochrane Central, and Google Scholar for prospective studies investigating the association between whole grains, refined grains, vegetables, fruits, nuts, legumes, eggs, dairy, fish, red meat, processed meat, and sugar-sweetened beverages (SSB) on risk of T2D. Summary relative risks were estimated using a random effects model by contrasting categories, and for linear and non-linear dose–response relationships. Six out of the 12 food-groups showed a significant relation with risk of T2D, three of them a decrease of risk with increasing consumption (whole grains, fruits, and dairy), and three an increase of risk with increasing consumption (red meat, processed meat, and SSB) in the linear dose–response meta-analysis. There was evidence of a non-linear relationship between fruits, vegetables, processed meat, whole grains, and SSB and T2D risk. Optimal consumption of risk-decreasing foods resulted in a 42% reduction, and consumption of risk-increasing foods was associated with a threefold T2D risk, compared to non-consumption. The meta-evidence was graded “low” for legumes and nuts; “moderate” for refined grains, vegetables, fruit, eggs, dairy, and fish; and “high” for processed meat, red meat, whole grains, and SSB. Among the investigated food groups, selecting specific optimal intakes can lead to a considerable change in risk of T2D.","author":[{"dropping-particle":"","family":"Schwingshackl","given":"Lukas","non-dropping-particle":"","parse-names":false,"suffix":""},{"dropping-particle":"","family":"Hoffmann","given":"Georg","non-dropping-particle":"","parse-names":false,"suffix":""},{"dropping-particle":"","family":"Lampousi","given":"Anna Maria","non-dropping-particle":"","parse-names":false,"suffix":""},{"dropping-particle":"","family":"Knüppel","given":"Sven","non-dropping-particle":"","parse-names":false,"suffix":""},{"dropping-particle":"","family":"Iqbal","given":"Khalid","non-dropping-particle":"","parse-names":false,"suffix":""},{"dropping-particle":"","family":"Schwedhelm","given":"Carolina","non-dropping-particle":"","parse-names":false,"suffix":""},{"dropping-particle":"","family":"Bechthold","given":"Angela","non-dropping-particle":"","parse-names":false,"suffix":""},{"dropping-particle":"","family":"Schlesinger","given":"Sabrina","non-dropping-particle":"","parse-names":false,"suffix":""},{"dropping-particle":"","family":"Boeing","given":"Heiner","non-dropping-particle":"","parse-names":false,"suffix":""}],"container-title":"European Journal of Epidemiology","id":"ITEM-5","issue":"5","issued":{"date-parts":[["2017","5","1"]]},"page":"363-375","publisher":"Springer Netherlands","title":"Food groups and risk of type 2 diabetes mellitus: a systematic review and meta-analysis of prospective studies","type":"article-journal","volume":"32"}},{"id":"XSX8F4tB/dhr8IGXe","uris":["http://www.mendeley.com/documents/?uuid=bdd9c8da-ff28-31d3-9ce7-abf0cba8378b",["http://www.mendeley.com/documents/?uuid=bdd9c8da-ff28-31d3-9ce7-abf0cba8378b"]],"itemData":{"DOI":"10.1002/ijc.31198","ISSN":"10970215","PMID":"29210053","abstract":"The aim of this systematic review and meta-analysis was to summarize the evidence on the relationship between intake of 12 major food groups, including whole grains, refined grains, vegetables, fruit, nuts, legumes, eggs, dairy, fish, red meat, processed meat and sugar-sweetened beverages with risk of colorectal cancer (CRC). We conducted a systematic search in PubMed and Embase for prospective studies investigating the association between these 12 food groups and risk of CRC until April 2017. Summary risk ratios (RRs) and 95% confidence intervals (95% CI) were estimated using a random effects model for high vs. low intake categories, as well as for linear and nonlinear relationships. An inverse association was observed for whole grains (RR30g/d: 0.95, 95% CI 0.93, 0.97; n = 9 studies), vegetables (RR100g/d: 0.97, 95% CI 0.96, 0.98; n = 15), fruit (RR100g/d: 0.97, 95% CI 0.95, 0.99; n = 16) and dairy (RR200g/d: 0.93, 95% CI 0.91, 0.94; n = 15), while a positive association for red meat (RR100g/d: 1.12, 95% CI 1.06, 1.19; n = 21) and processed meat (RR50g/d: 1.17, 95% CI 1.10, 1.23; n = 16), was seen in the linear dose-response meta-analysis. Some evidence for nonlinear relationships was observed between vegetables, fruit and dairy and risk of colorectal cancer. Findings of this meta-analysis showed that a diet characterized by high intake of whole grains, vegetables, fruit and dairy products and low amounts of red meat and processed meat was associated with lower risk of CRC.","author":[{"dropping-particle":"","family":"Schwingshackl","given":"Lukas","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Laure Preterre","given":"Anne","non-dropping-particle":"","parse-names":false,"suffix":""},{"dropping-particle":"","family":"Iqbal","given":"Khalid","non-dropping-particle":"","parse-names":false,"suffix":""},{"dropping-particle":"","family":"Bechthold","given":"Angela","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Boeing","given":"Heiner","non-dropping-particle":"","parse-names":false,"suffix":""},{"dropping-particle":"","family":"Schlesinger","given":"Sabrina","non-dropping-particle":"","parse-names":false,"suffix":""}],"container-title":"International Journal of Cancer","id":"ITEM-6","issue":"9","issued":{"date-parts":[["2018","5","1"]]},"page":"1748-1758","publisher":"Wiley-Liss Inc.","title":"Food groups and risk of colorectal cancer","type":"article-journal","volume":"142"}},{"id":"XSX8F4tB/mi5bktRa","uris":["http://www.mendeley.com/documents/?uuid=bf14c98a-8a93-4f97-8bac-47a7a1e72abe",["http://www.mendeley.com/documents/?uuid=bf14c98a-8a93-4f97-8bac-47a7a1e72abe"]],"itemData":{"DOI":"10.3945/ajcn.113.076901","ISSN":"0002-9165, 1938-3207","abstract":"Background: Relations between the consumption of nuts and legumes and risk of ischemic heart disease (IHD), stroke, and diabetes have not been well established. Objective: We systematically investigated and quantified associations of nut and legume consumption with incident IHD, stroke, and diabetes. Design: We systematically searched multiple databases to identify randomized controlled trials or observational studies that examined the relations. Studies were excluded if they reported only intermediate physiologic measures, soft cardiovascular outcomes, or crude risk estimates. Data were extracted independently and in duplicate. We assessed pooled dose-response relations by using a generalized least-squares trend estimation, and prespecified sources of heterogeneity were assessed by using metaregression. The potential for publication bias was explored by using funnel plots, Begg's and Egger's tests, and Duval and Tweedie trim-and-fill methods. Results: Of 3851 abstracts, 25 observational studies (23 prospective and 2 retrospective studies) and 2 trial reports met inclusion criteria and comprised 501,791 unique individuals and 11,869 IHD, 8244 stroke, and 14,449 diabetes events. The consumption of nuts was inversely associated with fatal IHD (6 studies; 6749 events; RR per 4 weekly 28.4-g servings: 0.76; 95% CI: 0.69, 0.84; I2 = 28%), nonfatal IHD (4 studies; 2101 events; RR: 0.78; 0.67, 0.92; I2 = 0%), and diabetes (6 studies; 13,308 events; RR: 0.87; 0.81,0.94; I2 = 22%) but not stroke (4 studies; 5544 events). Legume consumption was inversely associated with total IHD (5 studies; 6514 events; RR per 4 weekly 100-g servings: 0.86; 0.78, 0.94; I2 = 0%) but not significantly associated with stroke (6 studies; 6690 events) or diabetes (2 studies; 2746 events). A meta-regression did not identify the effect modification by age, duration of follow-up, study location, or study quality. Mixed evidence was seen for publication bias, but analyses by using the Duval and Tweedie trim-and-fill method did not appreciably alter results. Conclusion: This systematic review supports inverse associations between eating nuts and incident IHD and diabetes and eating legumes and incident IHD.","author":[{"dropping-particle":"","family":"Afshin","given":"Ashkan","non-dropping-particle":"","parse-names":false,"suffix":""},{"dropping-particle":"","family":"Micha","given":"Renata","non-dropping-particle":"","parse-names":false,"suffix":""},{"dropping-particle":"","family":"Khatibzadeh","given":"Shahab","non-dropping-particle":"","parse-names":false,"suffix":""},{"dropping-particle":"","family":"Mozaffarian","given":"Dariush","non-dropping-particle":"","parse-names":false,"suffix":""}],"container-title":"The American Journal of Clinical Nutrition","id":"ITEM-1","issued":{"date-parts":[["2014","1","11"]]},"language":"en","page":"ajcn.076901","title":"Consumption of nuts and legumes and risk of incident ischemic heart disease, stroke, and diabetes: a systematic review and meta-analysis","type":"article-journal"}},{"id":"XSX8F4tB/6u43c8lU","uris":["http://www.mendeley.com/documents/?uuid=51e5ca6d-09a4-4fa0-8727-166c77ed1a0e",["http://www.mendeley.com/documents/?uuid=51e5ca6d-09a4-4fa0-8727-166c77ed1a0e"]],"itemData":{"DOI":"10.1186/s12916-016-0730-3","ISSN":"1741-7015","abstract":"BACKGROUND: Although nut consumption has been associated with a reduced risk of cardiovascular disease and all-cause mortality, data on less common causes of death has not been systematically assessed. Previous reviews missed several studies and additional studies have since been published. We therefore conducted a systematic review and meta-analysis of nut consumption and risk of cardiovascular disease, total cancer, and all-cause and cause-specific mortality. METHODS: PubMed and Embase were searched for prospective studies of nut consumption and risk of cardiovascular disease, total cancer, and all-cause and cause-specific mortality in adult populations published up to July 19, 2016. Summary relative risks (RRs) and 95% confidence intervals (CIs) were calculated using random-effects models. The burden of mortality attributable to low nut consumption was calculated for selected regions. RESULTS: Twenty studies (29 publications) were included in the meta-analysis. The summary RRs per 28 grams/day increase in nut intake was for coronary heart disease, 0.71 (95% CI: 0.63-0.80, I(2) = 47%, n = 11), stroke, 0.93 (95% CI: 0.83-1.05, I(2) = 14%, n = 11), cardiovascular disease, 0.79 (95% CI: 0.70-0.88, I(2) = 60%, n = 12), total cancer, 0.85 (95% CI: 0.76-0.94, I(2) = 42%, n = 8), all-cause mortality, 0.78 (95% CI: 0.72-0.84, I(2) = 66%, n = 15), and for mortality from respiratory disease, 0.48 (95% CI: 0.26-0.89, I(2) = 61%, n = 3), diabetes, 0.61 (95% CI: 0.43-0.88, I(2) = 0%, n = 4), neurodegenerative disease, 0.65 (95% CI: 0.40-1.08, I(2) = 5.9%, n = 3), infectious disease, 0.25 (95% CI: 0.07-0.85, I(2) = 54%, n = 2), and kidney disease, 0.27 (95% CI: 0.04-1.91, I(2) = 61%, n = 2). The results were similar for tree nuts and peanuts. If the associations are causal, an estimated 4.4 million premature deaths in the America, Europe, Southeast Asia, and Western Pacific would be attributable to a nut intake below 20 grams per day in 2013. CONCLUSIONS: Higher nut intake is associated with reduced risk of cardiovascular disease, total cancer and all-cause mortality, and mortality from respiratory disease, diabetes, and infections.","author":[{"dropping-particle":"","family":"Aune","given":"Dagfinn","non-dropping-particle":"","parse-names":false,"suffix":""},{"dropping-particle":"","family":"Keum","given":"NaNa","non-dropping-particle":"","parse-names":false,"suffix":""},{"dropping-particle":"","family":"Giovannucci","given":"Edward","non-dropping-particle":"","parse-names":false,"suffix":""},{"dropping-particle":"","family":"Fadnes","given":"Lars T","non-dropping-particle":"","parse-names":false,"suffix":""},{"dropping-particle":"","family":"Boffetta","given":"Paolo","non-dropping-particle":"","parse-names":false,"suffix":""},{"dropping-particle":"","family":"Greenwood","given":"Darren C","non-dropping-particle":"","parse-names":false,"suffix":""},{"dropping-particle":"","family":"Tonstad","given":"Serena","non-dropping-particle":"","parse-names":false,"suffix":""},{"dropping-particle":"","family":"Vatten","given":"Lars J","non-dropping-particle":"","parse-names":false,"suffix":""},{"dropping-particle":"","family":"Riboli","given":"Elio","non-dropping-particle":"","parse-names":false,"suffix":""},{"dropping-particle":"","family":"Norat","given":"Teresa","non-dropping-particle":"","parse-names":false,"suffix":""}],"container-title":"BMC medicine","id":"ITEM-2","issue":"1","issued":{"date-parts":[["2016"]]},"language":"eng","page":"207","title":"Nut consumption and risk of cardiovascular disease, total cancer, all-cause and cause-specific mortality: a systematic review and dose-response meta-analysis of prospective studies","type":"article-journal","volume":"14"}},{"id":"XSX8F4tB/5ZSPWDPy","uris":["http://www.mendeley.com/documents/?uuid=dc4621e2-3e67-3391-a58c-a12b352d1f51",["http://www.mendeley.com/documents/?uuid=dc4621e2-3e67-3391-a58c-a12b352d1f51"]],"itemData":{"DOI":"10.1093/ije/dyw319","ISSN":"0300-5771","PMID":"28338764","abstract":"Background Questions remain about the strength and shape of the dose-response relationship between fruit and vegetable intake and risk of cardiovascular disease, cancer and mortality, and the effects of specific types of fruit and vegetables. We conducted a systematic review and meta-analysis to clarify these associations. Methods PubMed and Embase were searched up to 29 September 2016. Prospective studies of fruit and vegetable intake and cardiovascular disease, total cancer and all-cause mortality were included. Summary relative risks (RRs) were calculated using a random effects model, and the mortality burden globally was estimated; 95 studies (142 publications) were included. Results For fruits and vegetables combined, the summary RR per 200 g/day was 0.92 [95% confidence interval (CI): 0.90-0.94, I 2  = 0%, n  = 15] for coronary heart disease, 0.84 (95% CI: 0.76-0.92, I 2  = 73%, n  = 10) for stroke, 0.92 (95% CI: 0.90-0.95, I 2  = 31%, n  = 13) for cardiovascular disease, 0.97 (95% CI: 0.95-0.99, I 2  = 49%, n  = 12) for total cancer and 0.90 (95% CI: 0.87-0.93, I 2  = 83%, n  = 15) for all-cause mortality. Similar associations were observed for fruits and vegetables separately. Reductions in risk were observed up to 800 g/day for all outcomes except cancer (600 g/day). Inverse associations were observed between the intake of apples and pears, citrus fruits, green leafy vegetables, cruciferous vegetables, and salads and cardiovascular disease and all-cause mortality, and between the intake of green-yellow vegetables and cruciferous vegetables and total cancer risk. An estimated 5.6 and 7.8 million premature deaths worldwide in 2013 may be attributable to a fruit and vegetable intake below 500 and 800 g/day, respectively, if the observed associations are causal. Conclusions Fruit and vegetable intakes were associated with reduced risk of cardiovascular disease, cancer and all-cause mortality. These results support public health recommendations to increase fruit and vegetable intake for the prevention of cardiovascular disease, cancer, and premature mortality.","author":[{"dropping-particle":"","family":"Aune","given":"Dagfinn","non-dropping-particle":"","parse-names":false,"suffix":""},{"dropping-particle":"","family":"Giovannucci","given":"Edward","non-dropping-particle":"","parse-names":false,"suffix":""},{"dropping-particle":"","family":"Boffetta","given":"Paolo","non-dropping-particle":"","parse-names":false,"suffix":""},{"dropping-particle":"","family":"Fadnes","given":"Lars T","non-dropping-particle":"","parse-names":false,"suffix":""},{"dropping-particle":"","family":"Keum","given":"NaNa","non-dropping-particle":"","parse-names":false,"suffix":""},{"dropping-particle":"","family":"Norat","given":"Teresa","non-dropping-particle":"","parse-names":false,"suffix":""},{"dropping-particle":"","family":"Greenwood","given":"Darren C","non-dropping-particle":"","parse-names":false,"suffix":""},{"dropping-particle":"","family":"Riboli","given":"Elio","non-dropping-particle":"","parse-names":false,"suffix":""},{"dropping-particle":"","family":"Vatten","given":"Lars J","non-dropping-particle":"","parse-names":false,"suffix":""},{"dropping-particle":"","family":"Tonstad","given":"Serena","non-dropping-particle":"","parse-names":false,"suffix":""}],"container-title":"International Journal of Epidemiology","id":"f0yyr5Ds/WfI0MHU0","issue":"3","issued":{"date-parts":[["2017","6","1"]]},"page":"1029-1056","title":"Fruit and vegetable intake and the risk of cardiovascular disease, total cancer and all-cause mortality—a systematic review and dose-response meta-analysis of prospective studies","type":"article-journal","volume":"46"}},{"id":"XSX8F4tB/8OrADJK6","uris":["http://www.mendeley.com/documents/?uuid=41a1412e-fd91-4471-b9d5-043119c08674",["http://www.mendeley.com/documents/?uuid=41a1412e-fd91-4471-b9d5-043119c08674"]],"itemData":{"author":[{"dropping-particle":"","family":"Aune","given":"D","non-dropping-particle":"","parse-names":false,"suffix":""},{"dropping-particle":"","family":"Giovannucci","given":"E","non-dropping-particle":"","parse-names":false,"suffix":""},{"dropping-particle":"","family":"Boffetta","given":"P","non-dropping-particle":"","parse-names":false,"suffix":""},{"dropping-particle":"","family":"Fadnes","given":"L T","non-dropping-particle":"","parse-names":false,"suffix":""},{"dropping-particle":"","family":"Keum","given":"N","non-dropping-particle":"","parse-names":false,"suffix":""},{"dropping-particle":"","family":"Norat","given":"T","non-dropping-particle":"","parse-names":false,"suffix":""},{"dropping-particle":"","family":"Greenwood","given":"D C","non-dropping-particle":"","parse-names":false,"suffix":""},{"dropping-particle":"","family":"Riboli","given":"E","non-dropping-particle":"","parse-names":false,"suffix":""},{"dropping-particle":"","family":"Vatten","given":"L J","non-dropping-particle":"","parse-names":false,"suffix":""},{"dropping-particle":"","family":"Tonstad","given":"S","non-dropping-particle":"","parse-names":false,"suffix":""}],"container-title":"International Journal of Epidemiology","id":"ITEM-3","issued":{"date-parts":[["2016","3","18"]]},"title":"Fruit and vegetable intake and the risk of cardiovascular disease, total cancer and all-cause mortality–a systematic review and dose-response meta-analysis of prospective studies","type":"article-journal"}}],"schema":"https://github.com/citation-style-language/schema/raw/master/csl-citation.json"} </w:instrText>
      </w:r>
      <w:r w:rsidR="00952437" w:rsidRPr="009664B1">
        <w:rPr>
          <w:rFonts w:ascii="Arial" w:hAnsi="Arial" w:cs="Arial"/>
          <w:sz w:val="22"/>
          <w:szCs w:val="22"/>
        </w:rPr>
        <w:fldChar w:fldCharType="separate"/>
      </w:r>
      <w:r w:rsidR="00935615" w:rsidRPr="00935615">
        <w:rPr>
          <w:rFonts w:ascii="Arial" w:hAnsi="Arial" w:cs="Arial"/>
          <w:kern w:val="0"/>
          <w:sz w:val="22"/>
          <w:vertAlign w:val="superscript"/>
        </w:rPr>
        <w:t>38–43,46,53</w:t>
      </w:r>
      <w:r w:rsidR="00952437" w:rsidRPr="009664B1">
        <w:rPr>
          <w:rFonts w:ascii="Arial" w:hAnsi="Arial" w:cs="Arial"/>
          <w:sz w:val="22"/>
          <w:szCs w:val="22"/>
        </w:rPr>
        <w:fldChar w:fldCharType="end"/>
      </w:r>
      <w:r w:rsidRPr="009664B1">
        <w:rPr>
          <w:rFonts w:ascii="Arial" w:hAnsi="Arial" w:cs="Arial"/>
          <w:sz w:val="22"/>
          <w:szCs w:val="22"/>
        </w:rPr>
        <w:t xml:space="preserve">. </w:t>
      </w:r>
      <w:r w:rsidR="00952437" w:rsidRPr="009664B1">
        <w:rPr>
          <w:rFonts w:ascii="Arial" w:hAnsi="Arial" w:cs="Arial"/>
          <w:sz w:val="22"/>
          <w:szCs w:val="22"/>
        </w:rPr>
        <w:t xml:space="preserve">They included 300 g/d for fruits, 500 g/d for vegetables, 100 g/d for legumes, 20 g/d for nuts, 125 g/d for whole grains, and 0 g/d for red meat and processed meat. For a sensitivity analysis, we also attributed the burden of weight-related risks to the under and overconsumption of foods and the associated calorie imbalances. We used the reference values for healthy eating </w:t>
      </w:r>
      <w:r w:rsidR="00952437" w:rsidRPr="00BB231B">
        <w:rPr>
          <w:rFonts w:ascii="Arial" w:hAnsi="Arial" w:cs="Arial"/>
          <w:sz w:val="22"/>
          <w:szCs w:val="22"/>
        </w:rPr>
        <w:t>(Fig 1A) as</w:t>
      </w:r>
      <w:r w:rsidR="00952437" w:rsidRPr="009664B1">
        <w:rPr>
          <w:rFonts w:ascii="Arial" w:hAnsi="Arial" w:cs="Arial"/>
          <w:sz w:val="22"/>
          <w:szCs w:val="22"/>
        </w:rPr>
        <w:t xml:space="preserve"> implemented in the set of healthy and sustainable dietary patterns the comparator for that analysis. We used the calorie distribution across </w:t>
      </w:r>
      <w:proofErr w:type="spellStart"/>
      <w:r w:rsidR="00952437" w:rsidRPr="009664B1">
        <w:rPr>
          <w:rFonts w:ascii="Arial" w:hAnsi="Arial" w:cs="Arial"/>
          <w:sz w:val="22"/>
          <w:szCs w:val="22"/>
        </w:rPr>
        <w:t>underconsumed</w:t>
      </w:r>
      <w:proofErr w:type="spellEnd"/>
      <w:r w:rsidR="00952437" w:rsidRPr="009664B1">
        <w:rPr>
          <w:rFonts w:ascii="Arial" w:hAnsi="Arial" w:cs="Arial"/>
          <w:sz w:val="22"/>
          <w:szCs w:val="22"/>
        </w:rPr>
        <w:t xml:space="preserve"> (encouraged) foods to attribute the burden of underweight, and the distribution across overconsumed (discouraged) foods to attribute to burden of overweight and obesity. </w:t>
      </w:r>
    </w:p>
    <w:p w14:paraId="47878A7E" w14:textId="77777777" w:rsidR="003653BF" w:rsidRPr="009664B1" w:rsidRDefault="003653BF" w:rsidP="00FC0B1B">
      <w:pPr>
        <w:spacing w:line="360" w:lineRule="auto"/>
        <w:rPr>
          <w:rFonts w:ascii="Arial" w:hAnsi="Arial" w:cs="Arial"/>
          <w:b/>
          <w:sz w:val="22"/>
          <w:szCs w:val="22"/>
        </w:rPr>
      </w:pPr>
    </w:p>
    <w:p w14:paraId="35D8D4C6" w14:textId="77777777" w:rsidR="003653BF" w:rsidRPr="009664B1" w:rsidRDefault="003653BF" w:rsidP="00FC0B1B">
      <w:pPr>
        <w:pStyle w:val="NoSpacing"/>
        <w:spacing w:line="360" w:lineRule="auto"/>
        <w:rPr>
          <w:rFonts w:ascii="Arial" w:hAnsi="Arial" w:cs="Arial"/>
        </w:rPr>
      </w:pPr>
      <w:r w:rsidRPr="009664B1">
        <w:rPr>
          <w:rFonts w:ascii="Arial" w:hAnsi="Arial" w:cs="Arial"/>
        </w:rPr>
        <w:t xml:space="preserve">For the different diet scenarios, we calculated uncertainty intervals associated with changes in mortality based on standard methods of error propagation and the confidence intervals of the relative risk parameters. For the error propagation, we approximated the error distribution of the relative risks by a normal distribution and used that side of deviations from the mean which was largest. This method leads to conservative and potentially larger uncertainty intervals as probabilistic methods, such as Monte Carlo sampling, but it has significant computational advantages, and is justified for the magnitude of errors dealt with here (&lt;50%) (see e.g. IPCC Uncertainty Guidelines). </w:t>
      </w:r>
    </w:p>
    <w:p w14:paraId="5A6770F7" w14:textId="77777777" w:rsidR="003653BF" w:rsidRPr="009664B1" w:rsidRDefault="003653BF" w:rsidP="00FC0B1B">
      <w:pPr>
        <w:spacing w:line="360" w:lineRule="auto"/>
        <w:rPr>
          <w:rFonts w:ascii="Arial" w:hAnsi="Arial" w:cs="Arial"/>
          <w:sz w:val="22"/>
          <w:szCs w:val="22"/>
        </w:rPr>
      </w:pPr>
    </w:p>
    <w:p w14:paraId="4D65A70B" w14:textId="77777777" w:rsidR="003653BF" w:rsidRPr="009664B1" w:rsidRDefault="003653BF" w:rsidP="00FC0B1B">
      <w:pPr>
        <w:spacing w:line="360" w:lineRule="auto"/>
        <w:rPr>
          <w:rFonts w:ascii="Arial" w:hAnsi="Arial" w:cs="Arial"/>
          <w:sz w:val="22"/>
          <w:szCs w:val="22"/>
          <w:lang w:val="en-US"/>
        </w:rPr>
      </w:pPr>
    </w:p>
    <w:p w14:paraId="2510AA5B" w14:textId="77777777" w:rsidR="003653BF" w:rsidRPr="009664B1" w:rsidRDefault="003653BF" w:rsidP="00FC0B1B">
      <w:pPr>
        <w:spacing w:line="360" w:lineRule="auto"/>
        <w:rPr>
          <w:rFonts w:ascii="Arial" w:hAnsi="Arial" w:cs="Arial"/>
          <w:b/>
          <w:bCs/>
          <w:sz w:val="22"/>
          <w:szCs w:val="22"/>
        </w:rPr>
      </w:pPr>
    </w:p>
    <w:p w14:paraId="0B64195D" w14:textId="77777777" w:rsidR="003653BF" w:rsidRPr="009664B1" w:rsidRDefault="003653BF" w:rsidP="00FC0B1B">
      <w:pPr>
        <w:spacing w:line="360" w:lineRule="auto"/>
        <w:rPr>
          <w:rFonts w:ascii="Arial" w:hAnsi="Arial" w:cs="Arial"/>
          <w:b/>
          <w:bCs/>
          <w:sz w:val="22"/>
          <w:szCs w:val="22"/>
        </w:rPr>
      </w:pPr>
    </w:p>
    <w:p w14:paraId="1A2DB005" w14:textId="77777777" w:rsidR="003653BF" w:rsidRPr="009664B1" w:rsidRDefault="003653BF" w:rsidP="00FC0B1B">
      <w:pPr>
        <w:spacing w:line="360" w:lineRule="auto"/>
        <w:rPr>
          <w:rFonts w:ascii="Arial" w:hAnsi="Arial" w:cs="Arial"/>
          <w:b/>
          <w:bCs/>
          <w:sz w:val="22"/>
          <w:szCs w:val="22"/>
        </w:rPr>
      </w:pPr>
    </w:p>
    <w:p w14:paraId="65C6823C" w14:textId="77777777" w:rsidR="003653BF" w:rsidRPr="009664B1" w:rsidRDefault="003653BF" w:rsidP="00FC0B1B">
      <w:pPr>
        <w:spacing w:line="360" w:lineRule="auto"/>
        <w:rPr>
          <w:rFonts w:ascii="Arial" w:hAnsi="Arial" w:cs="Arial"/>
          <w:b/>
          <w:bCs/>
          <w:sz w:val="22"/>
          <w:szCs w:val="22"/>
        </w:rPr>
      </w:pPr>
    </w:p>
    <w:p w14:paraId="0B7F3083" w14:textId="77777777" w:rsidR="003653BF" w:rsidRPr="009664B1" w:rsidRDefault="003653BF" w:rsidP="00FC0B1B">
      <w:pPr>
        <w:spacing w:line="360" w:lineRule="auto"/>
        <w:rPr>
          <w:rFonts w:ascii="Arial" w:hAnsi="Arial" w:cs="Arial"/>
          <w:b/>
          <w:bCs/>
          <w:sz w:val="22"/>
          <w:szCs w:val="22"/>
        </w:rPr>
      </w:pPr>
    </w:p>
    <w:p w14:paraId="2974B69B" w14:textId="77777777" w:rsidR="003653BF" w:rsidRPr="009664B1" w:rsidRDefault="003653BF" w:rsidP="00FC0B1B">
      <w:pPr>
        <w:spacing w:line="360" w:lineRule="auto"/>
        <w:rPr>
          <w:rFonts w:ascii="Arial" w:hAnsi="Arial" w:cs="Arial"/>
          <w:b/>
          <w:bCs/>
          <w:sz w:val="22"/>
          <w:szCs w:val="22"/>
        </w:rPr>
      </w:pPr>
    </w:p>
    <w:p w14:paraId="2CA470CD" w14:textId="77777777" w:rsidR="003653BF" w:rsidRPr="009664B1" w:rsidRDefault="003653BF" w:rsidP="00FC0B1B">
      <w:pPr>
        <w:spacing w:line="360" w:lineRule="auto"/>
        <w:rPr>
          <w:rFonts w:ascii="Arial" w:hAnsi="Arial" w:cs="Arial"/>
          <w:sz w:val="22"/>
          <w:szCs w:val="22"/>
        </w:rPr>
      </w:pPr>
      <w:r w:rsidRPr="009664B1">
        <w:rPr>
          <w:rFonts w:ascii="Arial" w:hAnsi="Arial" w:cs="Arial"/>
          <w:sz w:val="22"/>
          <w:szCs w:val="22"/>
        </w:rPr>
        <w:br w:type="page"/>
      </w:r>
    </w:p>
    <w:p w14:paraId="3D94F545" w14:textId="430B07A9" w:rsidR="00ED316C" w:rsidRPr="00ED316C" w:rsidRDefault="00ED316C" w:rsidP="00FC0B1B">
      <w:pPr>
        <w:pStyle w:val="Heading1"/>
        <w:spacing w:line="360" w:lineRule="auto"/>
        <w:rPr>
          <w:rFonts w:ascii="Arial" w:hAnsi="Arial" w:cs="Arial"/>
          <w:b/>
          <w:bCs/>
          <w:color w:val="000000" w:themeColor="text1"/>
          <w:sz w:val="24"/>
          <w:szCs w:val="24"/>
        </w:rPr>
      </w:pPr>
      <w:bookmarkStart w:id="5" w:name="_Toc195730122"/>
      <w:r w:rsidRPr="00ED316C">
        <w:rPr>
          <w:rFonts w:ascii="Arial" w:hAnsi="Arial" w:cs="Arial"/>
          <w:b/>
          <w:bCs/>
          <w:color w:val="000000" w:themeColor="text1"/>
          <w:sz w:val="24"/>
          <w:szCs w:val="24"/>
        </w:rPr>
        <w:lastRenderedPageBreak/>
        <w:t>S</w:t>
      </w:r>
      <w:r>
        <w:rPr>
          <w:rFonts w:ascii="Arial" w:hAnsi="Arial" w:cs="Arial"/>
          <w:b/>
          <w:bCs/>
          <w:color w:val="000000" w:themeColor="text1"/>
          <w:sz w:val="24"/>
          <w:szCs w:val="24"/>
        </w:rPr>
        <w:t>4</w:t>
      </w:r>
      <w:r w:rsidRPr="00ED316C">
        <w:rPr>
          <w:rFonts w:ascii="Arial" w:hAnsi="Arial" w:cs="Arial"/>
          <w:b/>
          <w:bCs/>
          <w:color w:val="000000" w:themeColor="text1"/>
          <w:sz w:val="24"/>
          <w:szCs w:val="24"/>
        </w:rPr>
        <w:tab/>
      </w:r>
      <w:r>
        <w:rPr>
          <w:rFonts w:ascii="Arial" w:hAnsi="Arial" w:cs="Arial"/>
          <w:b/>
          <w:bCs/>
          <w:color w:val="000000" w:themeColor="text1"/>
          <w:sz w:val="24"/>
          <w:szCs w:val="24"/>
        </w:rPr>
        <w:t>Environmental assessment</w:t>
      </w:r>
      <w:bookmarkEnd w:id="5"/>
      <w:r w:rsidRPr="00ED316C">
        <w:rPr>
          <w:rFonts w:ascii="Arial" w:hAnsi="Arial" w:cs="Arial"/>
          <w:b/>
          <w:bCs/>
          <w:color w:val="000000" w:themeColor="text1"/>
          <w:sz w:val="24"/>
          <w:szCs w:val="24"/>
        </w:rPr>
        <w:t xml:space="preserve"> </w:t>
      </w:r>
    </w:p>
    <w:p w14:paraId="73C61616" w14:textId="77777777" w:rsidR="00752705" w:rsidRPr="009664B1" w:rsidRDefault="00752705" w:rsidP="00FC0B1B">
      <w:pPr>
        <w:spacing w:line="360" w:lineRule="auto"/>
        <w:rPr>
          <w:rFonts w:ascii="Arial" w:hAnsi="Arial" w:cs="Arial"/>
          <w:sz w:val="22"/>
          <w:szCs w:val="22"/>
        </w:rPr>
      </w:pPr>
    </w:p>
    <w:p w14:paraId="1FFBBB94" w14:textId="70DFA4E6" w:rsidR="00197734" w:rsidRDefault="00BD3CBB" w:rsidP="00FC0B1B">
      <w:pPr>
        <w:spacing w:line="360" w:lineRule="auto"/>
        <w:rPr>
          <w:rFonts w:ascii="Arial" w:hAnsi="Arial" w:cs="Arial"/>
          <w:sz w:val="22"/>
          <w:szCs w:val="22"/>
        </w:rPr>
      </w:pPr>
      <w:r w:rsidRPr="009664B1">
        <w:rPr>
          <w:rFonts w:ascii="Arial" w:hAnsi="Arial" w:cs="Arial"/>
          <w:sz w:val="22"/>
          <w:szCs w:val="22"/>
        </w:rPr>
        <w:t>For the estimating food-related environmental impacts, we converted the estimates of food intake to total food demand, and then paired those with a set of trade-adjusted and regionalised environmental footprints</w:t>
      </w:r>
      <w:r w:rsidR="00197734" w:rsidRPr="009664B1">
        <w:rPr>
          <w:rFonts w:ascii="Arial" w:hAnsi="Arial" w:cs="Arial"/>
          <w:sz w:val="22"/>
          <w:szCs w:val="22"/>
        </w:rPr>
        <w:t xml:space="preserve"> </w:t>
      </w:r>
      <w:r w:rsidR="00197734" w:rsidRPr="009664B1">
        <w:rPr>
          <w:rFonts w:ascii="Arial" w:hAnsi="Arial" w:cs="Arial"/>
          <w:sz w:val="22"/>
          <w:szCs w:val="22"/>
        </w:rPr>
        <w:fldChar w:fldCharType="begin"/>
      </w:r>
      <w:r w:rsidR="00935615">
        <w:rPr>
          <w:rFonts w:ascii="Arial" w:hAnsi="Arial" w:cs="Arial"/>
          <w:sz w:val="22"/>
          <w:szCs w:val="22"/>
        </w:rPr>
        <w:instrText xml:space="preserve"> ADDIN ZOTERO_ITEM CSL_CITATION {"citationID":"bfl51wsi","properties":{"formattedCitation":"\\super 54\\nosupersub{}","plainCitation":"54","noteIndex":0},"citationItems":[{"id":1745,"uris":["http://zotero.org/users/14122/items/FXABQGAX"],"itemData":{"id":1745,"type":"article-journal","abstract":"Food's environmental impacts are created by millions of diverse producers. To identify solutions that are effective under this heterogeneity, we consolidated data covering five environmental indicators; 38,700 farms; and 1600 processors, packaging types, and retailers. Impact can vary 50-fold among producers of the same product, creating substantial mitigation opportunities. However, mitigation is complicated by trade-offs, multiple ways for producers to achieve low impacts, and interactions throughout the supply chain. Producers have limits on how far they can reduce impacts. Most strikingly, impacts of the lowest-impact animal products typically exceed those of vegetable substitutes, providing new evidence for the importance of dietary change. Cumulatively, our findings support an approach where producers monitor their own impacts, flexibly meet environmental targets by choosing from multiple practices, and communicate their impacts to consumers.","container-title":"Science","issue":"6392","page":"987–992","title":"Reducing food's environmental impacts through producers and consumers","volume":"360","author":[{"family":"Poore","given":"J."},{"family":"Nemecek","given":"T."}],"issued":{"date-parts":[["2018"]]}}}],"schema":"https://github.com/citation-style-language/schema/raw/master/csl-citation.json"} </w:instrText>
      </w:r>
      <w:r w:rsidR="00197734" w:rsidRPr="009664B1">
        <w:rPr>
          <w:rFonts w:ascii="Arial" w:hAnsi="Arial" w:cs="Arial"/>
          <w:sz w:val="22"/>
          <w:szCs w:val="22"/>
        </w:rPr>
        <w:fldChar w:fldCharType="separate"/>
      </w:r>
      <w:r w:rsidR="00935615" w:rsidRPr="00935615">
        <w:rPr>
          <w:rFonts w:ascii="Arial" w:hAnsi="Arial" w:cs="Arial"/>
          <w:kern w:val="0"/>
          <w:sz w:val="22"/>
          <w:vertAlign w:val="superscript"/>
        </w:rPr>
        <w:t>54</w:t>
      </w:r>
      <w:r w:rsidR="00197734" w:rsidRPr="009664B1">
        <w:rPr>
          <w:rFonts w:ascii="Arial" w:hAnsi="Arial" w:cs="Arial"/>
          <w:sz w:val="22"/>
          <w:szCs w:val="22"/>
        </w:rPr>
        <w:fldChar w:fldCharType="end"/>
      </w:r>
      <w:r w:rsidRPr="009664B1">
        <w:rPr>
          <w:rFonts w:ascii="Arial" w:hAnsi="Arial" w:cs="Arial"/>
          <w:sz w:val="22"/>
          <w:szCs w:val="22"/>
        </w:rPr>
        <w:t xml:space="preserve">. </w:t>
      </w:r>
      <w:r w:rsidRPr="00BB231B">
        <w:rPr>
          <w:rFonts w:ascii="Arial" w:hAnsi="Arial" w:cs="Arial"/>
          <w:sz w:val="22"/>
          <w:szCs w:val="22"/>
        </w:rPr>
        <w:t>Table S5</w:t>
      </w:r>
      <w:r w:rsidRPr="009664B1">
        <w:rPr>
          <w:rFonts w:ascii="Arial" w:hAnsi="Arial" w:cs="Arial"/>
          <w:sz w:val="22"/>
          <w:szCs w:val="22"/>
        </w:rPr>
        <w:t xml:space="preserve"> provides an overview of the footprints </w:t>
      </w:r>
      <w:r w:rsidR="00197734" w:rsidRPr="009664B1">
        <w:rPr>
          <w:rFonts w:ascii="Arial" w:hAnsi="Arial" w:cs="Arial"/>
          <w:sz w:val="22"/>
          <w:szCs w:val="22"/>
        </w:rPr>
        <w:t xml:space="preserve">used and their food-related detail. The main methods section explains </w:t>
      </w:r>
      <w:r w:rsidR="00197734" w:rsidRPr="009664B1">
        <w:rPr>
          <w:rFonts w:ascii="Arial" w:hAnsi="Arial" w:cs="Arial"/>
          <w:sz w:val="22"/>
          <w:szCs w:val="22"/>
        </w:rPr>
        <w:t>how we converted food intake to food demand</w:t>
      </w:r>
      <w:r w:rsidR="00197734" w:rsidRPr="009664B1">
        <w:rPr>
          <w:rFonts w:ascii="Arial" w:hAnsi="Arial" w:cs="Arial"/>
          <w:sz w:val="22"/>
          <w:szCs w:val="22"/>
        </w:rPr>
        <w:t xml:space="preserve"> and </w:t>
      </w:r>
      <w:r w:rsidR="00197734" w:rsidRPr="009664B1">
        <w:rPr>
          <w:rFonts w:ascii="Arial" w:hAnsi="Arial" w:cs="Arial"/>
          <w:sz w:val="22"/>
          <w:szCs w:val="22"/>
        </w:rPr>
        <w:t>provides further details on how the environmental footprints were derived</w:t>
      </w:r>
      <w:r w:rsidR="00197734" w:rsidRPr="009664B1">
        <w:rPr>
          <w:rFonts w:ascii="Arial" w:hAnsi="Arial" w:cs="Arial"/>
          <w:sz w:val="22"/>
          <w:szCs w:val="22"/>
        </w:rPr>
        <w:t>.</w:t>
      </w:r>
    </w:p>
    <w:p w14:paraId="7EC17E06" w14:textId="77777777" w:rsidR="00292287" w:rsidRPr="009664B1" w:rsidRDefault="00292287" w:rsidP="00FC0B1B">
      <w:pPr>
        <w:spacing w:line="360" w:lineRule="auto"/>
        <w:rPr>
          <w:rFonts w:ascii="Arial" w:hAnsi="Arial" w:cs="Arial"/>
          <w:sz w:val="22"/>
          <w:szCs w:val="22"/>
        </w:rPr>
      </w:pPr>
    </w:p>
    <w:p w14:paraId="78EB8B4A" w14:textId="223552D8" w:rsidR="00752705" w:rsidRPr="009664B1" w:rsidRDefault="00197734" w:rsidP="00FC0B1B">
      <w:pPr>
        <w:spacing w:line="360" w:lineRule="auto"/>
        <w:rPr>
          <w:rFonts w:ascii="Arial" w:hAnsi="Arial" w:cs="Arial"/>
          <w:sz w:val="22"/>
          <w:szCs w:val="22"/>
        </w:rPr>
      </w:pPr>
      <w:bookmarkStart w:id="6" w:name="_Toc183987528"/>
      <w:r w:rsidRPr="009664B1">
        <w:rPr>
          <w:rFonts w:ascii="Arial" w:hAnsi="Arial" w:cs="Arial"/>
          <w:b/>
          <w:bCs/>
          <w:sz w:val="22"/>
          <w:szCs w:val="22"/>
        </w:rPr>
        <w:t>Table S</w:t>
      </w:r>
      <w:r w:rsidRPr="009664B1">
        <w:rPr>
          <w:rFonts w:ascii="Arial" w:hAnsi="Arial" w:cs="Arial"/>
          <w:b/>
          <w:bCs/>
          <w:sz w:val="22"/>
          <w:szCs w:val="22"/>
        </w:rPr>
        <w:t>5</w:t>
      </w:r>
      <w:r w:rsidRPr="009664B1">
        <w:rPr>
          <w:rFonts w:ascii="Arial" w:hAnsi="Arial" w:cs="Arial"/>
          <w:b/>
          <w:bCs/>
          <w:sz w:val="22"/>
          <w:szCs w:val="22"/>
        </w:rPr>
        <w:t>.</w:t>
      </w:r>
      <w:r w:rsidRPr="009664B1">
        <w:rPr>
          <w:rFonts w:ascii="Arial" w:hAnsi="Arial" w:cs="Arial"/>
          <w:sz w:val="22"/>
          <w:szCs w:val="22"/>
        </w:rPr>
        <w:t xml:space="preserve"> </w:t>
      </w:r>
      <w:bookmarkEnd w:id="6"/>
      <w:r w:rsidRPr="009664B1">
        <w:rPr>
          <w:rFonts w:ascii="Arial" w:hAnsi="Arial" w:cs="Arial"/>
          <w:sz w:val="22"/>
          <w:szCs w:val="22"/>
        </w:rPr>
        <w:t>Overview of environmental footprints per kg of product.</w:t>
      </w:r>
    </w:p>
    <w:tbl>
      <w:tblPr>
        <w:tblW w:w="8754" w:type="dxa"/>
        <w:tblLook w:val="04A0" w:firstRow="1" w:lastRow="0" w:firstColumn="1" w:lastColumn="0" w:noHBand="0" w:noVBand="1"/>
      </w:tblPr>
      <w:tblGrid>
        <w:gridCol w:w="1634"/>
        <w:gridCol w:w="1780"/>
        <w:gridCol w:w="1780"/>
        <w:gridCol w:w="1780"/>
        <w:gridCol w:w="1780"/>
      </w:tblGrid>
      <w:tr w:rsidR="00752705" w:rsidRPr="00292287" w14:paraId="01F4B768" w14:textId="77777777" w:rsidTr="00292287">
        <w:trPr>
          <w:trHeight w:val="900"/>
        </w:trPr>
        <w:tc>
          <w:tcPr>
            <w:tcW w:w="1634" w:type="dxa"/>
            <w:tcBorders>
              <w:top w:val="single" w:sz="4" w:space="0" w:color="auto"/>
              <w:left w:val="nil"/>
              <w:bottom w:val="single" w:sz="4" w:space="0" w:color="auto"/>
              <w:right w:val="nil"/>
            </w:tcBorders>
            <w:shd w:val="clear" w:color="000000" w:fill="FFFFFF"/>
            <w:noWrap/>
            <w:vAlign w:val="center"/>
            <w:hideMark/>
          </w:tcPr>
          <w:p w14:paraId="7F4B854C" w14:textId="77777777" w:rsidR="00752705" w:rsidRPr="00292287" w:rsidRDefault="00752705" w:rsidP="00FC0B1B">
            <w:pPr>
              <w:spacing w:line="360" w:lineRule="auto"/>
              <w:rPr>
                <w:rFonts w:ascii="Arial" w:hAnsi="Arial" w:cs="Arial"/>
                <w:b/>
                <w:bCs/>
                <w:color w:val="000000"/>
                <w:sz w:val="18"/>
                <w:szCs w:val="18"/>
              </w:rPr>
            </w:pPr>
            <w:r w:rsidRPr="00292287">
              <w:rPr>
                <w:rFonts w:ascii="Arial" w:hAnsi="Arial" w:cs="Arial"/>
                <w:b/>
                <w:bCs/>
                <w:color w:val="000000"/>
                <w:sz w:val="18"/>
                <w:szCs w:val="18"/>
              </w:rPr>
              <w:t>Food group</w:t>
            </w:r>
          </w:p>
        </w:tc>
        <w:tc>
          <w:tcPr>
            <w:tcW w:w="1780" w:type="dxa"/>
            <w:tcBorders>
              <w:top w:val="single" w:sz="4" w:space="0" w:color="auto"/>
              <w:left w:val="nil"/>
              <w:bottom w:val="single" w:sz="4" w:space="0" w:color="auto"/>
              <w:right w:val="nil"/>
            </w:tcBorders>
            <w:shd w:val="clear" w:color="000000" w:fill="FFFFFF"/>
            <w:vAlign w:val="center"/>
            <w:hideMark/>
          </w:tcPr>
          <w:p w14:paraId="0F45B8B6" w14:textId="77777777" w:rsidR="00752705" w:rsidRPr="00292287" w:rsidRDefault="00752705" w:rsidP="00FC0B1B">
            <w:pPr>
              <w:spacing w:line="360" w:lineRule="auto"/>
              <w:jc w:val="center"/>
              <w:rPr>
                <w:rFonts w:ascii="Arial" w:hAnsi="Arial" w:cs="Arial"/>
                <w:b/>
                <w:bCs/>
                <w:color w:val="000000"/>
                <w:sz w:val="18"/>
                <w:szCs w:val="18"/>
              </w:rPr>
            </w:pPr>
            <w:r w:rsidRPr="00292287">
              <w:rPr>
                <w:rFonts w:ascii="Arial" w:hAnsi="Arial" w:cs="Arial"/>
                <w:b/>
                <w:bCs/>
                <w:color w:val="000000"/>
                <w:sz w:val="18"/>
                <w:szCs w:val="18"/>
              </w:rPr>
              <w:t>GHG emission (ktCO</w:t>
            </w:r>
            <w:r w:rsidRPr="00292287">
              <w:rPr>
                <w:rFonts w:ascii="Arial" w:hAnsi="Arial" w:cs="Arial"/>
                <w:b/>
                <w:bCs/>
                <w:color w:val="000000"/>
                <w:sz w:val="18"/>
                <w:szCs w:val="18"/>
                <w:vertAlign w:val="subscript"/>
              </w:rPr>
              <w:t>2</w:t>
            </w:r>
            <w:r w:rsidRPr="00292287">
              <w:rPr>
                <w:rFonts w:ascii="Arial" w:hAnsi="Arial" w:cs="Arial"/>
                <w:b/>
                <w:bCs/>
                <w:color w:val="000000"/>
                <w:sz w:val="18"/>
                <w:szCs w:val="18"/>
              </w:rPr>
              <w:t>eq)</w:t>
            </w:r>
          </w:p>
        </w:tc>
        <w:tc>
          <w:tcPr>
            <w:tcW w:w="1780" w:type="dxa"/>
            <w:tcBorders>
              <w:top w:val="single" w:sz="4" w:space="0" w:color="auto"/>
              <w:left w:val="nil"/>
              <w:bottom w:val="single" w:sz="4" w:space="0" w:color="auto"/>
              <w:right w:val="nil"/>
            </w:tcBorders>
            <w:shd w:val="clear" w:color="000000" w:fill="FFFFFF"/>
            <w:vAlign w:val="center"/>
            <w:hideMark/>
          </w:tcPr>
          <w:p w14:paraId="00CBDA97" w14:textId="77777777" w:rsidR="00752705" w:rsidRPr="00292287" w:rsidRDefault="00752705" w:rsidP="00FC0B1B">
            <w:pPr>
              <w:spacing w:line="360" w:lineRule="auto"/>
              <w:jc w:val="center"/>
              <w:rPr>
                <w:rFonts w:ascii="Arial" w:hAnsi="Arial" w:cs="Arial"/>
                <w:b/>
                <w:bCs/>
                <w:color w:val="000000"/>
                <w:sz w:val="18"/>
                <w:szCs w:val="18"/>
              </w:rPr>
            </w:pPr>
            <w:r w:rsidRPr="00292287">
              <w:rPr>
                <w:rFonts w:ascii="Arial" w:hAnsi="Arial" w:cs="Arial"/>
                <w:b/>
                <w:bCs/>
                <w:color w:val="000000"/>
                <w:sz w:val="18"/>
                <w:szCs w:val="18"/>
              </w:rPr>
              <w:t>Land use (km</w:t>
            </w:r>
            <w:r w:rsidRPr="00292287">
              <w:rPr>
                <w:rFonts w:ascii="Arial" w:hAnsi="Arial" w:cs="Arial"/>
                <w:b/>
                <w:bCs/>
                <w:color w:val="000000"/>
                <w:sz w:val="18"/>
                <w:szCs w:val="18"/>
                <w:vertAlign w:val="superscript"/>
              </w:rPr>
              <w:t>2</w:t>
            </w:r>
            <w:r w:rsidRPr="00292287">
              <w:rPr>
                <w:rFonts w:ascii="Arial" w:hAnsi="Arial" w:cs="Arial"/>
                <w:b/>
                <w:bCs/>
                <w:color w:val="000000"/>
                <w:sz w:val="18"/>
                <w:szCs w:val="18"/>
              </w:rPr>
              <w:t>)</w:t>
            </w:r>
          </w:p>
        </w:tc>
        <w:tc>
          <w:tcPr>
            <w:tcW w:w="1780" w:type="dxa"/>
            <w:tcBorders>
              <w:top w:val="single" w:sz="4" w:space="0" w:color="auto"/>
              <w:left w:val="nil"/>
              <w:bottom w:val="single" w:sz="4" w:space="0" w:color="auto"/>
              <w:right w:val="nil"/>
            </w:tcBorders>
            <w:shd w:val="clear" w:color="000000" w:fill="FFFFFF"/>
            <w:vAlign w:val="center"/>
            <w:hideMark/>
          </w:tcPr>
          <w:p w14:paraId="278D7660" w14:textId="77777777" w:rsidR="00752705" w:rsidRPr="00292287" w:rsidRDefault="00752705" w:rsidP="00FC0B1B">
            <w:pPr>
              <w:spacing w:line="360" w:lineRule="auto"/>
              <w:jc w:val="center"/>
              <w:rPr>
                <w:rFonts w:ascii="Arial" w:hAnsi="Arial" w:cs="Arial"/>
                <w:b/>
                <w:bCs/>
                <w:color w:val="000000"/>
                <w:sz w:val="18"/>
                <w:szCs w:val="18"/>
              </w:rPr>
            </w:pPr>
            <w:r w:rsidRPr="00292287">
              <w:rPr>
                <w:rFonts w:ascii="Arial" w:hAnsi="Arial" w:cs="Arial"/>
                <w:b/>
                <w:bCs/>
                <w:color w:val="000000"/>
                <w:sz w:val="18"/>
                <w:szCs w:val="18"/>
              </w:rPr>
              <w:t>Freshwater use (km</w:t>
            </w:r>
            <w:r w:rsidRPr="00292287">
              <w:rPr>
                <w:rFonts w:ascii="Arial" w:hAnsi="Arial" w:cs="Arial"/>
                <w:b/>
                <w:bCs/>
                <w:color w:val="000000"/>
                <w:sz w:val="18"/>
                <w:szCs w:val="18"/>
                <w:vertAlign w:val="superscript"/>
              </w:rPr>
              <w:t>3</w:t>
            </w:r>
            <w:r w:rsidRPr="00292287">
              <w:rPr>
                <w:rFonts w:ascii="Arial" w:hAnsi="Arial" w:cs="Arial"/>
                <w:b/>
                <w:bCs/>
                <w:color w:val="000000"/>
                <w:sz w:val="18"/>
                <w:szCs w:val="18"/>
              </w:rPr>
              <w:t>)</w:t>
            </w:r>
          </w:p>
        </w:tc>
        <w:tc>
          <w:tcPr>
            <w:tcW w:w="1780" w:type="dxa"/>
            <w:tcBorders>
              <w:top w:val="single" w:sz="4" w:space="0" w:color="auto"/>
              <w:left w:val="nil"/>
              <w:bottom w:val="single" w:sz="4" w:space="0" w:color="auto"/>
              <w:right w:val="nil"/>
            </w:tcBorders>
            <w:shd w:val="clear" w:color="000000" w:fill="FFFFFF"/>
            <w:vAlign w:val="center"/>
            <w:hideMark/>
          </w:tcPr>
          <w:p w14:paraId="7902F818" w14:textId="77777777" w:rsidR="00752705" w:rsidRPr="00292287" w:rsidRDefault="00752705" w:rsidP="00FC0B1B">
            <w:pPr>
              <w:spacing w:line="360" w:lineRule="auto"/>
              <w:jc w:val="center"/>
              <w:rPr>
                <w:rFonts w:ascii="Arial" w:hAnsi="Arial" w:cs="Arial"/>
                <w:b/>
                <w:bCs/>
                <w:color w:val="000000"/>
                <w:sz w:val="18"/>
                <w:szCs w:val="18"/>
              </w:rPr>
            </w:pPr>
            <w:r w:rsidRPr="00292287">
              <w:rPr>
                <w:rFonts w:ascii="Arial" w:hAnsi="Arial" w:cs="Arial"/>
                <w:b/>
                <w:bCs/>
                <w:color w:val="000000"/>
                <w:sz w:val="18"/>
                <w:szCs w:val="18"/>
              </w:rPr>
              <w:t>Eutrophication potential (ktPO</w:t>
            </w:r>
            <w:r w:rsidRPr="00292287">
              <w:rPr>
                <w:rFonts w:ascii="Arial" w:hAnsi="Arial" w:cs="Arial"/>
                <w:b/>
                <w:bCs/>
                <w:color w:val="000000"/>
                <w:sz w:val="18"/>
                <w:szCs w:val="18"/>
                <w:vertAlign w:val="subscript"/>
              </w:rPr>
              <w:t>4</w:t>
            </w:r>
            <w:r w:rsidRPr="00292287">
              <w:rPr>
                <w:rFonts w:ascii="Arial" w:hAnsi="Arial" w:cs="Arial"/>
                <w:b/>
                <w:bCs/>
                <w:color w:val="000000"/>
                <w:sz w:val="18"/>
                <w:szCs w:val="18"/>
                <w:vertAlign w:val="superscript"/>
              </w:rPr>
              <w:t>3-</w:t>
            </w:r>
            <w:r w:rsidRPr="00292287">
              <w:rPr>
                <w:rFonts w:ascii="Arial" w:hAnsi="Arial" w:cs="Arial"/>
                <w:b/>
                <w:bCs/>
                <w:color w:val="000000"/>
                <w:sz w:val="18"/>
                <w:szCs w:val="18"/>
              </w:rPr>
              <w:t>eq)</w:t>
            </w:r>
          </w:p>
        </w:tc>
      </w:tr>
      <w:tr w:rsidR="00752705" w:rsidRPr="00292287" w14:paraId="564E57D2" w14:textId="77777777" w:rsidTr="00292287">
        <w:trPr>
          <w:trHeight w:val="320"/>
        </w:trPr>
        <w:tc>
          <w:tcPr>
            <w:tcW w:w="1634" w:type="dxa"/>
            <w:tcBorders>
              <w:top w:val="nil"/>
              <w:left w:val="nil"/>
              <w:bottom w:val="nil"/>
              <w:right w:val="nil"/>
            </w:tcBorders>
            <w:shd w:val="clear" w:color="000000" w:fill="FFFFFF"/>
            <w:noWrap/>
            <w:vAlign w:val="bottom"/>
            <w:hideMark/>
          </w:tcPr>
          <w:p w14:paraId="242CC442"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wheat</w:t>
            </w:r>
          </w:p>
        </w:tc>
        <w:tc>
          <w:tcPr>
            <w:tcW w:w="1780" w:type="dxa"/>
            <w:tcBorders>
              <w:top w:val="nil"/>
              <w:left w:val="nil"/>
              <w:bottom w:val="nil"/>
              <w:right w:val="nil"/>
            </w:tcBorders>
            <w:shd w:val="clear" w:color="000000" w:fill="FFFFFF"/>
            <w:noWrap/>
            <w:vAlign w:val="bottom"/>
            <w:hideMark/>
          </w:tcPr>
          <w:p w14:paraId="6471E9A6"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1.19</w:t>
            </w:r>
          </w:p>
        </w:tc>
        <w:tc>
          <w:tcPr>
            <w:tcW w:w="1780" w:type="dxa"/>
            <w:tcBorders>
              <w:top w:val="nil"/>
              <w:left w:val="nil"/>
              <w:bottom w:val="nil"/>
              <w:right w:val="nil"/>
            </w:tcBorders>
            <w:shd w:val="clear" w:color="000000" w:fill="FFFFFF"/>
            <w:noWrap/>
            <w:vAlign w:val="bottom"/>
            <w:hideMark/>
          </w:tcPr>
          <w:p w14:paraId="011D75B4"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2.54</w:t>
            </w:r>
          </w:p>
        </w:tc>
        <w:tc>
          <w:tcPr>
            <w:tcW w:w="1780" w:type="dxa"/>
            <w:tcBorders>
              <w:top w:val="nil"/>
              <w:left w:val="nil"/>
              <w:bottom w:val="nil"/>
              <w:right w:val="nil"/>
            </w:tcBorders>
            <w:shd w:val="clear" w:color="000000" w:fill="FFFFFF"/>
            <w:noWrap/>
            <w:vAlign w:val="bottom"/>
            <w:hideMark/>
          </w:tcPr>
          <w:p w14:paraId="6239192F"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585.96</w:t>
            </w:r>
          </w:p>
        </w:tc>
        <w:tc>
          <w:tcPr>
            <w:tcW w:w="1780" w:type="dxa"/>
            <w:tcBorders>
              <w:top w:val="nil"/>
              <w:left w:val="nil"/>
              <w:bottom w:val="nil"/>
              <w:right w:val="nil"/>
            </w:tcBorders>
            <w:shd w:val="clear" w:color="000000" w:fill="FFFFFF"/>
            <w:noWrap/>
            <w:vAlign w:val="bottom"/>
            <w:hideMark/>
          </w:tcPr>
          <w:p w14:paraId="43881304"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5.04</w:t>
            </w:r>
          </w:p>
        </w:tc>
      </w:tr>
      <w:tr w:rsidR="00752705" w:rsidRPr="00292287" w14:paraId="1221047A" w14:textId="77777777" w:rsidTr="00292287">
        <w:trPr>
          <w:trHeight w:val="320"/>
        </w:trPr>
        <w:tc>
          <w:tcPr>
            <w:tcW w:w="1634" w:type="dxa"/>
            <w:tcBorders>
              <w:top w:val="nil"/>
              <w:left w:val="nil"/>
              <w:bottom w:val="nil"/>
              <w:right w:val="nil"/>
            </w:tcBorders>
            <w:shd w:val="clear" w:color="000000" w:fill="FFFFFF"/>
            <w:noWrap/>
            <w:vAlign w:val="bottom"/>
            <w:hideMark/>
          </w:tcPr>
          <w:p w14:paraId="168BE530"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rice</w:t>
            </w:r>
          </w:p>
        </w:tc>
        <w:tc>
          <w:tcPr>
            <w:tcW w:w="1780" w:type="dxa"/>
            <w:tcBorders>
              <w:top w:val="nil"/>
              <w:left w:val="nil"/>
              <w:bottom w:val="nil"/>
              <w:right w:val="nil"/>
            </w:tcBorders>
            <w:shd w:val="clear" w:color="000000" w:fill="FFFFFF"/>
            <w:noWrap/>
            <w:vAlign w:val="bottom"/>
            <w:hideMark/>
          </w:tcPr>
          <w:p w14:paraId="0FE42A5F"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3.39</w:t>
            </w:r>
          </w:p>
        </w:tc>
        <w:tc>
          <w:tcPr>
            <w:tcW w:w="1780" w:type="dxa"/>
            <w:tcBorders>
              <w:top w:val="nil"/>
              <w:left w:val="nil"/>
              <w:bottom w:val="nil"/>
              <w:right w:val="nil"/>
            </w:tcBorders>
            <w:shd w:val="clear" w:color="000000" w:fill="FFFFFF"/>
            <w:noWrap/>
            <w:vAlign w:val="bottom"/>
            <w:hideMark/>
          </w:tcPr>
          <w:p w14:paraId="3F3A4060"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1.94</w:t>
            </w:r>
          </w:p>
        </w:tc>
        <w:tc>
          <w:tcPr>
            <w:tcW w:w="1780" w:type="dxa"/>
            <w:tcBorders>
              <w:top w:val="nil"/>
              <w:left w:val="nil"/>
              <w:bottom w:val="nil"/>
              <w:right w:val="nil"/>
            </w:tcBorders>
            <w:shd w:val="clear" w:color="000000" w:fill="FFFFFF"/>
            <w:noWrap/>
            <w:vAlign w:val="bottom"/>
            <w:hideMark/>
          </w:tcPr>
          <w:p w14:paraId="38C46FC1"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2070.04</w:t>
            </w:r>
          </w:p>
        </w:tc>
        <w:tc>
          <w:tcPr>
            <w:tcW w:w="1780" w:type="dxa"/>
            <w:tcBorders>
              <w:top w:val="nil"/>
              <w:left w:val="nil"/>
              <w:bottom w:val="nil"/>
              <w:right w:val="nil"/>
            </w:tcBorders>
            <w:shd w:val="clear" w:color="000000" w:fill="FFFFFF"/>
            <w:noWrap/>
            <w:vAlign w:val="bottom"/>
            <w:hideMark/>
          </w:tcPr>
          <w:p w14:paraId="63000086"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8.85</w:t>
            </w:r>
          </w:p>
        </w:tc>
      </w:tr>
      <w:tr w:rsidR="00752705" w:rsidRPr="00292287" w14:paraId="78AF507D" w14:textId="77777777" w:rsidTr="00292287">
        <w:trPr>
          <w:trHeight w:val="320"/>
        </w:trPr>
        <w:tc>
          <w:tcPr>
            <w:tcW w:w="1634" w:type="dxa"/>
            <w:tcBorders>
              <w:top w:val="nil"/>
              <w:left w:val="nil"/>
              <w:bottom w:val="nil"/>
              <w:right w:val="nil"/>
            </w:tcBorders>
            <w:shd w:val="clear" w:color="000000" w:fill="FFFFFF"/>
            <w:noWrap/>
            <w:vAlign w:val="bottom"/>
            <w:hideMark/>
          </w:tcPr>
          <w:p w14:paraId="17B57019"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maize</w:t>
            </w:r>
          </w:p>
        </w:tc>
        <w:tc>
          <w:tcPr>
            <w:tcW w:w="1780" w:type="dxa"/>
            <w:tcBorders>
              <w:top w:val="nil"/>
              <w:left w:val="nil"/>
              <w:bottom w:val="nil"/>
              <w:right w:val="nil"/>
            </w:tcBorders>
            <w:shd w:val="clear" w:color="000000" w:fill="FFFFFF"/>
            <w:noWrap/>
            <w:vAlign w:val="bottom"/>
            <w:hideMark/>
          </w:tcPr>
          <w:p w14:paraId="269A3644"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0.72</w:t>
            </w:r>
          </w:p>
        </w:tc>
        <w:tc>
          <w:tcPr>
            <w:tcW w:w="1780" w:type="dxa"/>
            <w:tcBorders>
              <w:top w:val="nil"/>
              <w:left w:val="nil"/>
              <w:bottom w:val="nil"/>
              <w:right w:val="nil"/>
            </w:tcBorders>
            <w:shd w:val="clear" w:color="000000" w:fill="FFFFFF"/>
            <w:noWrap/>
            <w:vAlign w:val="bottom"/>
            <w:hideMark/>
          </w:tcPr>
          <w:p w14:paraId="0520979D"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1.08</w:t>
            </w:r>
          </w:p>
        </w:tc>
        <w:tc>
          <w:tcPr>
            <w:tcW w:w="1780" w:type="dxa"/>
            <w:tcBorders>
              <w:top w:val="nil"/>
              <w:left w:val="nil"/>
              <w:bottom w:val="nil"/>
              <w:right w:val="nil"/>
            </w:tcBorders>
            <w:shd w:val="clear" w:color="000000" w:fill="FFFFFF"/>
            <w:noWrap/>
            <w:vAlign w:val="bottom"/>
            <w:hideMark/>
          </w:tcPr>
          <w:p w14:paraId="4E650B65"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125.33</w:t>
            </w:r>
          </w:p>
        </w:tc>
        <w:tc>
          <w:tcPr>
            <w:tcW w:w="1780" w:type="dxa"/>
            <w:tcBorders>
              <w:top w:val="nil"/>
              <w:left w:val="nil"/>
              <w:bottom w:val="nil"/>
              <w:right w:val="nil"/>
            </w:tcBorders>
            <w:shd w:val="clear" w:color="000000" w:fill="FFFFFF"/>
            <w:noWrap/>
            <w:vAlign w:val="bottom"/>
            <w:hideMark/>
          </w:tcPr>
          <w:p w14:paraId="157305B9"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1.45</w:t>
            </w:r>
          </w:p>
        </w:tc>
      </w:tr>
      <w:tr w:rsidR="00752705" w:rsidRPr="00292287" w14:paraId="0E3ECCAE" w14:textId="77777777" w:rsidTr="00292287">
        <w:trPr>
          <w:trHeight w:val="320"/>
        </w:trPr>
        <w:tc>
          <w:tcPr>
            <w:tcW w:w="1634" w:type="dxa"/>
            <w:tcBorders>
              <w:top w:val="nil"/>
              <w:left w:val="nil"/>
              <w:bottom w:val="nil"/>
              <w:right w:val="nil"/>
            </w:tcBorders>
            <w:shd w:val="clear" w:color="000000" w:fill="FFFFFF"/>
            <w:noWrap/>
            <w:vAlign w:val="bottom"/>
            <w:hideMark/>
          </w:tcPr>
          <w:p w14:paraId="78AFB3C8"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other grains</w:t>
            </w:r>
          </w:p>
        </w:tc>
        <w:tc>
          <w:tcPr>
            <w:tcW w:w="1780" w:type="dxa"/>
            <w:tcBorders>
              <w:top w:val="nil"/>
              <w:left w:val="nil"/>
              <w:bottom w:val="nil"/>
              <w:right w:val="nil"/>
            </w:tcBorders>
            <w:shd w:val="clear" w:color="000000" w:fill="FFFFFF"/>
            <w:noWrap/>
            <w:vAlign w:val="bottom"/>
            <w:hideMark/>
          </w:tcPr>
          <w:p w14:paraId="079100E9"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1.00</w:t>
            </w:r>
          </w:p>
        </w:tc>
        <w:tc>
          <w:tcPr>
            <w:tcW w:w="1780" w:type="dxa"/>
            <w:tcBorders>
              <w:top w:val="nil"/>
              <w:left w:val="nil"/>
              <w:bottom w:val="nil"/>
              <w:right w:val="nil"/>
            </w:tcBorders>
            <w:shd w:val="clear" w:color="000000" w:fill="FFFFFF"/>
            <w:noWrap/>
            <w:vAlign w:val="bottom"/>
            <w:hideMark/>
          </w:tcPr>
          <w:p w14:paraId="60DCAADB"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2.01</w:t>
            </w:r>
          </w:p>
        </w:tc>
        <w:tc>
          <w:tcPr>
            <w:tcW w:w="1780" w:type="dxa"/>
            <w:tcBorders>
              <w:top w:val="nil"/>
              <w:left w:val="nil"/>
              <w:bottom w:val="nil"/>
              <w:right w:val="nil"/>
            </w:tcBorders>
            <w:shd w:val="clear" w:color="000000" w:fill="FFFFFF"/>
            <w:noWrap/>
            <w:vAlign w:val="bottom"/>
            <w:hideMark/>
          </w:tcPr>
          <w:p w14:paraId="0C9386F4"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353.03</w:t>
            </w:r>
          </w:p>
        </w:tc>
        <w:tc>
          <w:tcPr>
            <w:tcW w:w="1780" w:type="dxa"/>
            <w:tcBorders>
              <w:top w:val="nil"/>
              <w:left w:val="nil"/>
              <w:bottom w:val="nil"/>
              <w:right w:val="nil"/>
            </w:tcBorders>
            <w:shd w:val="clear" w:color="000000" w:fill="FFFFFF"/>
            <w:noWrap/>
            <w:vAlign w:val="bottom"/>
            <w:hideMark/>
          </w:tcPr>
          <w:p w14:paraId="12ACE7A1"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3.45</w:t>
            </w:r>
          </w:p>
        </w:tc>
      </w:tr>
      <w:tr w:rsidR="00752705" w:rsidRPr="00292287" w14:paraId="7F8E0464" w14:textId="77777777" w:rsidTr="00292287">
        <w:trPr>
          <w:trHeight w:val="320"/>
        </w:trPr>
        <w:tc>
          <w:tcPr>
            <w:tcW w:w="1634" w:type="dxa"/>
            <w:tcBorders>
              <w:top w:val="nil"/>
              <w:left w:val="nil"/>
              <w:bottom w:val="nil"/>
              <w:right w:val="nil"/>
            </w:tcBorders>
            <w:shd w:val="clear" w:color="000000" w:fill="FFFFFF"/>
            <w:noWrap/>
            <w:vAlign w:val="bottom"/>
            <w:hideMark/>
          </w:tcPr>
          <w:p w14:paraId="1A3EE3BD"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roots</w:t>
            </w:r>
          </w:p>
        </w:tc>
        <w:tc>
          <w:tcPr>
            <w:tcW w:w="1780" w:type="dxa"/>
            <w:tcBorders>
              <w:top w:val="nil"/>
              <w:left w:val="nil"/>
              <w:bottom w:val="nil"/>
              <w:right w:val="nil"/>
            </w:tcBorders>
            <w:shd w:val="clear" w:color="000000" w:fill="FFFFFF"/>
            <w:noWrap/>
            <w:vAlign w:val="bottom"/>
            <w:hideMark/>
          </w:tcPr>
          <w:p w14:paraId="79B389CC"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0.55</w:t>
            </w:r>
          </w:p>
        </w:tc>
        <w:tc>
          <w:tcPr>
            <w:tcW w:w="1780" w:type="dxa"/>
            <w:tcBorders>
              <w:top w:val="nil"/>
              <w:left w:val="nil"/>
              <w:bottom w:val="nil"/>
              <w:right w:val="nil"/>
            </w:tcBorders>
            <w:shd w:val="clear" w:color="000000" w:fill="FFFFFF"/>
            <w:noWrap/>
            <w:vAlign w:val="bottom"/>
            <w:hideMark/>
          </w:tcPr>
          <w:p w14:paraId="77BA4387"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0.79</w:t>
            </w:r>
          </w:p>
        </w:tc>
        <w:tc>
          <w:tcPr>
            <w:tcW w:w="1780" w:type="dxa"/>
            <w:tcBorders>
              <w:top w:val="nil"/>
              <w:left w:val="nil"/>
              <w:bottom w:val="nil"/>
              <w:right w:val="nil"/>
            </w:tcBorders>
            <w:shd w:val="clear" w:color="000000" w:fill="FFFFFF"/>
            <w:noWrap/>
            <w:vAlign w:val="bottom"/>
            <w:hideMark/>
          </w:tcPr>
          <w:p w14:paraId="3FBD8BF4"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31.48</w:t>
            </w:r>
          </w:p>
        </w:tc>
        <w:tc>
          <w:tcPr>
            <w:tcW w:w="1780" w:type="dxa"/>
            <w:tcBorders>
              <w:top w:val="nil"/>
              <w:left w:val="nil"/>
              <w:bottom w:val="nil"/>
              <w:right w:val="nil"/>
            </w:tcBorders>
            <w:shd w:val="clear" w:color="000000" w:fill="FFFFFF"/>
            <w:noWrap/>
            <w:vAlign w:val="bottom"/>
            <w:hideMark/>
          </w:tcPr>
          <w:p w14:paraId="65AED77F"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2.63</w:t>
            </w:r>
          </w:p>
        </w:tc>
      </w:tr>
      <w:tr w:rsidR="00752705" w:rsidRPr="00292287" w14:paraId="43C50352" w14:textId="77777777" w:rsidTr="00292287">
        <w:trPr>
          <w:trHeight w:val="320"/>
        </w:trPr>
        <w:tc>
          <w:tcPr>
            <w:tcW w:w="1634" w:type="dxa"/>
            <w:tcBorders>
              <w:top w:val="nil"/>
              <w:left w:val="nil"/>
              <w:bottom w:val="nil"/>
              <w:right w:val="nil"/>
            </w:tcBorders>
            <w:shd w:val="clear" w:color="000000" w:fill="FFFFFF"/>
            <w:noWrap/>
            <w:vAlign w:val="bottom"/>
            <w:hideMark/>
          </w:tcPr>
          <w:p w14:paraId="064B67B1"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vegetables</w:t>
            </w:r>
          </w:p>
        </w:tc>
        <w:tc>
          <w:tcPr>
            <w:tcW w:w="1780" w:type="dxa"/>
            <w:tcBorders>
              <w:top w:val="nil"/>
              <w:left w:val="nil"/>
              <w:bottom w:val="nil"/>
              <w:right w:val="nil"/>
            </w:tcBorders>
            <w:shd w:val="clear" w:color="000000" w:fill="FFFFFF"/>
            <w:noWrap/>
            <w:vAlign w:val="bottom"/>
            <w:hideMark/>
          </w:tcPr>
          <w:p w14:paraId="15D5B26B"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0.42</w:t>
            </w:r>
          </w:p>
        </w:tc>
        <w:tc>
          <w:tcPr>
            <w:tcW w:w="1780" w:type="dxa"/>
            <w:tcBorders>
              <w:top w:val="nil"/>
              <w:left w:val="nil"/>
              <w:bottom w:val="nil"/>
              <w:right w:val="nil"/>
            </w:tcBorders>
            <w:shd w:val="clear" w:color="000000" w:fill="FFFFFF"/>
            <w:noWrap/>
            <w:vAlign w:val="bottom"/>
            <w:hideMark/>
          </w:tcPr>
          <w:p w14:paraId="422A606D"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0.19</w:t>
            </w:r>
          </w:p>
        </w:tc>
        <w:tc>
          <w:tcPr>
            <w:tcW w:w="1780" w:type="dxa"/>
            <w:tcBorders>
              <w:top w:val="nil"/>
              <w:left w:val="nil"/>
              <w:bottom w:val="nil"/>
              <w:right w:val="nil"/>
            </w:tcBorders>
            <w:shd w:val="clear" w:color="000000" w:fill="FFFFFF"/>
            <w:noWrap/>
            <w:vAlign w:val="bottom"/>
            <w:hideMark/>
          </w:tcPr>
          <w:p w14:paraId="6EC22038"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107.92</w:t>
            </w:r>
          </w:p>
        </w:tc>
        <w:tc>
          <w:tcPr>
            <w:tcW w:w="1780" w:type="dxa"/>
            <w:tcBorders>
              <w:top w:val="nil"/>
              <w:left w:val="nil"/>
              <w:bottom w:val="nil"/>
              <w:right w:val="nil"/>
            </w:tcBorders>
            <w:shd w:val="clear" w:color="000000" w:fill="FFFFFF"/>
            <w:noWrap/>
            <w:vAlign w:val="bottom"/>
            <w:hideMark/>
          </w:tcPr>
          <w:p w14:paraId="285AF064"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1.92</w:t>
            </w:r>
          </w:p>
        </w:tc>
      </w:tr>
      <w:tr w:rsidR="00752705" w:rsidRPr="00292287" w14:paraId="15A25CC8" w14:textId="77777777" w:rsidTr="00292287">
        <w:trPr>
          <w:trHeight w:val="320"/>
        </w:trPr>
        <w:tc>
          <w:tcPr>
            <w:tcW w:w="1634" w:type="dxa"/>
            <w:tcBorders>
              <w:top w:val="nil"/>
              <w:left w:val="nil"/>
              <w:bottom w:val="nil"/>
              <w:right w:val="nil"/>
            </w:tcBorders>
            <w:shd w:val="clear" w:color="000000" w:fill="FFFFFF"/>
            <w:noWrap/>
            <w:vAlign w:val="bottom"/>
            <w:hideMark/>
          </w:tcPr>
          <w:p w14:paraId="781D3634"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fruits (tropical)</w:t>
            </w:r>
          </w:p>
        </w:tc>
        <w:tc>
          <w:tcPr>
            <w:tcW w:w="1780" w:type="dxa"/>
            <w:tcBorders>
              <w:top w:val="nil"/>
              <w:left w:val="nil"/>
              <w:bottom w:val="nil"/>
              <w:right w:val="nil"/>
            </w:tcBorders>
            <w:shd w:val="clear" w:color="000000" w:fill="FFFFFF"/>
            <w:noWrap/>
            <w:vAlign w:val="bottom"/>
            <w:hideMark/>
          </w:tcPr>
          <w:p w14:paraId="13B56BCB"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0.51</w:t>
            </w:r>
          </w:p>
        </w:tc>
        <w:tc>
          <w:tcPr>
            <w:tcW w:w="1780" w:type="dxa"/>
            <w:tcBorders>
              <w:top w:val="nil"/>
              <w:left w:val="nil"/>
              <w:bottom w:val="nil"/>
              <w:right w:val="nil"/>
            </w:tcBorders>
            <w:shd w:val="clear" w:color="000000" w:fill="FFFFFF"/>
            <w:noWrap/>
            <w:vAlign w:val="bottom"/>
            <w:hideMark/>
          </w:tcPr>
          <w:p w14:paraId="31F50AD0"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0.64</w:t>
            </w:r>
          </w:p>
        </w:tc>
        <w:tc>
          <w:tcPr>
            <w:tcW w:w="1780" w:type="dxa"/>
            <w:tcBorders>
              <w:top w:val="nil"/>
              <w:left w:val="nil"/>
              <w:bottom w:val="nil"/>
              <w:right w:val="nil"/>
            </w:tcBorders>
            <w:shd w:val="clear" w:color="000000" w:fill="FFFFFF"/>
            <w:noWrap/>
            <w:vAlign w:val="bottom"/>
            <w:hideMark/>
          </w:tcPr>
          <w:p w14:paraId="20AC8CA8"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108.30</w:t>
            </w:r>
          </w:p>
        </w:tc>
        <w:tc>
          <w:tcPr>
            <w:tcW w:w="1780" w:type="dxa"/>
            <w:tcBorders>
              <w:top w:val="nil"/>
              <w:left w:val="nil"/>
              <w:bottom w:val="nil"/>
              <w:right w:val="nil"/>
            </w:tcBorders>
            <w:shd w:val="clear" w:color="000000" w:fill="FFFFFF"/>
            <w:noWrap/>
            <w:vAlign w:val="bottom"/>
            <w:hideMark/>
          </w:tcPr>
          <w:p w14:paraId="169CBA43"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1.48</w:t>
            </w:r>
          </w:p>
        </w:tc>
      </w:tr>
      <w:tr w:rsidR="00752705" w:rsidRPr="00292287" w14:paraId="5A217E60" w14:textId="77777777" w:rsidTr="00292287">
        <w:trPr>
          <w:trHeight w:val="320"/>
        </w:trPr>
        <w:tc>
          <w:tcPr>
            <w:tcW w:w="1634" w:type="dxa"/>
            <w:tcBorders>
              <w:top w:val="nil"/>
              <w:left w:val="nil"/>
              <w:bottom w:val="nil"/>
              <w:right w:val="nil"/>
            </w:tcBorders>
            <w:shd w:val="clear" w:color="000000" w:fill="FFFFFF"/>
            <w:noWrap/>
            <w:vAlign w:val="bottom"/>
            <w:hideMark/>
          </w:tcPr>
          <w:p w14:paraId="10CE203A"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fruits (temperate)</w:t>
            </w:r>
          </w:p>
        </w:tc>
        <w:tc>
          <w:tcPr>
            <w:tcW w:w="1780" w:type="dxa"/>
            <w:tcBorders>
              <w:top w:val="nil"/>
              <w:left w:val="nil"/>
              <w:bottom w:val="nil"/>
              <w:right w:val="nil"/>
            </w:tcBorders>
            <w:shd w:val="clear" w:color="000000" w:fill="FFFFFF"/>
            <w:noWrap/>
            <w:vAlign w:val="bottom"/>
            <w:hideMark/>
          </w:tcPr>
          <w:p w14:paraId="4EB7140E"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0.61</w:t>
            </w:r>
          </w:p>
        </w:tc>
        <w:tc>
          <w:tcPr>
            <w:tcW w:w="1780" w:type="dxa"/>
            <w:tcBorders>
              <w:top w:val="nil"/>
              <w:left w:val="nil"/>
              <w:bottom w:val="nil"/>
              <w:right w:val="nil"/>
            </w:tcBorders>
            <w:shd w:val="clear" w:color="000000" w:fill="FFFFFF"/>
            <w:noWrap/>
            <w:vAlign w:val="bottom"/>
            <w:hideMark/>
          </w:tcPr>
          <w:p w14:paraId="608945C2"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0.75</w:t>
            </w:r>
          </w:p>
        </w:tc>
        <w:tc>
          <w:tcPr>
            <w:tcW w:w="1780" w:type="dxa"/>
            <w:tcBorders>
              <w:top w:val="nil"/>
              <w:left w:val="nil"/>
              <w:bottom w:val="nil"/>
              <w:right w:val="nil"/>
            </w:tcBorders>
            <w:shd w:val="clear" w:color="000000" w:fill="FFFFFF"/>
            <w:noWrap/>
            <w:vAlign w:val="bottom"/>
            <w:hideMark/>
          </w:tcPr>
          <w:p w14:paraId="0D461A2B"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149.80</w:t>
            </w:r>
          </w:p>
        </w:tc>
        <w:tc>
          <w:tcPr>
            <w:tcW w:w="1780" w:type="dxa"/>
            <w:tcBorders>
              <w:top w:val="nil"/>
              <w:left w:val="nil"/>
              <w:bottom w:val="nil"/>
              <w:right w:val="nil"/>
            </w:tcBorders>
            <w:shd w:val="clear" w:color="000000" w:fill="FFFFFF"/>
            <w:noWrap/>
            <w:vAlign w:val="bottom"/>
            <w:hideMark/>
          </w:tcPr>
          <w:p w14:paraId="55668C4E"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1.54</w:t>
            </w:r>
          </w:p>
        </w:tc>
      </w:tr>
      <w:tr w:rsidR="00752705" w:rsidRPr="00292287" w14:paraId="5C1C7CD3" w14:textId="77777777" w:rsidTr="00292287">
        <w:trPr>
          <w:trHeight w:val="320"/>
        </w:trPr>
        <w:tc>
          <w:tcPr>
            <w:tcW w:w="1634" w:type="dxa"/>
            <w:tcBorders>
              <w:top w:val="nil"/>
              <w:left w:val="nil"/>
              <w:bottom w:val="nil"/>
              <w:right w:val="nil"/>
            </w:tcBorders>
            <w:shd w:val="clear" w:color="000000" w:fill="FFFFFF"/>
            <w:noWrap/>
            <w:vAlign w:val="bottom"/>
            <w:hideMark/>
          </w:tcPr>
          <w:p w14:paraId="51FA143F"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fruits (starchy)</w:t>
            </w:r>
          </w:p>
        </w:tc>
        <w:tc>
          <w:tcPr>
            <w:tcW w:w="1780" w:type="dxa"/>
            <w:tcBorders>
              <w:top w:val="nil"/>
              <w:left w:val="nil"/>
              <w:bottom w:val="nil"/>
              <w:right w:val="nil"/>
            </w:tcBorders>
            <w:shd w:val="clear" w:color="000000" w:fill="FFFFFF"/>
            <w:noWrap/>
            <w:vAlign w:val="bottom"/>
            <w:hideMark/>
          </w:tcPr>
          <w:p w14:paraId="01E799E5"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0.72</w:t>
            </w:r>
          </w:p>
        </w:tc>
        <w:tc>
          <w:tcPr>
            <w:tcW w:w="1780" w:type="dxa"/>
            <w:tcBorders>
              <w:top w:val="nil"/>
              <w:left w:val="nil"/>
              <w:bottom w:val="nil"/>
              <w:right w:val="nil"/>
            </w:tcBorders>
            <w:shd w:val="clear" w:color="000000" w:fill="FFFFFF"/>
            <w:noWrap/>
            <w:vAlign w:val="bottom"/>
            <w:hideMark/>
          </w:tcPr>
          <w:p w14:paraId="2D0793F9"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0.87</w:t>
            </w:r>
          </w:p>
        </w:tc>
        <w:tc>
          <w:tcPr>
            <w:tcW w:w="1780" w:type="dxa"/>
            <w:tcBorders>
              <w:top w:val="nil"/>
              <w:left w:val="nil"/>
              <w:bottom w:val="nil"/>
              <w:right w:val="nil"/>
            </w:tcBorders>
            <w:shd w:val="clear" w:color="000000" w:fill="FFFFFF"/>
            <w:noWrap/>
            <w:vAlign w:val="bottom"/>
            <w:hideMark/>
          </w:tcPr>
          <w:p w14:paraId="16C490A0"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100.26</w:t>
            </w:r>
          </w:p>
        </w:tc>
        <w:tc>
          <w:tcPr>
            <w:tcW w:w="1780" w:type="dxa"/>
            <w:tcBorders>
              <w:top w:val="nil"/>
              <w:left w:val="nil"/>
              <w:bottom w:val="nil"/>
              <w:right w:val="nil"/>
            </w:tcBorders>
            <w:shd w:val="clear" w:color="000000" w:fill="FFFFFF"/>
            <w:noWrap/>
            <w:vAlign w:val="bottom"/>
            <w:hideMark/>
          </w:tcPr>
          <w:p w14:paraId="0DED1A74"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2.09</w:t>
            </w:r>
          </w:p>
        </w:tc>
      </w:tr>
      <w:tr w:rsidR="00752705" w:rsidRPr="00292287" w14:paraId="7A36906E" w14:textId="77777777" w:rsidTr="00292287">
        <w:trPr>
          <w:trHeight w:val="320"/>
        </w:trPr>
        <w:tc>
          <w:tcPr>
            <w:tcW w:w="1634" w:type="dxa"/>
            <w:tcBorders>
              <w:top w:val="nil"/>
              <w:left w:val="nil"/>
              <w:bottom w:val="nil"/>
              <w:right w:val="nil"/>
            </w:tcBorders>
            <w:shd w:val="clear" w:color="000000" w:fill="FFFFFF"/>
            <w:noWrap/>
            <w:vAlign w:val="bottom"/>
            <w:hideMark/>
          </w:tcPr>
          <w:p w14:paraId="4BED9CB1"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legumes</w:t>
            </w:r>
          </w:p>
        </w:tc>
        <w:tc>
          <w:tcPr>
            <w:tcW w:w="1780" w:type="dxa"/>
            <w:tcBorders>
              <w:top w:val="nil"/>
              <w:left w:val="nil"/>
              <w:bottom w:val="nil"/>
              <w:right w:val="nil"/>
            </w:tcBorders>
            <w:shd w:val="clear" w:color="000000" w:fill="FFFFFF"/>
            <w:noWrap/>
            <w:vAlign w:val="bottom"/>
            <w:hideMark/>
          </w:tcPr>
          <w:p w14:paraId="75A11DAC"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1.26</w:t>
            </w:r>
          </w:p>
        </w:tc>
        <w:tc>
          <w:tcPr>
            <w:tcW w:w="1780" w:type="dxa"/>
            <w:tcBorders>
              <w:top w:val="nil"/>
              <w:left w:val="nil"/>
              <w:bottom w:val="nil"/>
              <w:right w:val="nil"/>
            </w:tcBorders>
            <w:shd w:val="clear" w:color="000000" w:fill="FFFFFF"/>
            <w:noWrap/>
            <w:vAlign w:val="bottom"/>
            <w:hideMark/>
          </w:tcPr>
          <w:p w14:paraId="40FC347D"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10.58</w:t>
            </w:r>
          </w:p>
        </w:tc>
        <w:tc>
          <w:tcPr>
            <w:tcW w:w="1780" w:type="dxa"/>
            <w:tcBorders>
              <w:top w:val="nil"/>
              <w:left w:val="nil"/>
              <w:bottom w:val="nil"/>
              <w:right w:val="nil"/>
            </w:tcBorders>
            <w:shd w:val="clear" w:color="000000" w:fill="FFFFFF"/>
            <w:noWrap/>
            <w:vAlign w:val="bottom"/>
            <w:hideMark/>
          </w:tcPr>
          <w:p w14:paraId="2676738E"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375.39</w:t>
            </w:r>
          </w:p>
        </w:tc>
        <w:tc>
          <w:tcPr>
            <w:tcW w:w="1780" w:type="dxa"/>
            <w:tcBorders>
              <w:top w:val="nil"/>
              <w:left w:val="nil"/>
              <w:bottom w:val="nil"/>
              <w:right w:val="nil"/>
            </w:tcBorders>
            <w:shd w:val="clear" w:color="000000" w:fill="FFFFFF"/>
            <w:noWrap/>
            <w:vAlign w:val="bottom"/>
            <w:hideMark/>
          </w:tcPr>
          <w:p w14:paraId="293BE7C1"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11.14</w:t>
            </w:r>
          </w:p>
        </w:tc>
      </w:tr>
      <w:tr w:rsidR="00752705" w:rsidRPr="00292287" w14:paraId="43F94556" w14:textId="77777777" w:rsidTr="00292287">
        <w:trPr>
          <w:trHeight w:val="320"/>
        </w:trPr>
        <w:tc>
          <w:tcPr>
            <w:tcW w:w="1634" w:type="dxa"/>
            <w:tcBorders>
              <w:top w:val="nil"/>
              <w:left w:val="nil"/>
              <w:bottom w:val="nil"/>
              <w:right w:val="nil"/>
            </w:tcBorders>
            <w:shd w:val="clear" w:color="000000" w:fill="FFFFFF"/>
            <w:noWrap/>
            <w:vAlign w:val="bottom"/>
            <w:hideMark/>
          </w:tcPr>
          <w:p w14:paraId="1A4FCA71"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soybeans</w:t>
            </w:r>
          </w:p>
        </w:tc>
        <w:tc>
          <w:tcPr>
            <w:tcW w:w="1780" w:type="dxa"/>
            <w:tcBorders>
              <w:top w:val="nil"/>
              <w:left w:val="nil"/>
              <w:bottom w:val="nil"/>
              <w:right w:val="nil"/>
            </w:tcBorders>
            <w:shd w:val="clear" w:color="000000" w:fill="FFFFFF"/>
            <w:noWrap/>
            <w:vAlign w:val="bottom"/>
            <w:hideMark/>
          </w:tcPr>
          <w:p w14:paraId="02161BE9"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1.27</w:t>
            </w:r>
          </w:p>
        </w:tc>
        <w:tc>
          <w:tcPr>
            <w:tcW w:w="1780" w:type="dxa"/>
            <w:tcBorders>
              <w:top w:val="nil"/>
              <w:left w:val="nil"/>
              <w:bottom w:val="nil"/>
              <w:right w:val="nil"/>
            </w:tcBorders>
            <w:shd w:val="clear" w:color="000000" w:fill="FFFFFF"/>
            <w:noWrap/>
            <w:vAlign w:val="bottom"/>
            <w:hideMark/>
          </w:tcPr>
          <w:p w14:paraId="2539585E"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1.19</w:t>
            </w:r>
          </w:p>
        </w:tc>
        <w:tc>
          <w:tcPr>
            <w:tcW w:w="1780" w:type="dxa"/>
            <w:tcBorders>
              <w:top w:val="nil"/>
              <w:left w:val="nil"/>
              <w:bottom w:val="nil"/>
              <w:right w:val="nil"/>
            </w:tcBorders>
            <w:shd w:val="clear" w:color="000000" w:fill="FFFFFF"/>
            <w:noWrap/>
            <w:vAlign w:val="bottom"/>
            <w:hideMark/>
          </w:tcPr>
          <w:p w14:paraId="23FFD3C3"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54.23</w:t>
            </w:r>
          </w:p>
        </w:tc>
        <w:tc>
          <w:tcPr>
            <w:tcW w:w="1780" w:type="dxa"/>
            <w:tcBorders>
              <w:top w:val="nil"/>
              <w:left w:val="nil"/>
              <w:bottom w:val="nil"/>
              <w:right w:val="nil"/>
            </w:tcBorders>
            <w:shd w:val="clear" w:color="000000" w:fill="FFFFFF"/>
            <w:noWrap/>
            <w:vAlign w:val="bottom"/>
            <w:hideMark/>
          </w:tcPr>
          <w:p w14:paraId="286BA081"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2.35</w:t>
            </w:r>
          </w:p>
        </w:tc>
      </w:tr>
      <w:tr w:rsidR="00752705" w:rsidRPr="00292287" w14:paraId="19802485" w14:textId="77777777" w:rsidTr="00292287">
        <w:trPr>
          <w:trHeight w:val="320"/>
        </w:trPr>
        <w:tc>
          <w:tcPr>
            <w:tcW w:w="1634" w:type="dxa"/>
            <w:tcBorders>
              <w:top w:val="nil"/>
              <w:left w:val="nil"/>
              <w:bottom w:val="nil"/>
              <w:right w:val="nil"/>
            </w:tcBorders>
            <w:shd w:val="clear" w:color="000000" w:fill="FFFFFF"/>
            <w:noWrap/>
            <w:vAlign w:val="bottom"/>
            <w:hideMark/>
          </w:tcPr>
          <w:p w14:paraId="4CE5D13A"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nuts</w:t>
            </w:r>
          </w:p>
        </w:tc>
        <w:tc>
          <w:tcPr>
            <w:tcW w:w="1780" w:type="dxa"/>
            <w:tcBorders>
              <w:top w:val="nil"/>
              <w:left w:val="nil"/>
              <w:bottom w:val="nil"/>
              <w:right w:val="nil"/>
            </w:tcBorders>
            <w:shd w:val="clear" w:color="000000" w:fill="FFFFFF"/>
            <w:noWrap/>
            <w:vAlign w:val="bottom"/>
            <w:hideMark/>
          </w:tcPr>
          <w:p w14:paraId="279887DF"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0.60</w:t>
            </w:r>
          </w:p>
        </w:tc>
        <w:tc>
          <w:tcPr>
            <w:tcW w:w="1780" w:type="dxa"/>
            <w:tcBorders>
              <w:top w:val="nil"/>
              <w:left w:val="nil"/>
              <w:bottom w:val="nil"/>
              <w:right w:val="nil"/>
            </w:tcBorders>
            <w:shd w:val="clear" w:color="000000" w:fill="FFFFFF"/>
            <w:noWrap/>
            <w:vAlign w:val="bottom"/>
            <w:hideMark/>
          </w:tcPr>
          <w:p w14:paraId="21A13BC6"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4.91</w:t>
            </w:r>
          </w:p>
        </w:tc>
        <w:tc>
          <w:tcPr>
            <w:tcW w:w="1780" w:type="dxa"/>
            <w:tcBorders>
              <w:top w:val="nil"/>
              <w:left w:val="nil"/>
              <w:bottom w:val="nil"/>
              <w:right w:val="nil"/>
            </w:tcBorders>
            <w:shd w:val="clear" w:color="000000" w:fill="FFFFFF"/>
            <w:noWrap/>
            <w:vAlign w:val="bottom"/>
            <w:hideMark/>
          </w:tcPr>
          <w:p w14:paraId="417ED287"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1797.69</w:t>
            </w:r>
          </w:p>
        </w:tc>
        <w:tc>
          <w:tcPr>
            <w:tcW w:w="1780" w:type="dxa"/>
            <w:tcBorders>
              <w:top w:val="nil"/>
              <w:left w:val="nil"/>
              <w:bottom w:val="nil"/>
              <w:right w:val="nil"/>
            </w:tcBorders>
            <w:shd w:val="clear" w:color="000000" w:fill="FFFFFF"/>
            <w:noWrap/>
            <w:vAlign w:val="bottom"/>
            <w:hideMark/>
          </w:tcPr>
          <w:p w14:paraId="395F5657"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9.34</w:t>
            </w:r>
          </w:p>
        </w:tc>
      </w:tr>
      <w:tr w:rsidR="00752705" w:rsidRPr="00292287" w14:paraId="330FB2B6" w14:textId="77777777" w:rsidTr="00292287">
        <w:trPr>
          <w:trHeight w:val="320"/>
        </w:trPr>
        <w:tc>
          <w:tcPr>
            <w:tcW w:w="1634" w:type="dxa"/>
            <w:tcBorders>
              <w:top w:val="nil"/>
              <w:left w:val="nil"/>
              <w:bottom w:val="nil"/>
              <w:right w:val="nil"/>
            </w:tcBorders>
            <w:shd w:val="clear" w:color="000000" w:fill="FFFFFF"/>
            <w:noWrap/>
            <w:vAlign w:val="bottom"/>
            <w:hideMark/>
          </w:tcPr>
          <w:p w14:paraId="6405BEC8"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seeds</w:t>
            </w:r>
          </w:p>
        </w:tc>
        <w:tc>
          <w:tcPr>
            <w:tcW w:w="1780" w:type="dxa"/>
            <w:tcBorders>
              <w:top w:val="nil"/>
              <w:left w:val="nil"/>
              <w:bottom w:val="nil"/>
              <w:right w:val="nil"/>
            </w:tcBorders>
            <w:shd w:val="clear" w:color="000000" w:fill="FFFFFF"/>
            <w:noWrap/>
            <w:vAlign w:val="bottom"/>
            <w:hideMark/>
          </w:tcPr>
          <w:p w14:paraId="4B74EEE6"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0.95</w:t>
            </w:r>
          </w:p>
        </w:tc>
        <w:tc>
          <w:tcPr>
            <w:tcW w:w="1780" w:type="dxa"/>
            <w:tcBorders>
              <w:top w:val="nil"/>
              <w:left w:val="nil"/>
              <w:bottom w:val="nil"/>
              <w:right w:val="nil"/>
            </w:tcBorders>
            <w:shd w:val="clear" w:color="000000" w:fill="FFFFFF"/>
            <w:noWrap/>
            <w:vAlign w:val="bottom"/>
            <w:hideMark/>
          </w:tcPr>
          <w:p w14:paraId="5FFDCB23"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1.81</w:t>
            </w:r>
          </w:p>
        </w:tc>
        <w:tc>
          <w:tcPr>
            <w:tcW w:w="1780" w:type="dxa"/>
            <w:tcBorders>
              <w:top w:val="nil"/>
              <w:left w:val="nil"/>
              <w:bottom w:val="nil"/>
              <w:right w:val="nil"/>
            </w:tcBorders>
            <w:shd w:val="clear" w:color="000000" w:fill="FFFFFF"/>
            <w:noWrap/>
            <w:vAlign w:val="bottom"/>
            <w:hideMark/>
          </w:tcPr>
          <w:p w14:paraId="2666F8E6"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355.65</w:t>
            </w:r>
          </w:p>
        </w:tc>
        <w:tc>
          <w:tcPr>
            <w:tcW w:w="1780" w:type="dxa"/>
            <w:tcBorders>
              <w:top w:val="nil"/>
              <w:left w:val="nil"/>
              <w:bottom w:val="nil"/>
              <w:right w:val="nil"/>
            </w:tcBorders>
            <w:shd w:val="clear" w:color="000000" w:fill="FFFFFF"/>
            <w:noWrap/>
            <w:vAlign w:val="bottom"/>
            <w:hideMark/>
          </w:tcPr>
          <w:p w14:paraId="57675AB5"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3.25</w:t>
            </w:r>
          </w:p>
        </w:tc>
      </w:tr>
      <w:tr w:rsidR="00752705" w:rsidRPr="00292287" w14:paraId="567198C3" w14:textId="77777777" w:rsidTr="00292287">
        <w:trPr>
          <w:trHeight w:val="320"/>
        </w:trPr>
        <w:tc>
          <w:tcPr>
            <w:tcW w:w="1634" w:type="dxa"/>
            <w:tcBorders>
              <w:top w:val="nil"/>
              <w:left w:val="nil"/>
              <w:bottom w:val="nil"/>
              <w:right w:val="nil"/>
            </w:tcBorders>
            <w:shd w:val="clear" w:color="000000" w:fill="FFFFFF"/>
            <w:noWrap/>
            <w:vAlign w:val="bottom"/>
            <w:hideMark/>
          </w:tcPr>
          <w:p w14:paraId="7C47CB9A"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vegetable oils</w:t>
            </w:r>
          </w:p>
        </w:tc>
        <w:tc>
          <w:tcPr>
            <w:tcW w:w="1780" w:type="dxa"/>
            <w:tcBorders>
              <w:top w:val="nil"/>
              <w:left w:val="nil"/>
              <w:bottom w:val="nil"/>
              <w:right w:val="nil"/>
            </w:tcBorders>
            <w:shd w:val="clear" w:color="000000" w:fill="FFFFFF"/>
            <w:noWrap/>
            <w:vAlign w:val="bottom"/>
            <w:hideMark/>
          </w:tcPr>
          <w:p w14:paraId="695ACAD4"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3.96</w:t>
            </w:r>
          </w:p>
        </w:tc>
        <w:tc>
          <w:tcPr>
            <w:tcW w:w="1780" w:type="dxa"/>
            <w:tcBorders>
              <w:top w:val="nil"/>
              <w:left w:val="nil"/>
              <w:bottom w:val="nil"/>
              <w:right w:val="nil"/>
            </w:tcBorders>
            <w:shd w:val="clear" w:color="000000" w:fill="FFFFFF"/>
            <w:noWrap/>
            <w:vAlign w:val="bottom"/>
            <w:hideMark/>
          </w:tcPr>
          <w:p w14:paraId="5B2418D5"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11.70</w:t>
            </w:r>
          </w:p>
        </w:tc>
        <w:tc>
          <w:tcPr>
            <w:tcW w:w="1780" w:type="dxa"/>
            <w:tcBorders>
              <w:top w:val="nil"/>
              <w:left w:val="nil"/>
              <w:bottom w:val="nil"/>
              <w:right w:val="nil"/>
            </w:tcBorders>
            <w:shd w:val="clear" w:color="000000" w:fill="FFFFFF"/>
            <w:noWrap/>
            <w:vAlign w:val="bottom"/>
            <w:hideMark/>
          </w:tcPr>
          <w:p w14:paraId="12D979D9"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604.89</w:t>
            </w:r>
          </w:p>
        </w:tc>
        <w:tc>
          <w:tcPr>
            <w:tcW w:w="1780" w:type="dxa"/>
            <w:tcBorders>
              <w:top w:val="nil"/>
              <w:left w:val="nil"/>
              <w:bottom w:val="nil"/>
              <w:right w:val="nil"/>
            </w:tcBorders>
            <w:shd w:val="clear" w:color="000000" w:fill="FFFFFF"/>
            <w:noWrap/>
            <w:vAlign w:val="bottom"/>
            <w:hideMark/>
          </w:tcPr>
          <w:p w14:paraId="3C2444D6"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17.56</w:t>
            </w:r>
          </w:p>
        </w:tc>
      </w:tr>
      <w:tr w:rsidR="00752705" w:rsidRPr="00292287" w14:paraId="529D5FBD" w14:textId="77777777" w:rsidTr="00292287">
        <w:trPr>
          <w:trHeight w:val="320"/>
        </w:trPr>
        <w:tc>
          <w:tcPr>
            <w:tcW w:w="1634" w:type="dxa"/>
            <w:tcBorders>
              <w:top w:val="nil"/>
              <w:left w:val="nil"/>
              <w:bottom w:val="nil"/>
              <w:right w:val="nil"/>
            </w:tcBorders>
            <w:shd w:val="clear" w:color="000000" w:fill="FFFFFF"/>
            <w:noWrap/>
            <w:vAlign w:val="bottom"/>
            <w:hideMark/>
          </w:tcPr>
          <w:p w14:paraId="5EFE5491"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palm oil</w:t>
            </w:r>
          </w:p>
        </w:tc>
        <w:tc>
          <w:tcPr>
            <w:tcW w:w="1780" w:type="dxa"/>
            <w:tcBorders>
              <w:top w:val="nil"/>
              <w:left w:val="nil"/>
              <w:bottom w:val="nil"/>
              <w:right w:val="nil"/>
            </w:tcBorders>
            <w:shd w:val="clear" w:color="000000" w:fill="FFFFFF"/>
            <w:noWrap/>
            <w:vAlign w:val="bottom"/>
            <w:hideMark/>
          </w:tcPr>
          <w:p w14:paraId="5DFF35CF"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7.51</w:t>
            </w:r>
          </w:p>
        </w:tc>
        <w:tc>
          <w:tcPr>
            <w:tcW w:w="1780" w:type="dxa"/>
            <w:tcBorders>
              <w:top w:val="nil"/>
              <w:left w:val="nil"/>
              <w:bottom w:val="nil"/>
              <w:right w:val="nil"/>
            </w:tcBorders>
            <w:shd w:val="clear" w:color="000000" w:fill="FFFFFF"/>
            <w:noWrap/>
            <w:vAlign w:val="bottom"/>
            <w:hideMark/>
          </w:tcPr>
          <w:p w14:paraId="22C03F10"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2.42</w:t>
            </w:r>
          </w:p>
        </w:tc>
        <w:tc>
          <w:tcPr>
            <w:tcW w:w="1780" w:type="dxa"/>
            <w:tcBorders>
              <w:top w:val="nil"/>
              <w:left w:val="nil"/>
              <w:bottom w:val="nil"/>
              <w:right w:val="nil"/>
            </w:tcBorders>
            <w:shd w:val="clear" w:color="000000" w:fill="FFFFFF"/>
            <w:noWrap/>
            <w:vAlign w:val="bottom"/>
            <w:hideMark/>
          </w:tcPr>
          <w:p w14:paraId="443FFBC4"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6.58</w:t>
            </w:r>
          </w:p>
        </w:tc>
        <w:tc>
          <w:tcPr>
            <w:tcW w:w="1780" w:type="dxa"/>
            <w:tcBorders>
              <w:top w:val="nil"/>
              <w:left w:val="nil"/>
              <w:bottom w:val="nil"/>
              <w:right w:val="nil"/>
            </w:tcBorders>
            <w:shd w:val="clear" w:color="000000" w:fill="FFFFFF"/>
            <w:noWrap/>
            <w:vAlign w:val="bottom"/>
            <w:hideMark/>
          </w:tcPr>
          <w:p w14:paraId="65AA5575"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10.56</w:t>
            </w:r>
          </w:p>
        </w:tc>
      </w:tr>
      <w:tr w:rsidR="00752705" w:rsidRPr="00292287" w14:paraId="58569674" w14:textId="77777777" w:rsidTr="00292287">
        <w:trPr>
          <w:trHeight w:val="320"/>
        </w:trPr>
        <w:tc>
          <w:tcPr>
            <w:tcW w:w="1634" w:type="dxa"/>
            <w:tcBorders>
              <w:top w:val="nil"/>
              <w:left w:val="nil"/>
              <w:bottom w:val="nil"/>
              <w:right w:val="nil"/>
            </w:tcBorders>
            <w:shd w:val="clear" w:color="000000" w:fill="FFFFFF"/>
            <w:noWrap/>
            <w:vAlign w:val="bottom"/>
            <w:hideMark/>
          </w:tcPr>
          <w:p w14:paraId="7A6EC79F"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sugar</w:t>
            </w:r>
          </w:p>
        </w:tc>
        <w:tc>
          <w:tcPr>
            <w:tcW w:w="1780" w:type="dxa"/>
            <w:tcBorders>
              <w:top w:val="nil"/>
              <w:left w:val="nil"/>
              <w:bottom w:val="nil"/>
              <w:right w:val="nil"/>
            </w:tcBorders>
            <w:shd w:val="clear" w:color="000000" w:fill="FFFFFF"/>
            <w:noWrap/>
            <w:vAlign w:val="bottom"/>
            <w:hideMark/>
          </w:tcPr>
          <w:p w14:paraId="06ED2988"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2.28</w:t>
            </w:r>
          </w:p>
        </w:tc>
        <w:tc>
          <w:tcPr>
            <w:tcW w:w="1780" w:type="dxa"/>
            <w:tcBorders>
              <w:top w:val="nil"/>
              <w:left w:val="nil"/>
              <w:bottom w:val="nil"/>
              <w:right w:val="nil"/>
            </w:tcBorders>
            <w:shd w:val="clear" w:color="000000" w:fill="FFFFFF"/>
            <w:noWrap/>
            <w:vAlign w:val="bottom"/>
            <w:hideMark/>
          </w:tcPr>
          <w:p w14:paraId="535F092B"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1.24</w:t>
            </w:r>
          </w:p>
        </w:tc>
        <w:tc>
          <w:tcPr>
            <w:tcW w:w="1780" w:type="dxa"/>
            <w:tcBorders>
              <w:top w:val="nil"/>
              <w:left w:val="nil"/>
              <w:bottom w:val="nil"/>
              <w:right w:val="nil"/>
            </w:tcBorders>
            <w:shd w:val="clear" w:color="000000" w:fill="FFFFFF"/>
            <w:noWrap/>
            <w:vAlign w:val="bottom"/>
            <w:hideMark/>
          </w:tcPr>
          <w:p w14:paraId="7FEF8A63"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410.71</w:t>
            </w:r>
          </w:p>
        </w:tc>
        <w:tc>
          <w:tcPr>
            <w:tcW w:w="1780" w:type="dxa"/>
            <w:tcBorders>
              <w:top w:val="nil"/>
              <w:left w:val="nil"/>
              <w:bottom w:val="nil"/>
              <w:right w:val="nil"/>
            </w:tcBorders>
            <w:shd w:val="clear" w:color="000000" w:fill="FFFFFF"/>
            <w:noWrap/>
            <w:vAlign w:val="bottom"/>
            <w:hideMark/>
          </w:tcPr>
          <w:p w14:paraId="239CFB04"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7.68</w:t>
            </w:r>
          </w:p>
        </w:tc>
      </w:tr>
      <w:tr w:rsidR="00752705" w:rsidRPr="00292287" w14:paraId="4E51191C" w14:textId="77777777" w:rsidTr="00292287">
        <w:trPr>
          <w:trHeight w:val="320"/>
        </w:trPr>
        <w:tc>
          <w:tcPr>
            <w:tcW w:w="1634" w:type="dxa"/>
            <w:tcBorders>
              <w:top w:val="nil"/>
              <w:left w:val="nil"/>
              <w:bottom w:val="nil"/>
              <w:right w:val="nil"/>
            </w:tcBorders>
            <w:shd w:val="clear" w:color="000000" w:fill="FFFFFF"/>
            <w:noWrap/>
            <w:vAlign w:val="bottom"/>
            <w:hideMark/>
          </w:tcPr>
          <w:p w14:paraId="0CD6BD5B"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beef</w:t>
            </w:r>
          </w:p>
        </w:tc>
        <w:tc>
          <w:tcPr>
            <w:tcW w:w="1780" w:type="dxa"/>
            <w:tcBorders>
              <w:top w:val="nil"/>
              <w:left w:val="nil"/>
              <w:bottom w:val="nil"/>
              <w:right w:val="nil"/>
            </w:tcBorders>
            <w:shd w:val="clear" w:color="000000" w:fill="FFFFFF"/>
            <w:noWrap/>
            <w:vAlign w:val="bottom"/>
            <w:hideMark/>
          </w:tcPr>
          <w:p w14:paraId="252AFE0A"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31.94</w:t>
            </w:r>
          </w:p>
        </w:tc>
        <w:tc>
          <w:tcPr>
            <w:tcW w:w="1780" w:type="dxa"/>
            <w:tcBorders>
              <w:top w:val="nil"/>
              <w:left w:val="nil"/>
              <w:bottom w:val="nil"/>
              <w:right w:val="nil"/>
            </w:tcBorders>
            <w:shd w:val="clear" w:color="000000" w:fill="FFFFFF"/>
            <w:noWrap/>
            <w:vAlign w:val="bottom"/>
            <w:hideMark/>
          </w:tcPr>
          <w:p w14:paraId="7D607F06"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69.42</w:t>
            </w:r>
          </w:p>
        </w:tc>
        <w:tc>
          <w:tcPr>
            <w:tcW w:w="1780" w:type="dxa"/>
            <w:tcBorders>
              <w:top w:val="nil"/>
              <w:left w:val="nil"/>
              <w:bottom w:val="nil"/>
              <w:right w:val="nil"/>
            </w:tcBorders>
            <w:shd w:val="clear" w:color="000000" w:fill="FFFFFF"/>
            <w:noWrap/>
            <w:vAlign w:val="bottom"/>
            <w:hideMark/>
          </w:tcPr>
          <w:p w14:paraId="79F60EA0"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1284.11</w:t>
            </w:r>
          </w:p>
        </w:tc>
        <w:tc>
          <w:tcPr>
            <w:tcW w:w="1780" w:type="dxa"/>
            <w:tcBorders>
              <w:top w:val="nil"/>
              <w:left w:val="nil"/>
              <w:bottom w:val="nil"/>
              <w:right w:val="nil"/>
            </w:tcBorders>
            <w:shd w:val="clear" w:color="000000" w:fill="FFFFFF"/>
            <w:noWrap/>
            <w:vAlign w:val="bottom"/>
            <w:hideMark/>
          </w:tcPr>
          <w:p w14:paraId="6F9BFD4B"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156.99</w:t>
            </w:r>
          </w:p>
        </w:tc>
      </w:tr>
      <w:tr w:rsidR="00752705" w:rsidRPr="00292287" w14:paraId="00FE2ABB" w14:textId="77777777" w:rsidTr="00292287">
        <w:trPr>
          <w:trHeight w:val="320"/>
        </w:trPr>
        <w:tc>
          <w:tcPr>
            <w:tcW w:w="1634" w:type="dxa"/>
            <w:tcBorders>
              <w:top w:val="nil"/>
              <w:left w:val="nil"/>
              <w:bottom w:val="nil"/>
              <w:right w:val="nil"/>
            </w:tcBorders>
            <w:shd w:val="clear" w:color="000000" w:fill="FFFFFF"/>
            <w:noWrap/>
            <w:vAlign w:val="bottom"/>
            <w:hideMark/>
          </w:tcPr>
          <w:p w14:paraId="183D328C"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lamb</w:t>
            </w:r>
          </w:p>
        </w:tc>
        <w:tc>
          <w:tcPr>
            <w:tcW w:w="1780" w:type="dxa"/>
            <w:tcBorders>
              <w:top w:val="nil"/>
              <w:left w:val="nil"/>
              <w:bottom w:val="nil"/>
              <w:right w:val="nil"/>
            </w:tcBorders>
            <w:shd w:val="clear" w:color="000000" w:fill="FFFFFF"/>
            <w:noWrap/>
            <w:vAlign w:val="bottom"/>
            <w:hideMark/>
          </w:tcPr>
          <w:p w14:paraId="7EC8E37F"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26.48</w:t>
            </w:r>
          </w:p>
        </w:tc>
        <w:tc>
          <w:tcPr>
            <w:tcW w:w="1780" w:type="dxa"/>
            <w:tcBorders>
              <w:top w:val="nil"/>
              <w:left w:val="nil"/>
              <w:bottom w:val="nil"/>
              <w:right w:val="nil"/>
            </w:tcBorders>
            <w:shd w:val="clear" w:color="000000" w:fill="FFFFFF"/>
            <w:noWrap/>
            <w:vAlign w:val="bottom"/>
            <w:hideMark/>
          </w:tcPr>
          <w:p w14:paraId="7BCC79A4"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80.72</w:t>
            </w:r>
          </w:p>
        </w:tc>
        <w:tc>
          <w:tcPr>
            <w:tcW w:w="1780" w:type="dxa"/>
            <w:tcBorders>
              <w:top w:val="nil"/>
              <w:left w:val="nil"/>
              <w:bottom w:val="nil"/>
              <w:right w:val="nil"/>
            </w:tcBorders>
            <w:shd w:val="clear" w:color="000000" w:fill="FFFFFF"/>
            <w:noWrap/>
            <w:vAlign w:val="bottom"/>
            <w:hideMark/>
          </w:tcPr>
          <w:p w14:paraId="6E63882E"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1142.03</w:t>
            </w:r>
          </w:p>
        </w:tc>
        <w:tc>
          <w:tcPr>
            <w:tcW w:w="1780" w:type="dxa"/>
            <w:tcBorders>
              <w:top w:val="nil"/>
              <w:left w:val="nil"/>
              <w:bottom w:val="nil"/>
              <w:right w:val="nil"/>
            </w:tcBorders>
            <w:shd w:val="clear" w:color="000000" w:fill="FFFFFF"/>
            <w:noWrap/>
            <w:vAlign w:val="bottom"/>
            <w:hideMark/>
          </w:tcPr>
          <w:p w14:paraId="7B6C336F"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65.02</w:t>
            </w:r>
          </w:p>
        </w:tc>
      </w:tr>
      <w:tr w:rsidR="00752705" w:rsidRPr="00292287" w14:paraId="589D57E0" w14:textId="77777777" w:rsidTr="00292287">
        <w:trPr>
          <w:trHeight w:val="320"/>
        </w:trPr>
        <w:tc>
          <w:tcPr>
            <w:tcW w:w="1634" w:type="dxa"/>
            <w:tcBorders>
              <w:top w:val="nil"/>
              <w:left w:val="nil"/>
              <w:bottom w:val="nil"/>
              <w:right w:val="nil"/>
            </w:tcBorders>
            <w:shd w:val="clear" w:color="000000" w:fill="FFFFFF"/>
            <w:noWrap/>
            <w:vAlign w:val="bottom"/>
            <w:hideMark/>
          </w:tcPr>
          <w:p w14:paraId="31B9EFB9"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pork</w:t>
            </w:r>
          </w:p>
        </w:tc>
        <w:tc>
          <w:tcPr>
            <w:tcW w:w="1780" w:type="dxa"/>
            <w:tcBorders>
              <w:top w:val="nil"/>
              <w:left w:val="nil"/>
              <w:bottom w:val="nil"/>
              <w:right w:val="nil"/>
            </w:tcBorders>
            <w:shd w:val="clear" w:color="000000" w:fill="FFFFFF"/>
            <w:noWrap/>
            <w:vAlign w:val="bottom"/>
            <w:hideMark/>
          </w:tcPr>
          <w:p w14:paraId="452E50FE"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6.46</w:t>
            </w:r>
          </w:p>
        </w:tc>
        <w:tc>
          <w:tcPr>
            <w:tcW w:w="1780" w:type="dxa"/>
            <w:tcBorders>
              <w:top w:val="nil"/>
              <w:left w:val="nil"/>
              <w:bottom w:val="nil"/>
              <w:right w:val="nil"/>
            </w:tcBorders>
            <w:shd w:val="clear" w:color="000000" w:fill="FFFFFF"/>
            <w:noWrap/>
            <w:vAlign w:val="bottom"/>
            <w:hideMark/>
          </w:tcPr>
          <w:p w14:paraId="1CE5FBE0"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8.38</w:t>
            </w:r>
          </w:p>
        </w:tc>
        <w:tc>
          <w:tcPr>
            <w:tcW w:w="1780" w:type="dxa"/>
            <w:tcBorders>
              <w:top w:val="nil"/>
              <w:left w:val="nil"/>
              <w:bottom w:val="nil"/>
              <w:right w:val="nil"/>
            </w:tcBorders>
            <w:shd w:val="clear" w:color="000000" w:fill="FFFFFF"/>
            <w:noWrap/>
            <w:vAlign w:val="bottom"/>
            <w:hideMark/>
          </w:tcPr>
          <w:p w14:paraId="3DFC8935"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1108.60</w:t>
            </w:r>
          </w:p>
        </w:tc>
        <w:tc>
          <w:tcPr>
            <w:tcW w:w="1780" w:type="dxa"/>
            <w:tcBorders>
              <w:top w:val="nil"/>
              <w:left w:val="nil"/>
              <w:bottom w:val="nil"/>
              <w:right w:val="nil"/>
            </w:tcBorders>
            <w:shd w:val="clear" w:color="000000" w:fill="FFFFFF"/>
            <w:noWrap/>
            <w:vAlign w:val="bottom"/>
            <w:hideMark/>
          </w:tcPr>
          <w:p w14:paraId="1C287F03"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31.49</w:t>
            </w:r>
          </w:p>
        </w:tc>
      </w:tr>
      <w:tr w:rsidR="00752705" w:rsidRPr="00292287" w14:paraId="37C564E8" w14:textId="77777777" w:rsidTr="00292287">
        <w:trPr>
          <w:trHeight w:val="320"/>
        </w:trPr>
        <w:tc>
          <w:tcPr>
            <w:tcW w:w="1634" w:type="dxa"/>
            <w:tcBorders>
              <w:top w:val="nil"/>
              <w:left w:val="nil"/>
              <w:bottom w:val="nil"/>
              <w:right w:val="nil"/>
            </w:tcBorders>
            <w:shd w:val="clear" w:color="000000" w:fill="FFFFFF"/>
            <w:noWrap/>
            <w:vAlign w:val="bottom"/>
            <w:hideMark/>
          </w:tcPr>
          <w:p w14:paraId="274118A6"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poultry</w:t>
            </w:r>
          </w:p>
        </w:tc>
        <w:tc>
          <w:tcPr>
            <w:tcW w:w="1780" w:type="dxa"/>
            <w:tcBorders>
              <w:top w:val="nil"/>
              <w:left w:val="nil"/>
              <w:bottom w:val="nil"/>
              <w:right w:val="nil"/>
            </w:tcBorders>
            <w:shd w:val="clear" w:color="000000" w:fill="FFFFFF"/>
            <w:noWrap/>
            <w:vAlign w:val="bottom"/>
            <w:hideMark/>
          </w:tcPr>
          <w:p w14:paraId="075B5DD8"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5.21</w:t>
            </w:r>
          </w:p>
        </w:tc>
        <w:tc>
          <w:tcPr>
            <w:tcW w:w="1780" w:type="dxa"/>
            <w:tcBorders>
              <w:top w:val="nil"/>
              <w:left w:val="nil"/>
              <w:bottom w:val="nil"/>
              <w:right w:val="nil"/>
            </w:tcBorders>
            <w:shd w:val="clear" w:color="000000" w:fill="FFFFFF"/>
            <w:noWrap/>
            <w:vAlign w:val="bottom"/>
            <w:hideMark/>
          </w:tcPr>
          <w:p w14:paraId="572BCA29"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7.10</w:t>
            </w:r>
          </w:p>
        </w:tc>
        <w:tc>
          <w:tcPr>
            <w:tcW w:w="1780" w:type="dxa"/>
            <w:tcBorders>
              <w:top w:val="nil"/>
              <w:left w:val="nil"/>
              <w:bottom w:val="nil"/>
              <w:right w:val="nil"/>
            </w:tcBorders>
            <w:shd w:val="clear" w:color="000000" w:fill="FFFFFF"/>
            <w:noWrap/>
            <w:vAlign w:val="bottom"/>
            <w:hideMark/>
          </w:tcPr>
          <w:p w14:paraId="45F7648E"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423.46</w:t>
            </w:r>
          </w:p>
        </w:tc>
        <w:tc>
          <w:tcPr>
            <w:tcW w:w="1780" w:type="dxa"/>
            <w:tcBorders>
              <w:top w:val="nil"/>
              <w:left w:val="nil"/>
              <w:bottom w:val="nil"/>
              <w:right w:val="nil"/>
            </w:tcBorders>
            <w:shd w:val="clear" w:color="000000" w:fill="FFFFFF"/>
            <w:noWrap/>
            <w:vAlign w:val="bottom"/>
            <w:hideMark/>
          </w:tcPr>
          <w:p w14:paraId="3ED97760"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21.70</w:t>
            </w:r>
          </w:p>
        </w:tc>
      </w:tr>
      <w:tr w:rsidR="00752705" w:rsidRPr="00292287" w14:paraId="681B0259" w14:textId="77777777" w:rsidTr="00292287">
        <w:trPr>
          <w:trHeight w:val="320"/>
        </w:trPr>
        <w:tc>
          <w:tcPr>
            <w:tcW w:w="1634" w:type="dxa"/>
            <w:tcBorders>
              <w:top w:val="nil"/>
              <w:left w:val="nil"/>
              <w:bottom w:val="nil"/>
              <w:right w:val="nil"/>
            </w:tcBorders>
            <w:shd w:val="clear" w:color="000000" w:fill="FFFFFF"/>
            <w:noWrap/>
            <w:vAlign w:val="bottom"/>
            <w:hideMark/>
          </w:tcPr>
          <w:p w14:paraId="2ABCF99D"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other meat</w:t>
            </w:r>
          </w:p>
        </w:tc>
        <w:tc>
          <w:tcPr>
            <w:tcW w:w="1780" w:type="dxa"/>
            <w:tcBorders>
              <w:top w:val="nil"/>
              <w:left w:val="nil"/>
              <w:bottom w:val="nil"/>
              <w:right w:val="nil"/>
            </w:tcBorders>
            <w:shd w:val="clear" w:color="000000" w:fill="FFFFFF"/>
            <w:noWrap/>
            <w:vAlign w:val="bottom"/>
            <w:hideMark/>
          </w:tcPr>
          <w:p w14:paraId="2EC0D401"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39.51</w:t>
            </w:r>
          </w:p>
        </w:tc>
        <w:tc>
          <w:tcPr>
            <w:tcW w:w="1780" w:type="dxa"/>
            <w:tcBorders>
              <w:top w:val="nil"/>
              <w:left w:val="nil"/>
              <w:bottom w:val="nil"/>
              <w:right w:val="nil"/>
            </w:tcBorders>
            <w:shd w:val="clear" w:color="000000" w:fill="FFFFFF"/>
            <w:noWrap/>
            <w:vAlign w:val="bottom"/>
            <w:hideMark/>
          </w:tcPr>
          <w:p w14:paraId="3691E748"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110.08</w:t>
            </w:r>
          </w:p>
        </w:tc>
        <w:tc>
          <w:tcPr>
            <w:tcW w:w="1780" w:type="dxa"/>
            <w:tcBorders>
              <w:top w:val="nil"/>
              <w:left w:val="nil"/>
              <w:bottom w:val="nil"/>
              <w:right w:val="nil"/>
            </w:tcBorders>
            <w:shd w:val="clear" w:color="000000" w:fill="FFFFFF"/>
            <w:noWrap/>
            <w:vAlign w:val="bottom"/>
            <w:hideMark/>
          </w:tcPr>
          <w:p w14:paraId="1662827C"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923.00</w:t>
            </w:r>
          </w:p>
        </w:tc>
        <w:tc>
          <w:tcPr>
            <w:tcW w:w="1780" w:type="dxa"/>
            <w:tcBorders>
              <w:top w:val="nil"/>
              <w:left w:val="nil"/>
              <w:bottom w:val="nil"/>
              <w:right w:val="nil"/>
            </w:tcBorders>
            <w:shd w:val="clear" w:color="000000" w:fill="FFFFFF"/>
            <w:noWrap/>
            <w:vAlign w:val="bottom"/>
            <w:hideMark/>
          </w:tcPr>
          <w:p w14:paraId="5C3493E8"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203.81</w:t>
            </w:r>
          </w:p>
        </w:tc>
      </w:tr>
      <w:tr w:rsidR="00752705" w:rsidRPr="00292287" w14:paraId="612D6ADA" w14:textId="77777777" w:rsidTr="00292287">
        <w:trPr>
          <w:trHeight w:val="320"/>
        </w:trPr>
        <w:tc>
          <w:tcPr>
            <w:tcW w:w="1634" w:type="dxa"/>
            <w:tcBorders>
              <w:top w:val="nil"/>
              <w:left w:val="nil"/>
              <w:bottom w:val="nil"/>
              <w:right w:val="nil"/>
            </w:tcBorders>
            <w:shd w:val="clear" w:color="000000" w:fill="FFFFFF"/>
            <w:noWrap/>
            <w:vAlign w:val="bottom"/>
            <w:hideMark/>
          </w:tcPr>
          <w:p w14:paraId="6F35ECB7"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eggs</w:t>
            </w:r>
          </w:p>
        </w:tc>
        <w:tc>
          <w:tcPr>
            <w:tcW w:w="1780" w:type="dxa"/>
            <w:tcBorders>
              <w:top w:val="nil"/>
              <w:left w:val="nil"/>
              <w:bottom w:val="nil"/>
              <w:right w:val="nil"/>
            </w:tcBorders>
            <w:shd w:val="clear" w:color="000000" w:fill="FFFFFF"/>
            <w:noWrap/>
            <w:vAlign w:val="bottom"/>
            <w:hideMark/>
          </w:tcPr>
          <w:p w14:paraId="02C72743"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4.28</w:t>
            </w:r>
          </w:p>
        </w:tc>
        <w:tc>
          <w:tcPr>
            <w:tcW w:w="1780" w:type="dxa"/>
            <w:tcBorders>
              <w:top w:val="nil"/>
              <w:left w:val="nil"/>
              <w:bottom w:val="nil"/>
              <w:right w:val="nil"/>
            </w:tcBorders>
            <w:shd w:val="clear" w:color="000000" w:fill="FFFFFF"/>
            <w:noWrap/>
            <w:vAlign w:val="bottom"/>
            <w:hideMark/>
          </w:tcPr>
          <w:p w14:paraId="2D39F5B4"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5.80</w:t>
            </w:r>
          </w:p>
        </w:tc>
        <w:tc>
          <w:tcPr>
            <w:tcW w:w="1780" w:type="dxa"/>
            <w:tcBorders>
              <w:top w:val="nil"/>
              <w:left w:val="nil"/>
              <w:bottom w:val="nil"/>
              <w:right w:val="nil"/>
            </w:tcBorders>
            <w:shd w:val="clear" w:color="000000" w:fill="FFFFFF"/>
            <w:noWrap/>
            <w:vAlign w:val="bottom"/>
            <w:hideMark/>
          </w:tcPr>
          <w:p w14:paraId="2393D55C"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582.66</w:t>
            </w:r>
          </w:p>
        </w:tc>
        <w:tc>
          <w:tcPr>
            <w:tcW w:w="1780" w:type="dxa"/>
            <w:tcBorders>
              <w:top w:val="nil"/>
              <w:left w:val="nil"/>
              <w:bottom w:val="nil"/>
              <w:right w:val="nil"/>
            </w:tcBorders>
            <w:shd w:val="clear" w:color="000000" w:fill="FFFFFF"/>
            <w:noWrap/>
            <w:vAlign w:val="bottom"/>
            <w:hideMark/>
          </w:tcPr>
          <w:p w14:paraId="796CE22A"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21.29</w:t>
            </w:r>
          </w:p>
        </w:tc>
      </w:tr>
      <w:tr w:rsidR="00752705" w:rsidRPr="00292287" w14:paraId="303C1ECC" w14:textId="77777777" w:rsidTr="00292287">
        <w:trPr>
          <w:trHeight w:val="320"/>
        </w:trPr>
        <w:tc>
          <w:tcPr>
            <w:tcW w:w="1634" w:type="dxa"/>
            <w:tcBorders>
              <w:top w:val="nil"/>
              <w:left w:val="nil"/>
              <w:bottom w:val="nil"/>
              <w:right w:val="nil"/>
            </w:tcBorders>
            <w:shd w:val="clear" w:color="000000" w:fill="FFFFFF"/>
            <w:noWrap/>
            <w:vAlign w:val="bottom"/>
            <w:hideMark/>
          </w:tcPr>
          <w:p w14:paraId="2669284E"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milk</w:t>
            </w:r>
          </w:p>
        </w:tc>
        <w:tc>
          <w:tcPr>
            <w:tcW w:w="1780" w:type="dxa"/>
            <w:tcBorders>
              <w:top w:val="nil"/>
              <w:left w:val="nil"/>
              <w:bottom w:val="nil"/>
              <w:right w:val="nil"/>
            </w:tcBorders>
            <w:shd w:val="clear" w:color="000000" w:fill="FFFFFF"/>
            <w:noWrap/>
            <w:vAlign w:val="bottom"/>
            <w:hideMark/>
          </w:tcPr>
          <w:p w14:paraId="2B3BFC86"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2.46</w:t>
            </w:r>
          </w:p>
        </w:tc>
        <w:tc>
          <w:tcPr>
            <w:tcW w:w="1780" w:type="dxa"/>
            <w:tcBorders>
              <w:top w:val="nil"/>
              <w:left w:val="nil"/>
              <w:bottom w:val="nil"/>
              <w:right w:val="nil"/>
            </w:tcBorders>
            <w:shd w:val="clear" w:color="000000" w:fill="FFFFFF"/>
            <w:noWrap/>
            <w:vAlign w:val="bottom"/>
            <w:hideMark/>
          </w:tcPr>
          <w:p w14:paraId="37535F65"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2.03</w:t>
            </w:r>
          </w:p>
        </w:tc>
        <w:tc>
          <w:tcPr>
            <w:tcW w:w="1780" w:type="dxa"/>
            <w:tcBorders>
              <w:top w:val="nil"/>
              <w:left w:val="nil"/>
              <w:bottom w:val="nil"/>
              <w:right w:val="nil"/>
            </w:tcBorders>
            <w:shd w:val="clear" w:color="000000" w:fill="FFFFFF"/>
            <w:noWrap/>
            <w:vAlign w:val="bottom"/>
            <w:hideMark/>
          </w:tcPr>
          <w:p w14:paraId="147F80CF"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547.62</w:t>
            </w:r>
          </w:p>
        </w:tc>
        <w:tc>
          <w:tcPr>
            <w:tcW w:w="1780" w:type="dxa"/>
            <w:tcBorders>
              <w:top w:val="nil"/>
              <w:left w:val="nil"/>
              <w:bottom w:val="nil"/>
              <w:right w:val="nil"/>
            </w:tcBorders>
            <w:shd w:val="clear" w:color="000000" w:fill="FFFFFF"/>
            <w:noWrap/>
            <w:vAlign w:val="bottom"/>
            <w:hideMark/>
          </w:tcPr>
          <w:p w14:paraId="7A7D33E0"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9.90</w:t>
            </w:r>
          </w:p>
        </w:tc>
      </w:tr>
      <w:tr w:rsidR="00752705" w:rsidRPr="00292287" w14:paraId="3CEAC843" w14:textId="77777777" w:rsidTr="00292287">
        <w:trPr>
          <w:trHeight w:val="320"/>
        </w:trPr>
        <w:tc>
          <w:tcPr>
            <w:tcW w:w="1634" w:type="dxa"/>
            <w:tcBorders>
              <w:top w:val="nil"/>
              <w:left w:val="nil"/>
              <w:bottom w:val="nil"/>
              <w:right w:val="nil"/>
            </w:tcBorders>
            <w:shd w:val="clear" w:color="000000" w:fill="FFFFFF"/>
            <w:noWrap/>
            <w:vAlign w:val="bottom"/>
            <w:hideMark/>
          </w:tcPr>
          <w:p w14:paraId="2E88EE2A"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animal fats</w:t>
            </w:r>
          </w:p>
        </w:tc>
        <w:tc>
          <w:tcPr>
            <w:tcW w:w="1780" w:type="dxa"/>
            <w:tcBorders>
              <w:top w:val="nil"/>
              <w:left w:val="nil"/>
              <w:bottom w:val="nil"/>
              <w:right w:val="nil"/>
            </w:tcBorders>
            <w:shd w:val="clear" w:color="000000" w:fill="FFFFFF"/>
            <w:noWrap/>
            <w:vAlign w:val="bottom"/>
            <w:hideMark/>
          </w:tcPr>
          <w:p w14:paraId="56259AB9"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4.02</w:t>
            </w:r>
          </w:p>
        </w:tc>
        <w:tc>
          <w:tcPr>
            <w:tcW w:w="1780" w:type="dxa"/>
            <w:tcBorders>
              <w:top w:val="nil"/>
              <w:left w:val="nil"/>
              <w:bottom w:val="nil"/>
              <w:right w:val="nil"/>
            </w:tcBorders>
            <w:shd w:val="clear" w:color="000000" w:fill="FFFFFF"/>
            <w:noWrap/>
            <w:vAlign w:val="bottom"/>
            <w:hideMark/>
          </w:tcPr>
          <w:p w14:paraId="7BAD8066"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4.67</w:t>
            </w:r>
          </w:p>
        </w:tc>
        <w:tc>
          <w:tcPr>
            <w:tcW w:w="1780" w:type="dxa"/>
            <w:tcBorders>
              <w:top w:val="nil"/>
              <w:left w:val="nil"/>
              <w:bottom w:val="nil"/>
              <w:right w:val="nil"/>
            </w:tcBorders>
            <w:shd w:val="clear" w:color="000000" w:fill="FFFFFF"/>
            <w:noWrap/>
            <w:vAlign w:val="bottom"/>
            <w:hideMark/>
          </w:tcPr>
          <w:p w14:paraId="4A23B70D"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648.61</w:t>
            </w:r>
          </w:p>
        </w:tc>
        <w:tc>
          <w:tcPr>
            <w:tcW w:w="1780" w:type="dxa"/>
            <w:tcBorders>
              <w:top w:val="nil"/>
              <w:left w:val="nil"/>
              <w:bottom w:val="nil"/>
              <w:right w:val="nil"/>
            </w:tcBorders>
            <w:shd w:val="clear" w:color="000000" w:fill="FFFFFF"/>
            <w:noWrap/>
            <w:vAlign w:val="bottom"/>
            <w:hideMark/>
          </w:tcPr>
          <w:p w14:paraId="57323A13"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17.62</w:t>
            </w:r>
          </w:p>
        </w:tc>
      </w:tr>
      <w:tr w:rsidR="00752705" w:rsidRPr="00292287" w14:paraId="161FE610" w14:textId="77777777" w:rsidTr="00292287">
        <w:trPr>
          <w:trHeight w:val="320"/>
        </w:trPr>
        <w:tc>
          <w:tcPr>
            <w:tcW w:w="1634" w:type="dxa"/>
            <w:tcBorders>
              <w:top w:val="nil"/>
              <w:left w:val="nil"/>
              <w:bottom w:val="nil"/>
              <w:right w:val="nil"/>
            </w:tcBorders>
            <w:shd w:val="clear" w:color="000000" w:fill="FFFFFF"/>
            <w:noWrap/>
            <w:vAlign w:val="bottom"/>
            <w:hideMark/>
          </w:tcPr>
          <w:p w14:paraId="1611989F"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fish</w:t>
            </w:r>
          </w:p>
        </w:tc>
        <w:tc>
          <w:tcPr>
            <w:tcW w:w="1780" w:type="dxa"/>
            <w:tcBorders>
              <w:top w:val="nil"/>
              <w:left w:val="nil"/>
              <w:bottom w:val="nil"/>
              <w:right w:val="nil"/>
            </w:tcBorders>
            <w:shd w:val="clear" w:color="000000" w:fill="FFFFFF"/>
            <w:noWrap/>
            <w:vAlign w:val="bottom"/>
            <w:hideMark/>
          </w:tcPr>
          <w:p w14:paraId="3C18BCEA"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1.11</w:t>
            </w:r>
          </w:p>
        </w:tc>
        <w:tc>
          <w:tcPr>
            <w:tcW w:w="1780" w:type="dxa"/>
            <w:tcBorders>
              <w:top w:val="nil"/>
              <w:left w:val="nil"/>
              <w:bottom w:val="nil"/>
              <w:right w:val="nil"/>
            </w:tcBorders>
            <w:shd w:val="clear" w:color="000000" w:fill="FFFFFF"/>
            <w:noWrap/>
            <w:vAlign w:val="bottom"/>
            <w:hideMark/>
          </w:tcPr>
          <w:p w14:paraId="1C143CD8"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0.76</w:t>
            </w:r>
          </w:p>
        </w:tc>
        <w:tc>
          <w:tcPr>
            <w:tcW w:w="1780" w:type="dxa"/>
            <w:tcBorders>
              <w:top w:val="nil"/>
              <w:left w:val="nil"/>
              <w:bottom w:val="nil"/>
              <w:right w:val="nil"/>
            </w:tcBorders>
            <w:shd w:val="clear" w:color="000000" w:fill="FFFFFF"/>
            <w:noWrap/>
            <w:vAlign w:val="bottom"/>
            <w:hideMark/>
          </w:tcPr>
          <w:p w14:paraId="4F6EEA28"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449.97</w:t>
            </w:r>
          </w:p>
        </w:tc>
        <w:tc>
          <w:tcPr>
            <w:tcW w:w="1780" w:type="dxa"/>
            <w:tcBorders>
              <w:top w:val="nil"/>
              <w:left w:val="nil"/>
              <w:bottom w:val="nil"/>
              <w:right w:val="nil"/>
            </w:tcBorders>
            <w:shd w:val="clear" w:color="000000" w:fill="FFFFFF"/>
            <w:noWrap/>
            <w:vAlign w:val="bottom"/>
            <w:hideMark/>
          </w:tcPr>
          <w:p w14:paraId="6D19E981"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33.72</w:t>
            </w:r>
          </w:p>
        </w:tc>
      </w:tr>
      <w:tr w:rsidR="00752705" w:rsidRPr="00292287" w14:paraId="6850DAAA" w14:textId="77777777" w:rsidTr="00292287">
        <w:trPr>
          <w:trHeight w:val="320"/>
        </w:trPr>
        <w:tc>
          <w:tcPr>
            <w:tcW w:w="1634" w:type="dxa"/>
            <w:tcBorders>
              <w:top w:val="nil"/>
              <w:left w:val="nil"/>
              <w:bottom w:val="nil"/>
              <w:right w:val="nil"/>
            </w:tcBorders>
            <w:shd w:val="clear" w:color="000000" w:fill="FFFFFF"/>
            <w:noWrap/>
            <w:vAlign w:val="bottom"/>
            <w:hideMark/>
          </w:tcPr>
          <w:p w14:paraId="60C9B260"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shellfish</w:t>
            </w:r>
          </w:p>
        </w:tc>
        <w:tc>
          <w:tcPr>
            <w:tcW w:w="1780" w:type="dxa"/>
            <w:tcBorders>
              <w:top w:val="nil"/>
              <w:left w:val="nil"/>
              <w:bottom w:val="nil"/>
              <w:right w:val="nil"/>
            </w:tcBorders>
            <w:shd w:val="clear" w:color="000000" w:fill="FFFFFF"/>
            <w:noWrap/>
            <w:vAlign w:val="bottom"/>
            <w:hideMark/>
          </w:tcPr>
          <w:p w14:paraId="34CD006A"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4.89</w:t>
            </w:r>
          </w:p>
        </w:tc>
        <w:tc>
          <w:tcPr>
            <w:tcW w:w="1780" w:type="dxa"/>
            <w:tcBorders>
              <w:top w:val="nil"/>
              <w:left w:val="nil"/>
              <w:bottom w:val="nil"/>
              <w:right w:val="nil"/>
            </w:tcBorders>
            <w:shd w:val="clear" w:color="000000" w:fill="FFFFFF"/>
            <w:noWrap/>
            <w:vAlign w:val="bottom"/>
            <w:hideMark/>
          </w:tcPr>
          <w:p w14:paraId="3795BFCB"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0.26</w:t>
            </w:r>
          </w:p>
        </w:tc>
        <w:tc>
          <w:tcPr>
            <w:tcW w:w="1780" w:type="dxa"/>
            <w:tcBorders>
              <w:top w:val="nil"/>
              <w:left w:val="nil"/>
              <w:bottom w:val="nil"/>
              <w:right w:val="nil"/>
            </w:tcBorders>
            <w:shd w:val="clear" w:color="000000" w:fill="FFFFFF"/>
            <w:noWrap/>
            <w:vAlign w:val="bottom"/>
            <w:hideMark/>
          </w:tcPr>
          <w:p w14:paraId="06EBAE0F"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915.23</w:t>
            </w:r>
          </w:p>
        </w:tc>
        <w:tc>
          <w:tcPr>
            <w:tcW w:w="1780" w:type="dxa"/>
            <w:tcBorders>
              <w:top w:val="nil"/>
              <w:left w:val="nil"/>
              <w:bottom w:val="nil"/>
              <w:right w:val="nil"/>
            </w:tcBorders>
            <w:shd w:val="clear" w:color="000000" w:fill="FFFFFF"/>
            <w:noWrap/>
            <w:vAlign w:val="bottom"/>
            <w:hideMark/>
          </w:tcPr>
          <w:p w14:paraId="1A812ABA"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46.29</w:t>
            </w:r>
          </w:p>
        </w:tc>
      </w:tr>
      <w:tr w:rsidR="00752705" w:rsidRPr="00292287" w14:paraId="3F372B46" w14:textId="77777777" w:rsidTr="00292287">
        <w:trPr>
          <w:trHeight w:val="320"/>
        </w:trPr>
        <w:tc>
          <w:tcPr>
            <w:tcW w:w="1634" w:type="dxa"/>
            <w:tcBorders>
              <w:top w:val="nil"/>
              <w:left w:val="nil"/>
              <w:bottom w:val="nil"/>
              <w:right w:val="nil"/>
            </w:tcBorders>
            <w:shd w:val="clear" w:color="000000" w:fill="FFFFFF"/>
            <w:noWrap/>
            <w:vAlign w:val="bottom"/>
            <w:hideMark/>
          </w:tcPr>
          <w:p w14:paraId="00E19556"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stimulants</w:t>
            </w:r>
          </w:p>
        </w:tc>
        <w:tc>
          <w:tcPr>
            <w:tcW w:w="1780" w:type="dxa"/>
            <w:tcBorders>
              <w:top w:val="nil"/>
              <w:left w:val="nil"/>
              <w:bottom w:val="nil"/>
              <w:right w:val="nil"/>
            </w:tcBorders>
            <w:shd w:val="clear" w:color="000000" w:fill="FFFFFF"/>
            <w:noWrap/>
            <w:vAlign w:val="bottom"/>
            <w:hideMark/>
          </w:tcPr>
          <w:p w14:paraId="692AB518"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3.29</w:t>
            </w:r>
          </w:p>
        </w:tc>
        <w:tc>
          <w:tcPr>
            <w:tcW w:w="1780" w:type="dxa"/>
            <w:tcBorders>
              <w:top w:val="nil"/>
              <w:left w:val="nil"/>
              <w:bottom w:val="nil"/>
              <w:right w:val="nil"/>
            </w:tcBorders>
            <w:shd w:val="clear" w:color="000000" w:fill="FFFFFF"/>
            <w:noWrap/>
            <w:vAlign w:val="bottom"/>
            <w:hideMark/>
          </w:tcPr>
          <w:p w14:paraId="2672440C"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10.08</w:t>
            </w:r>
          </w:p>
        </w:tc>
        <w:tc>
          <w:tcPr>
            <w:tcW w:w="1780" w:type="dxa"/>
            <w:tcBorders>
              <w:top w:val="nil"/>
              <w:left w:val="nil"/>
              <w:bottom w:val="nil"/>
              <w:right w:val="nil"/>
            </w:tcBorders>
            <w:shd w:val="clear" w:color="000000" w:fill="FFFFFF"/>
            <w:noWrap/>
            <w:vAlign w:val="bottom"/>
            <w:hideMark/>
          </w:tcPr>
          <w:p w14:paraId="08A935A3"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134.52</w:t>
            </w:r>
          </w:p>
        </w:tc>
        <w:tc>
          <w:tcPr>
            <w:tcW w:w="1780" w:type="dxa"/>
            <w:tcBorders>
              <w:top w:val="nil"/>
              <w:left w:val="nil"/>
              <w:bottom w:val="nil"/>
              <w:right w:val="nil"/>
            </w:tcBorders>
            <w:shd w:val="clear" w:color="000000" w:fill="FFFFFF"/>
            <w:noWrap/>
            <w:vAlign w:val="bottom"/>
            <w:hideMark/>
          </w:tcPr>
          <w:p w14:paraId="5E7B674F"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21.80</w:t>
            </w:r>
          </w:p>
        </w:tc>
      </w:tr>
      <w:tr w:rsidR="00752705" w:rsidRPr="00292287" w14:paraId="5C4F591A" w14:textId="77777777" w:rsidTr="00292287">
        <w:trPr>
          <w:trHeight w:val="320"/>
        </w:trPr>
        <w:tc>
          <w:tcPr>
            <w:tcW w:w="1634" w:type="dxa"/>
            <w:tcBorders>
              <w:top w:val="nil"/>
              <w:left w:val="nil"/>
              <w:bottom w:val="single" w:sz="4" w:space="0" w:color="auto"/>
              <w:right w:val="nil"/>
            </w:tcBorders>
            <w:shd w:val="clear" w:color="000000" w:fill="FFFFFF"/>
            <w:noWrap/>
            <w:vAlign w:val="bottom"/>
            <w:hideMark/>
          </w:tcPr>
          <w:p w14:paraId="4283F3A5" w14:textId="77777777" w:rsidR="00752705" w:rsidRPr="00292287" w:rsidRDefault="00752705" w:rsidP="00FC0B1B">
            <w:pPr>
              <w:spacing w:line="360" w:lineRule="auto"/>
              <w:rPr>
                <w:rFonts w:ascii="Arial" w:hAnsi="Arial" w:cs="Arial"/>
                <w:color w:val="000000"/>
                <w:sz w:val="18"/>
                <w:szCs w:val="18"/>
              </w:rPr>
            </w:pPr>
            <w:r w:rsidRPr="00292287">
              <w:rPr>
                <w:rFonts w:ascii="Arial" w:hAnsi="Arial" w:cs="Arial"/>
                <w:color w:val="000000"/>
                <w:sz w:val="18"/>
                <w:szCs w:val="18"/>
              </w:rPr>
              <w:t>other crops</w:t>
            </w:r>
          </w:p>
        </w:tc>
        <w:tc>
          <w:tcPr>
            <w:tcW w:w="1780" w:type="dxa"/>
            <w:tcBorders>
              <w:top w:val="nil"/>
              <w:left w:val="nil"/>
              <w:bottom w:val="single" w:sz="4" w:space="0" w:color="auto"/>
              <w:right w:val="nil"/>
            </w:tcBorders>
            <w:shd w:val="clear" w:color="000000" w:fill="FFFFFF"/>
            <w:noWrap/>
            <w:vAlign w:val="bottom"/>
            <w:hideMark/>
          </w:tcPr>
          <w:p w14:paraId="5B26EB43"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1.26</w:t>
            </w:r>
          </w:p>
        </w:tc>
        <w:tc>
          <w:tcPr>
            <w:tcW w:w="1780" w:type="dxa"/>
            <w:tcBorders>
              <w:top w:val="nil"/>
              <w:left w:val="nil"/>
              <w:bottom w:val="single" w:sz="4" w:space="0" w:color="auto"/>
              <w:right w:val="nil"/>
            </w:tcBorders>
            <w:shd w:val="clear" w:color="000000" w:fill="FFFFFF"/>
            <w:noWrap/>
            <w:vAlign w:val="bottom"/>
            <w:hideMark/>
          </w:tcPr>
          <w:p w14:paraId="7F1C5FDF"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1.29</w:t>
            </w:r>
          </w:p>
        </w:tc>
        <w:tc>
          <w:tcPr>
            <w:tcW w:w="1780" w:type="dxa"/>
            <w:tcBorders>
              <w:top w:val="nil"/>
              <w:left w:val="nil"/>
              <w:bottom w:val="single" w:sz="4" w:space="0" w:color="auto"/>
              <w:right w:val="nil"/>
            </w:tcBorders>
            <w:shd w:val="clear" w:color="000000" w:fill="FFFFFF"/>
            <w:noWrap/>
            <w:vAlign w:val="bottom"/>
            <w:hideMark/>
          </w:tcPr>
          <w:p w14:paraId="7E96FBD9"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32.19</w:t>
            </w:r>
          </w:p>
        </w:tc>
        <w:tc>
          <w:tcPr>
            <w:tcW w:w="1780" w:type="dxa"/>
            <w:tcBorders>
              <w:top w:val="nil"/>
              <w:left w:val="nil"/>
              <w:bottom w:val="single" w:sz="4" w:space="0" w:color="auto"/>
              <w:right w:val="nil"/>
            </w:tcBorders>
            <w:shd w:val="clear" w:color="000000" w:fill="FFFFFF"/>
            <w:noWrap/>
            <w:vAlign w:val="bottom"/>
            <w:hideMark/>
          </w:tcPr>
          <w:p w14:paraId="0148AE32" w14:textId="77777777" w:rsidR="00752705" w:rsidRPr="00292287" w:rsidRDefault="00752705" w:rsidP="00FC0B1B">
            <w:pPr>
              <w:spacing w:line="360" w:lineRule="auto"/>
              <w:jc w:val="right"/>
              <w:rPr>
                <w:rFonts w:ascii="Arial" w:hAnsi="Arial" w:cs="Arial"/>
                <w:color w:val="000000"/>
                <w:sz w:val="18"/>
                <w:szCs w:val="18"/>
              </w:rPr>
            </w:pPr>
            <w:r w:rsidRPr="00292287">
              <w:rPr>
                <w:rFonts w:ascii="Arial" w:hAnsi="Arial" w:cs="Arial"/>
                <w:color w:val="000000"/>
                <w:sz w:val="18"/>
                <w:szCs w:val="18"/>
              </w:rPr>
              <w:t>2.76</w:t>
            </w:r>
          </w:p>
        </w:tc>
      </w:tr>
    </w:tbl>
    <w:p w14:paraId="723B2BCB" w14:textId="0140E01B" w:rsidR="00337661" w:rsidRPr="009664B1" w:rsidRDefault="00D84C9D" w:rsidP="00FC0B1B">
      <w:pPr>
        <w:spacing w:line="360" w:lineRule="auto"/>
        <w:rPr>
          <w:rFonts w:ascii="Arial" w:hAnsi="Arial" w:cs="Arial"/>
          <w:sz w:val="22"/>
          <w:szCs w:val="22"/>
        </w:rPr>
      </w:pPr>
      <w:r w:rsidRPr="009664B1">
        <w:rPr>
          <w:rFonts w:ascii="Arial" w:hAnsi="Arial" w:cs="Arial"/>
          <w:sz w:val="22"/>
          <w:szCs w:val="22"/>
        </w:rPr>
        <w:lastRenderedPageBreak/>
        <w:t>In addition to reporting changes in environmental impacts for each domain, we also calculated an overall indicator of food-related environmental impacts</w:t>
      </w:r>
      <w:r w:rsidRPr="009664B1">
        <w:rPr>
          <w:rFonts w:ascii="Arial" w:hAnsi="Arial" w:cs="Arial"/>
          <w:sz w:val="22"/>
          <w:szCs w:val="22"/>
        </w:rPr>
        <w:t xml:space="preserve"> for which we</w:t>
      </w:r>
      <w:r w:rsidRPr="009664B1">
        <w:rPr>
          <w:rFonts w:ascii="Arial" w:hAnsi="Arial" w:cs="Arial"/>
          <w:color w:val="000000"/>
          <w:sz w:val="22"/>
          <w:szCs w:val="22"/>
        </w:rPr>
        <w:t xml:space="preserve"> weigh</w:t>
      </w:r>
      <w:r w:rsidRPr="009664B1">
        <w:rPr>
          <w:rFonts w:ascii="Arial" w:hAnsi="Arial" w:cs="Arial"/>
          <w:color w:val="000000"/>
          <w:sz w:val="22"/>
          <w:szCs w:val="22"/>
        </w:rPr>
        <w:t xml:space="preserve">ed the changes in each domain by </w:t>
      </w:r>
      <w:r w:rsidRPr="009664B1">
        <w:rPr>
          <w:rFonts w:ascii="Arial" w:hAnsi="Arial" w:cs="Arial"/>
          <w:color w:val="000000"/>
          <w:sz w:val="22"/>
          <w:szCs w:val="22"/>
        </w:rPr>
        <w:t>the needed contribution of dietary changes towards staying within food-related environmental limits (or planetary boundaries)</w:t>
      </w:r>
      <w:r w:rsidRPr="009664B1">
        <w:rPr>
          <w:rFonts w:ascii="Arial" w:hAnsi="Arial" w:cs="Arial"/>
          <w:color w:val="000000"/>
          <w:sz w:val="22"/>
          <w:szCs w:val="22"/>
        </w:rPr>
        <w:t xml:space="preserve">, also considering other food-system measures </w:t>
      </w:r>
      <w:r w:rsidRPr="009664B1">
        <w:rPr>
          <w:rFonts w:ascii="Arial" w:hAnsi="Arial" w:cs="Arial"/>
          <w:color w:val="000000"/>
          <w:sz w:val="22"/>
          <w:szCs w:val="22"/>
        </w:rPr>
        <w:fldChar w:fldCharType="begin"/>
      </w:r>
      <w:r w:rsidR="00935615">
        <w:rPr>
          <w:rFonts w:ascii="Arial" w:hAnsi="Arial" w:cs="Arial"/>
          <w:color w:val="000000"/>
          <w:sz w:val="22"/>
          <w:szCs w:val="22"/>
        </w:rPr>
        <w:instrText xml:space="preserve"> ADDIN ZOTERO_ITEM CSL_CITATION {"citationID":"CjkXRtQ8","properties":{"formattedCitation":"\\super 55\\nosupersub{}","plainCitation":"55","noteIndex":0},"citationItems":[{"id":2124,"uris":["http://zotero.org/users/14122/items/GPS58PPF"],"itemData":{"id":2124,"type":"article-journal","abstract":"The food system is a major driver of climate change, changes in land use, depletion of freshwater resources, and pollution of aquatic and terrestrial ecosystems through excessive nitrogen and phosphorus inputs. Here we show that between 2010 and 2050, as a result of expected changes in population and income levels, the environmental effects of the food system could increase by 50–90% in the absence of technological changes and dedicated mitigation measures, reaching levels that are beyond the planetary boundaries that define a safe operating space for humanity. We analyse several options for reducing the environmental effects of the food system, including dietary changes towards healthier, more plant-based diets, improvements in technologies and management, and reductions in food loss and waste. We find that no single measure is enough to keep these effects within all planetary boundaries simultaneously, and that a synergistic combination of measures will be needed to sufficiently mitigate the projected increase in environmental pressures.","container-title":"Nature","issue":"7728","page":"519–525","title":"Options for keeping the food system within environmental limits","volume":"562","author":[{"family":"Springmann","given":"M."},{"family":"Clark","given":"Michael"},{"family":"Mason-D’Croz","given":"Daniel"},{"family":"Wiebe","given":"Keith"},{"family":"Bodirsky","given":"Benjamin Leon"},{"family":"Lassaletta","given":"Luis"},{"family":"Vries","given":"Wim","dropping-particle":"de"},{"family":"Vermeulen","given":"Sonja J."},{"family":"Herrero","given":"Mario"},{"family":"Carlson","given":"Kimberly M."},{"family":"Jonell","given":"Malin"},{"family":"Troell","given":"Max"},{"family":"DeClerck","given":"Fabrice"},{"family":"Gordon","given":"Line J."},{"family":"Zurayk","given":"Rami"},{"family":"Scarborough","given":"Peter"},{"family":"Rayner","given":"Mike"},{"family":"Loken","given":"Brent"},{"family":"Fanzo","given":"Jess"},{"family":"Godfray","given":"H. Charles J."},{"family":"Tilman","given":"David"},{"family":"Rockström","given":"Johan"},{"family":"Willett","given":"Walter"}],"issued":{"date-parts":[["2018"]]}}}],"schema":"https://github.com/citation-style-language/schema/raw/master/csl-citation.json"} </w:instrText>
      </w:r>
      <w:r w:rsidRPr="009664B1">
        <w:rPr>
          <w:rFonts w:ascii="Arial" w:hAnsi="Arial" w:cs="Arial"/>
          <w:color w:val="000000"/>
          <w:sz w:val="22"/>
          <w:szCs w:val="22"/>
        </w:rPr>
        <w:fldChar w:fldCharType="separate"/>
      </w:r>
      <w:r w:rsidR="00935615" w:rsidRPr="00935615">
        <w:rPr>
          <w:rFonts w:ascii="Arial" w:hAnsi="Arial" w:cs="Arial"/>
          <w:color w:val="000000"/>
          <w:kern w:val="0"/>
          <w:sz w:val="22"/>
          <w:vertAlign w:val="superscript"/>
        </w:rPr>
        <w:t>55</w:t>
      </w:r>
      <w:r w:rsidRPr="009664B1">
        <w:rPr>
          <w:rFonts w:ascii="Arial" w:hAnsi="Arial" w:cs="Arial"/>
          <w:color w:val="000000"/>
          <w:sz w:val="22"/>
          <w:szCs w:val="22"/>
        </w:rPr>
        <w:fldChar w:fldCharType="end"/>
      </w:r>
      <w:r w:rsidRPr="009664B1">
        <w:rPr>
          <w:rFonts w:ascii="Arial" w:hAnsi="Arial" w:cs="Arial"/>
          <w:sz w:val="22"/>
          <w:szCs w:val="22"/>
        </w:rPr>
        <w:t>.</w:t>
      </w:r>
      <w:r w:rsidRPr="009664B1">
        <w:rPr>
          <w:rFonts w:ascii="Arial" w:hAnsi="Arial" w:cs="Arial"/>
          <w:sz w:val="22"/>
          <w:szCs w:val="22"/>
        </w:rPr>
        <w:t xml:space="preserve"> </w:t>
      </w:r>
      <w:r w:rsidRPr="009664B1">
        <w:rPr>
          <w:rFonts w:ascii="Arial" w:hAnsi="Arial" w:cs="Arial"/>
          <w:sz w:val="22"/>
          <w:szCs w:val="22"/>
        </w:rPr>
        <w:t xml:space="preserve">The dietary contributions to mitigation in line with staying within planetary boundaries amounted to 70% for GHG emissions, 18% for land use, 19% for water use, 17% for nitrogen application, and 18% for phosphorus </w:t>
      </w:r>
      <w:r w:rsidRPr="00BB231B">
        <w:rPr>
          <w:rFonts w:ascii="Arial" w:hAnsi="Arial" w:cs="Arial"/>
          <w:sz w:val="22"/>
          <w:szCs w:val="22"/>
        </w:rPr>
        <w:t>application</w:t>
      </w:r>
      <w:r w:rsidR="00337661" w:rsidRPr="00BB231B">
        <w:rPr>
          <w:rFonts w:ascii="Arial" w:hAnsi="Arial" w:cs="Arial"/>
          <w:sz w:val="22"/>
          <w:szCs w:val="22"/>
        </w:rPr>
        <w:t xml:space="preserve"> (Figure S1)</w:t>
      </w:r>
      <w:r w:rsidRPr="009664B1">
        <w:rPr>
          <w:rFonts w:ascii="Arial" w:hAnsi="Arial" w:cs="Arial"/>
          <w:sz w:val="22"/>
          <w:szCs w:val="22"/>
        </w:rPr>
        <w:t xml:space="preserve">. </w:t>
      </w:r>
      <w:r w:rsidR="00337661" w:rsidRPr="009664B1">
        <w:rPr>
          <w:rFonts w:ascii="Arial" w:hAnsi="Arial" w:cs="Arial"/>
          <w:sz w:val="22"/>
          <w:szCs w:val="22"/>
        </w:rPr>
        <w:t xml:space="preserve">Normalised to sum to 100% and assigning the contributions of diet-related reduction in nitrogen and phosphorus application to eutrophication (which ecologically is related to both) resulted in weighing fractions of </w:t>
      </w:r>
      <w:r w:rsidR="00337661" w:rsidRPr="009664B1">
        <w:rPr>
          <w:rFonts w:ascii="Arial" w:hAnsi="Arial" w:cs="Arial"/>
          <w:sz w:val="22"/>
          <w:szCs w:val="22"/>
        </w:rPr>
        <w:t>46% for GHG emissions, 12% each for land use and water use, and 30% for eutrophication potential.</w:t>
      </w:r>
    </w:p>
    <w:p w14:paraId="3B621677" w14:textId="77777777" w:rsidR="00B63ED9" w:rsidRPr="009664B1" w:rsidRDefault="00B63ED9" w:rsidP="00FC0B1B">
      <w:pPr>
        <w:spacing w:line="360" w:lineRule="auto"/>
        <w:rPr>
          <w:rFonts w:ascii="Arial" w:hAnsi="Arial" w:cs="Arial"/>
          <w:sz w:val="22"/>
          <w:szCs w:val="22"/>
        </w:rPr>
      </w:pPr>
    </w:p>
    <w:p w14:paraId="146271EF" w14:textId="715E4CAE" w:rsidR="00D84C9D" w:rsidRPr="009664B1" w:rsidRDefault="00337661" w:rsidP="00FC0B1B">
      <w:pPr>
        <w:pStyle w:val="SMcaption"/>
        <w:spacing w:line="360" w:lineRule="auto"/>
        <w:rPr>
          <w:rFonts w:ascii="Arial" w:hAnsi="Arial" w:cs="Arial"/>
          <w:sz w:val="22"/>
          <w:szCs w:val="22"/>
          <w:lang w:val="en-GB"/>
        </w:rPr>
      </w:pPr>
      <w:r w:rsidRPr="009664B1">
        <w:rPr>
          <w:rFonts w:ascii="Arial" w:hAnsi="Arial" w:cs="Arial"/>
          <w:b/>
          <w:bCs/>
          <w:sz w:val="22"/>
          <w:szCs w:val="22"/>
          <w:lang w:val="en-GB"/>
        </w:rPr>
        <w:t>Figure S1.</w:t>
      </w:r>
      <w:r w:rsidRPr="009664B1">
        <w:rPr>
          <w:rFonts w:ascii="Arial" w:hAnsi="Arial" w:cs="Arial"/>
          <w:sz w:val="22"/>
          <w:szCs w:val="22"/>
          <w:lang w:val="en-GB"/>
        </w:rPr>
        <w:t xml:space="preserve"> </w:t>
      </w:r>
      <w:r w:rsidR="00D84C9D" w:rsidRPr="009664B1">
        <w:rPr>
          <w:rFonts w:ascii="Arial" w:hAnsi="Arial" w:cs="Arial"/>
          <w:sz w:val="22"/>
          <w:szCs w:val="22"/>
          <w:lang w:val="en-GB"/>
        </w:rPr>
        <w:t>Contribution of mitigation measures to simultaneously reduce environmental impacts below environmental limits (planetary boundaries); adapted from Springmann and colleagues</w:t>
      </w:r>
      <w:r w:rsidRPr="009664B1">
        <w:rPr>
          <w:rFonts w:ascii="Arial" w:hAnsi="Arial" w:cs="Arial"/>
          <w:sz w:val="22"/>
          <w:szCs w:val="22"/>
          <w:lang w:val="en-GB"/>
        </w:rPr>
        <w:t xml:space="preserve"> </w:t>
      </w:r>
      <w:r w:rsidRPr="009664B1">
        <w:rPr>
          <w:rFonts w:ascii="Arial" w:hAnsi="Arial" w:cs="Arial"/>
          <w:color w:val="000000"/>
          <w:sz w:val="22"/>
          <w:szCs w:val="22"/>
          <w:lang w:val="en-GB"/>
        </w:rPr>
        <w:fldChar w:fldCharType="begin"/>
      </w:r>
      <w:r w:rsidR="00935615">
        <w:rPr>
          <w:rFonts w:ascii="Arial" w:hAnsi="Arial" w:cs="Arial"/>
          <w:color w:val="000000"/>
          <w:sz w:val="22"/>
          <w:szCs w:val="22"/>
          <w:lang w:val="en-GB"/>
        </w:rPr>
        <w:instrText xml:space="preserve"> ADDIN ZOTERO_ITEM CSL_CITATION {"citationID":"1C5ssRFq","properties":{"formattedCitation":"\\super 55\\nosupersub{}","plainCitation":"55","noteIndex":0},"citationItems":[{"id":2124,"uris":["http://zotero.org/users/14122/items/GPS58PPF"],"itemData":{"id":2124,"type":"article-journal","abstract":"The food system is a major driver of climate change, changes in land use, depletion of freshwater resources, and pollution of aquatic and terrestrial ecosystems through excessive nitrogen and phosphorus inputs. Here we show that between 2010 and 2050, as a result of expected changes in population and income levels, the environmental effects of the food system could increase by 50–90% in the absence of technological changes and dedicated mitigation measures, reaching levels that are beyond the planetary boundaries that define a safe operating space for humanity. We analyse several options for reducing the environmental effects of the food system, including dietary changes towards healthier, more plant-based diets, improvements in technologies and management, and reductions in food loss and waste. We find that no single measure is enough to keep these effects within all planetary boundaries simultaneously, and that a synergistic combination of measures will be needed to sufficiently mitigate the projected increase in environmental pressures.","container-title":"Nature","issue":"7728","page":"519–525","title":"Options for keeping the food system within environmental limits","volume":"562","author":[{"family":"Springmann","given":"M."},{"family":"Clark","given":"Michael"},{"family":"Mason-D’Croz","given":"Daniel"},{"family":"Wiebe","given":"Keith"},{"family":"Bodirsky","given":"Benjamin Leon"},{"family":"Lassaletta","given":"Luis"},{"family":"Vries","given":"Wim","dropping-particle":"de"},{"family":"Vermeulen","given":"Sonja J."},{"family":"Herrero","given":"Mario"},{"family":"Carlson","given":"Kimberly M."},{"family":"Jonell","given":"Malin"},{"family":"Troell","given":"Max"},{"family":"DeClerck","given":"Fabrice"},{"family":"Gordon","given":"Line J."},{"family":"Zurayk","given":"Rami"},{"family":"Scarborough","given":"Peter"},{"family":"Rayner","given":"Mike"},{"family":"Loken","given":"Brent"},{"family":"Fanzo","given":"Jess"},{"family":"Godfray","given":"H. Charles J."},{"family":"Tilman","given":"David"},{"family":"Rockström","given":"Johan"},{"family":"Willett","given":"Walter"}],"issued":{"date-parts":[["2018"]]}}}],"schema":"https://github.com/citation-style-language/schema/raw/master/csl-citation.json"} </w:instrText>
      </w:r>
      <w:r w:rsidRPr="009664B1">
        <w:rPr>
          <w:rFonts w:ascii="Arial" w:hAnsi="Arial" w:cs="Arial"/>
          <w:color w:val="000000"/>
          <w:sz w:val="22"/>
          <w:szCs w:val="22"/>
          <w:lang w:val="en-GB"/>
        </w:rPr>
        <w:fldChar w:fldCharType="separate"/>
      </w:r>
      <w:r w:rsidR="00935615" w:rsidRPr="00935615">
        <w:rPr>
          <w:rFonts w:ascii="Arial" w:hAnsi="Arial" w:cs="Arial"/>
          <w:color w:val="000000"/>
          <w:sz w:val="22"/>
          <w:vertAlign w:val="superscript"/>
        </w:rPr>
        <w:t>55</w:t>
      </w:r>
      <w:r w:rsidRPr="009664B1">
        <w:rPr>
          <w:rFonts w:ascii="Arial" w:hAnsi="Arial" w:cs="Arial"/>
          <w:color w:val="000000"/>
          <w:sz w:val="22"/>
          <w:szCs w:val="22"/>
          <w:lang w:val="en-GB"/>
        </w:rPr>
        <w:fldChar w:fldCharType="end"/>
      </w:r>
      <w:r w:rsidR="00D84C9D" w:rsidRPr="009664B1">
        <w:rPr>
          <w:rFonts w:ascii="Arial" w:hAnsi="Arial" w:cs="Arial"/>
          <w:sz w:val="22"/>
          <w:szCs w:val="22"/>
          <w:lang w:val="en-GB"/>
        </w:rPr>
        <w:t xml:space="preserve"> (Figure 4). The mitigation measures include dietary changes to flexitarian diets (FLX), technological improvements of medium (tech) and high ambition (tech+), halving of food loss and waste (w/2), and socioeconomic development with higher income growth and lower population growth (SSP1). </w:t>
      </w:r>
    </w:p>
    <w:p w14:paraId="1FB9A04A" w14:textId="77777777" w:rsidR="00D84C9D" w:rsidRPr="009664B1" w:rsidRDefault="00D84C9D" w:rsidP="00FC0B1B">
      <w:pPr>
        <w:pStyle w:val="SMcaption"/>
        <w:spacing w:line="360" w:lineRule="auto"/>
        <w:rPr>
          <w:rFonts w:ascii="Arial" w:hAnsi="Arial" w:cs="Arial"/>
          <w:sz w:val="22"/>
          <w:szCs w:val="22"/>
          <w:lang w:val="en-GB"/>
        </w:rPr>
      </w:pPr>
      <w:r w:rsidRPr="009664B1">
        <w:rPr>
          <w:rFonts w:ascii="Arial" w:hAnsi="Arial" w:cs="Arial"/>
          <w:noProof/>
          <w:sz w:val="22"/>
          <w:szCs w:val="22"/>
          <w:lang w:val="en-GB"/>
        </w:rPr>
        <w:drawing>
          <wp:inline distT="0" distB="0" distL="0" distR="0" wp14:anchorId="2F46EEC8" wp14:editId="4F433576">
            <wp:extent cx="4553712" cy="3058130"/>
            <wp:effectExtent l="0" t="0" r="0" b="3175"/>
            <wp:docPr id="540198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98872" name=""/>
                    <pic:cNvPicPr/>
                  </pic:nvPicPr>
                  <pic:blipFill>
                    <a:blip r:embed="rId12"/>
                    <a:stretch>
                      <a:fillRect/>
                    </a:stretch>
                  </pic:blipFill>
                  <pic:spPr>
                    <a:xfrm>
                      <a:off x="0" y="0"/>
                      <a:ext cx="4563146" cy="3064465"/>
                    </a:xfrm>
                    <a:prstGeom prst="rect">
                      <a:avLst/>
                    </a:prstGeom>
                  </pic:spPr>
                </pic:pic>
              </a:graphicData>
            </a:graphic>
          </wp:inline>
        </w:drawing>
      </w:r>
    </w:p>
    <w:p w14:paraId="1997B95A" w14:textId="77777777" w:rsidR="00BE6923" w:rsidRPr="009664B1" w:rsidRDefault="00BE6923" w:rsidP="00FC0B1B">
      <w:pPr>
        <w:pStyle w:val="SMcaption"/>
        <w:spacing w:line="360" w:lineRule="auto"/>
        <w:rPr>
          <w:rFonts w:ascii="Arial" w:hAnsi="Arial" w:cs="Arial"/>
          <w:sz w:val="22"/>
          <w:szCs w:val="22"/>
          <w:lang w:val="en-GB"/>
        </w:rPr>
      </w:pPr>
    </w:p>
    <w:p w14:paraId="7A85CDFB" w14:textId="77777777" w:rsidR="00BE6923" w:rsidRPr="009664B1" w:rsidRDefault="00BE6923" w:rsidP="00FC0B1B">
      <w:pPr>
        <w:pStyle w:val="SMcaption"/>
        <w:spacing w:line="360" w:lineRule="auto"/>
        <w:rPr>
          <w:rFonts w:ascii="Arial" w:hAnsi="Arial" w:cs="Arial"/>
          <w:sz w:val="22"/>
          <w:szCs w:val="22"/>
          <w:lang w:val="en-GB"/>
        </w:rPr>
      </w:pPr>
    </w:p>
    <w:p w14:paraId="72E34888" w14:textId="77777777" w:rsidR="00D84C9D" w:rsidRPr="009664B1" w:rsidRDefault="00D84C9D" w:rsidP="00FC0B1B">
      <w:pPr>
        <w:spacing w:line="360" w:lineRule="auto"/>
        <w:rPr>
          <w:rFonts w:ascii="Arial" w:hAnsi="Arial" w:cs="Arial"/>
          <w:sz w:val="22"/>
          <w:szCs w:val="22"/>
        </w:rPr>
      </w:pPr>
    </w:p>
    <w:p w14:paraId="100B05BC" w14:textId="11E7B5A5" w:rsidR="001E2C97" w:rsidRPr="009664B1" w:rsidRDefault="001E2C97" w:rsidP="00FC0B1B">
      <w:pPr>
        <w:spacing w:line="360" w:lineRule="auto"/>
        <w:rPr>
          <w:rFonts w:ascii="Arial" w:hAnsi="Arial" w:cs="Arial"/>
          <w:sz w:val="22"/>
          <w:szCs w:val="22"/>
        </w:rPr>
      </w:pPr>
      <w:r w:rsidRPr="009664B1">
        <w:rPr>
          <w:rFonts w:ascii="Arial" w:hAnsi="Arial" w:cs="Arial"/>
          <w:sz w:val="22"/>
          <w:szCs w:val="22"/>
        </w:rPr>
        <w:br w:type="page"/>
      </w:r>
    </w:p>
    <w:p w14:paraId="1931AA13" w14:textId="6B15EC26" w:rsidR="00ED316C" w:rsidRPr="00ED316C" w:rsidRDefault="00ED316C" w:rsidP="00FC0B1B">
      <w:pPr>
        <w:pStyle w:val="Heading1"/>
        <w:spacing w:line="360" w:lineRule="auto"/>
        <w:rPr>
          <w:rFonts w:ascii="Arial" w:hAnsi="Arial" w:cs="Arial"/>
          <w:b/>
          <w:bCs/>
          <w:color w:val="000000" w:themeColor="text1"/>
          <w:sz w:val="24"/>
          <w:szCs w:val="24"/>
        </w:rPr>
      </w:pPr>
      <w:bookmarkStart w:id="7" w:name="_Toc195730123"/>
      <w:r w:rsidRPr="00ED316C">
        <w:rPr>
          <w:rFonts w:ascii="Arial" w:hAnsi="Arial" w:cs="Arial"/>
          <w:b/>
          <w:bCs/>
          <w:color w:val="000000" w:themeColor="text1"/>
          <w:sz w:val="24"/>
          <w:szCs w:val="24"/>
        </w:rPr>
        <w:lastRenderedPageBreak/>
        <w:t>S</w:t>
      </w:r>
      <w:r>
        <w:rPr>
          <w:rFonts w:ascii="Arial" w:hAnsi="Arial" w:cs="Arial"/>
          <w:b/>
          <w:bCs/>
          <w:color w:val="000000" w:themeColor="text1"/>
          <w:sz w:val="24"/>
          <w:szCs w:val="24"/>
        </w:rPr>
        <w:t>5</w:t>
      </w:r>
      <w:r w:rsidRPr="00ED316C">
        <w:rPr>
          <w:rFonts w:ascii="Arial" w:hAnsi="Arial" w:cs="Arial"/>
          <w:b/>
          <w:bCs/>
          <w:color w:val="000000" w:themeColor="text1"/>
          <w:sz w:val="24"/>
          <w:szCs w:val="24"/>
        </w:rPr>
        <w:tab/>
      </w:r>
      <w:r>
        <w:rPr>
          <w:rFonts w:ascii="Arial" w:hAnsi="Arial" w:cs="Arial"/>
          <w:b/>
          <w:bCs/>
          <w:color w:val="000000" w:themeColor="text1"/>
          <w:sz w:val="24"/>
          <w:szCs w:val="24"/>
        </w:rPr>
        <w:t>Supplementary results</w:t>
      </w:r>
      <w:bookmarkEnd w:id="7"/>
      <w:r w:rsidRPr="00ED316C">
        <w:rPr>
          <w:rFonts w:ascii="Arial" w:hAnsi="Arial" w:cs="Arial"/>
          <w:b/>
          <w:bCs/>
          <w:color w:val="000000" w:themeColor="text1"/>
          <w:sz w:val="24"/>
          <w:szCs w:val="24"/>
        </w:rPr>
        <w:t xml:space="preserve"> </w:t>
      </w:r>
    </w:p>
    <w:p w14:paraId="7EA45E8F" w14:textId="358A4691" w:rsidR="00553461" w:rsidRPr="009664B1" w:rsidRDefault="00553461" w:rsidP="00FC0B1B">
      <w:pPr>
        <w:spacing w:line="360" w:lineRule="auto"/>
        <w:rPr>
          <w:rFonts w:ascii="Arial" w:hAnsi="Arial" w:cs="Arial"/>
          <w:b/>
          <w:bCs/>
          <w:sz w:val="22"/>
          <w:szCs w:val="22"/>
        </w:rPr>
      </w:pPr>
    </w:p>
    <w:p w14:paraId="41253FD9" w14:textId="4703F2D1" w:rsidR="009B60D8" w:rsidRPr="009664B1" w:rsidRDefault="009B60D8" w:rsidP="00FC0B1B">
      <w:pPr>
        <w:spacing w:line="360" w:lineRule="auto"/>
        <w:rPr>
          <w:rFonts w:ascii="Arial" w:hAnsi="Arial" w:cs="Arial"/>
          <w:sz w:val="22"/>
          <w:szCs w:val="22"/>
        </w:rPr>
      </w:pPr>
      <w:r w:rsidRPr="009664B1">
        <w:rPr>
          <w:rFonts w:ascii="Arial" w:hAnsi="Arial" w:cs="Arial"/>
          <w:b/>
          <w:bCs/>
          <w:sz w:val="22"/>
          <w:szCs w:val="22"/>
        </w:rPr>
        <w:t>Figure S</w:t>
      </w:r>
      <w:r w:rsidR="00553461" w:rsidRPr="009664B1">
        <w:rPr>
          <w:rFonts w:ascii="Arial" w:hAnsi="Arial" w:cs="Arial"/>
          <w:b/>
          <w:bCs/>
          <w:sz w:val="22"/>
          <w:szCs w:val="22"/>
        </w:rPr>
        <w:t>2</w:t>
      </w:r>
      <w:r w:rsidRPr="009664B1">
        <w:rPr>
          <w:rFonts w:ascii="Arial" w:hAnsi="Arial" w:cs="Arial"/>
          <w:b/>
          <w:bCs/>
          <w:sz w:val="22"/>
          <w:szCs w:val="22"/>
        </w:rPr>
        <w:t>.</w:t>
      </w:r>
      <w:r w:rsidRPr="009664B1">
        <w:rPr>
          <w:rFonts w:ascii="Arial" w:hAnsi="Arial" w:cs="Arial"/>
          <w:sz w:val="22"/>
          <w:szCs w:val="22"/>
        </w:rPr>
        <w:t xml:space="preserve"> </w:t>
      </w:r>
      <w:r w:rsidR="001873D1">
        <w:rPr>
          <w:rFonts w:ascii="Arial" w:hAnsi="Arial" w:cs="Arial"/>
          <w:sz w:val="22"/>
          <w:szCs w:val="22"/>
        </w:rPr>
        <w:t>Regional variation in current energy intake</w:t>
      </w:r>
      <w:r w:rsidR="00B63ED9">
        <w:rPr>
          <w:rFonts w:ascii="Arial" w:hAnsi="Arial" w:cs="Arial"/>
          <w:sz w:val="22"/>
          <w:szCs w:val="22"/>
        </w:rPr>
        <w:t xml:space="preserve"> (</w:t>
      </w:r>
      <w:r w:rsidR="00B63ED9" w:rsidRPr="001873D1">
        <w:rPr>
          <w:rFonts w:ascii="Arial" w:hAnsi="Arial" w:cs="Arial"/>
          <w:b/>
          <w:bCs/>
          <w:sz w:val="22"/>
          <w:szCs w:val="22"/>
        </w:rPr>
        <w:t>A</w:t>
      </w:r>
      <w:r w:rsidR="00B63ED9">
        <w:rPr>
          <w:rFonts w:ascii="Arial" w:hAnsi="Arial" w:cs="Arial"/>
          <w:sz w:val="22"/>
          <w:szCs w:val="22"/>
        </w:rPr>
        <w:t xml:space="preserve">), </w:t>
      </w:r>
      <w:r w:rsidR="001873D1">
        <w:rPr>
          <w:rFonts w:ascii="Arial" w:hAnsi="Arial" w:cs="Arial"/>
          <w:sz w:val="22"/>
          <w:szCs w:val="22"/>
        </w:rPr>
        <w:t xml:space="preserve">energy requirements associated with recommended </w:t>
      </w:r>
      <w:r w:rsidR="00B63ED9">
        <w:rPr>
          <w:rFonts w:ascii="Arial" w:hAnsi="Arial" w:cs="Arial"/>
          <w:sz w:val="22"/>
          <w:szCs w:val="22"/>
        </w:rPr>
        <w:t>body weights and physical activity leve</w:t>
      </w:r>
      <w:r w:rsidR="001873D1">
        <w:rPr>
          <w:rFonts w:ascii="Arial" w:hAnsi="Arial" w:cs="Arial"/>
          <w:sz w:val="22"/>
          <w:szCs w:val="22"/>
        </w:rPr>
        <w:t>l</w:t>
      </w:r>
      <w:r w:rsidR="00B63ED9">
        <w:rPr>
          <w:rFonts w:ascii="Arial" w:hAnsi="Arial" w:cs="Arial"/>
          <w:sz w:val="22"/>
          <w:szCs w:val="22"/>
        </w:rPr>
        <w:t>s</w:t>
      </w:r>
      <w:r w:rsidR="001873D1">
        <w:rPr>
          <w:rFonts w:ascii="Arial" w:hAnsi="Arial" w:cs="Arial"/>
          <w:sz w:val="22"/>
          <w:szCs w:val="22"/>
        </w:rPr>
        <w:t xml:space="preserve"> (</w:t>
      </w:r>
      <w:r w:rsidR="001873D1" w:rsidRPr="001873D1">
        <w:rPr>
          <w:rFonts w:ascii="Arial" w:hAnsi="Arial" w:cs="Arial"/>
          <w:b/>
          <w:bCs/>
          <w:sz w:val="22"/>
          <w:szCs w:val="22"/>
        </w:rPr>
        <w:t>B</w:t>
      </w:r>
      <w:r w:rsidR="001873D1">
        <w:rPr>
          <w:rFonts w:ascii="Arial" w:hAnsi="Arial" w:cs="Arial"/>
          <w:sz w:val="22"/>
          <w:szCs w:val="22"/>
        </w:rPr>
        <w:t xml:space="preserve">), energy requirements associated with recommended </w:t>
      </w:r>
      <w:r w:rsidR="001873D1">
        <w:rPr>
          <w:rFonts w:ascii="Arial" w:hAnsi="Arial" w:cs="Arial"/>
          <w:sz w:val="22"/>
          <w:szCs w:val="22"/>
        </w:rPr>
        <w:t xml:space="preserve">body weights </w:t>
      </w:r>
      <w:r w:rsidR="001873D1">
        <w:rPr>
          <w:rFonts w:ascii="Arial" w:hAnsi="Arial" w:cs="Arial"/>
          <w:sz w:val="22"/>
          <w:szCs w:val="22"/>
        </w:rPr>
        <w:t>at current</w:t>
      </w:r>
      <w:r w:rsidR="001873D1">
        <w:rPr>
          <w:rFonts w:ascii="Arial" w:hAnsi="Arial" w:cs="Arial"/>
          <w:sz w:val="22"/>
          <w:szCs w:val="22"/>
        </w:rPr>
        <w:t xml:space="preserve"> physical activity levels</w:t>
      </w:r>
      <w:r w:rsidR="001873D1">
        <w:rPr>
          <w:rFonts w:ascii="Arial" w:hAnsi="Arial" w:cs="Arial"/>
          <w:sz w:val="22"/>
          <w:szCs w:val="22"/>
        </w:rPr>
        <w:t xml:space="preserve"> (</w:t>
      </w:r>
      <w:r w:rsidR="001873D1" w:rsidRPr="001873D1">
        <w:rPr>
          <w:rFonts w:ascii="Arial" w:hAnsi="Arial" w:cs="Arial"/>
          <w:b/>
          <w:bCs/>
          <w:sz w:val="22"/>
          <w:szCs w:val="22"/>
        </w:rPr>
        <w:t>C</w:t>
      </w:r>
      <w:r w:rsidR="001873D1">
        <w:rPr>
          <w:rFonts w:ascii="Arial" w:hAnsi="Arial" w:cs="Arial"/>
          <w:sz w:val="22"/>
          <w:szCs w:val="22"/>
        </w:rPr>
        <w:t>).</w:t>
      </w:r>
    </w:p>
    <w:p w14:paraId="4D0F45CB" w14:textId="77777777" w:rsidR="009B60D8" w:rsidRPr="009664B1" w:rsidRDefault="009B60D8" w:rsidP="00FC0B1B">
      <w:pPr>
        <w:spacing w:line="360" w:lineRule="auto"/>
        <w:rPr>
          <w:rFonts w:ascii="Arial" w:hAnsi="Arial" w:cs="Arial"/>
          <w:sz w:val="22"/>
          <w:szCs w:val="22"/>
        </w:rPr>
      </w:pPr>
      <w:r w:rsidRPr="009664B1">
        <w:rPr>
          <w:rFonts w:ascii="Arial" w:hAnsi="Arial" w:cs="Arial"/>
          <w:noProof/>
          <w:sz w:val="22"/>
          <w:szCs w:val="22"/>
        </w:rPr>
        <w:drawing>
          <wp:inline distT="0" distB="0" distL="0" distR="0" wp14:anchorId="60013CCE" wp14:editId="2A868CEB">
            <wp:extent cx="5731510" cy="6877685"/>
            <wp:effectExtent l="0" t="0" r="0" b="5715"/>
            <wp:docPr id="1718474104" name="Picture 10" descr="A screenshot of a cell phone showing different colored m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74104" name="Picture 10" descr="A screenshot of a cell phone showing different colored map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877685"/>
                    </a:xfrm>
                    <a:prstGeom prst="rect">
                      <a:avLst/>
                    </a:prstGeom>
                  </pic:spPr>
                </pic:pic>
              </a:graphicData>
            </a:graphic>
          </wp:inline>
        </w:drawing>
      </w:r>
    </w:p>
    <w:p w14:paraId="5DF54E0B" w14:textId="77777777" w:rsidR="009B60D8" w:rsidRPr="009664B1" w:rsidRDefault="009B60D8" w:rsidP="00FC0B1B">
      <w:pPr>
        <w:spacing w:line="360" w:lineRule="auto"/>
        <w:rPr>
          <w:rFonts w:ascii="Arial" w:hAnsi="Arial" w:cs="Arial"/>
          <w:b/>
          <w:bCs/>
          <w:sz w:val="22"/>
          <w:szCs w:val="22"/>
        </w:rPr>
      </w:pPr>
      <w:r w:rsidRPr="009664B1">
        <w:rPr>
          <w:rFonts w:ascii="Arial" w:hAnsi="Arial" w:cs="Arial"/>
          <w:b/>
          <w:bCs/>
          <w:sz w:val="22"/>
          <w:szCs w:val="22"/>
        </w:rPr>
        <w:br w:type="page"/>
      </w:r>
    </w:p>
    <w:p w14:paraId="4543656A" w14:textId="17E66D77" w:rsidR="009B60D8" w:rsidRPr="009664B1" w:rsidRDefault="009B60D8" w:rsidP="00FC0B1B">
      <w:pPr>
        <w:spacing w:line="360" w:lineRule="auto"/>
        <w:rPr>
          <w:rFonts w:ascii="Arial" w:hAnsi="Arial" w:cs="Arial"/>
          <w:sz w:val="22"/>
          <w:szCs w:val="22"/>
        </w:rPr>
      </w:pPr>
      <w:r w:rsidRPr="009664B1">
        <w:rPr>
          <w:rFonts w:ascii="Arial" w:hAnsi="Arial" w:cs="Arial"/>
          <w:b/>
          <w:bCs/>
          <w:sz w:val="22"/>
          <w:szCs w:val="22"/>
        </w:rPr>
        <w:lastRenderedPageBreak/>
        <w:t>Figure S3.</w:t>
      </w:r>
      <w:r w:rsidRPr="009664B1">
        <w:rPr>
          <w:rFonts w:ascii="Arial" w:hAnsi="Arial" w:cs="Arial"/>
          <w:sz w:val="22"/>
          <w:szCs w:val="22"/>
        </w:rPr>
        <w:t xml:space="preserve"> Food intake by dietary pattern, </w:t>
      </w:r>
      <w:r w:rsidR="001873D1">
        <w:rPr>
          <w:rFonts w:ascii="Arial" w:hAnsi="Arial" w:cs="Arial"/>
          <w:sz w:val="22"/>
          <w:szCs w:val="22"/>
        </w:rPr>
        <w:t xml:space="preserve">and for the example of flexitarian diets by </w:t>
      </w:r>
      <w:r w:rsidRPr="009664B1">
        <w:rPr>
          <w:rFonts w:ascii="Arial" w:hAnsi="Arial" w:cs="Arial"/>
          <w:sz w:val="22"/>
          <w:szCs w:val="22"/>
        </w:rPr>
        <w:t>region, age, and sex in terms of kilocalories per person per day (</w:t>
      </w:r>
      <w:r w:rsidRPr="009664B1">
        <w:rPr>
          <w:rFonts w:ascii="Arial" w:hAnsi="Arial" w:cs="Arial"/>
          <w:b/>
          <w:bCs/>
          <w:sz w:val="22"/>
          <w:szCs w:val="22"/>
        </w:rPr>
        <w:t>A</w:t>
      </w:r>
      <w:r w:rsidRPr="009664B1">
        <w:rPr>
          <w:rFonts w:ascii="Arial" w:hAnsi="Arial" w:cs="Arial"/>
          <w:sz w:val="22"/>
          <w:szCs w:val="22"/>
        </w:rPr>
        <w:t>), grams per person per day (</w:t>
      </w:r>
      <w:r w:rsidRPr="009664B1">
        <w:rPr>
          <w:rFonts w:ascii="Arial" w:hAnsi="Arial" w:cs="Arial"/>
          <w:b/>
          <w:bCs/>
          <w:sz w:val="22"/>
          <w:szCs w:val="22"/>
        </w:rPr>
        <w:t>B</w:t>
      </w:r>
      <w:r w:rsidRPr="009664B1">
        <w:rPr>
          <w:rFonts w:ascii="Arial" w:hAnsi="Arial" w:cs="Arial"/>
          <w:sz w:val="22"/>
          <w:szCs w:val="22"/>
        </w:rPr>
        <w:t>), and servings per person per day (</w:t>
      </w:r>
      <w:r w:rsidRPr="009664B1">
        <w:rPr>
          <w:rFonts w:ascii="Arial" w:hAnsi="Arial" w:cs="Arial"/>
          <w:b/>
          <w:bCs/>
          <w:sz w:val="22"/>
          <w:szCs w:val="22"/>
        </w:rPr>
        <w:t>C</w:t>
      </w:r>
      <w:r w:rsidRPr="009664B1">
        <w:rPr>
          <w:rFonts w:ascii="Arial" w:hAnsi="Arial" w:cs="Arial"/>
          <w:sz w:val="22"/>
          <w:szCs w:val="22"/>
        </w:rPr>
        <w:t>). The dietary patterns include flexitarian (FLX), pescatarian (PSC), vegetarian (VEG), and vegan (VGN) diets. The regions include</w:t>
      </w:r>
      <w:r w:rsidR="001873D1">
        <w:rPr>
          <w:rFonts w:ascii="Arial" w:hAnsi="Arial" w:cs="Arial"/>
          <w:sz w:val="22"/>
          <w:szCs w:val="22"/>
        </w:rPr>
        <w:t xml:space="preserve"> North America (NAC), Latin America &amp; Caribbean (LCN), Europe &amp; Central Asia (ECS), Middle East &amp; North Africa (MEA), South Asia (SAS), East Asia &amp; Pacific (EAS), and Sub-Saharan Africa (SSF). </w:t>
      </w:r>
    </w:p>
    <w:p w14:paraId="45967118" w14:textId="77777777" w:rsidR="009B60D8" w:rsidRPr="009664B1" w:rsidRDefault="009B60D8" w:rsidP="00FC0B1B">
      <w:pPr>
        <w:spacing w:line="360" w:lineRule="auto"/>
        <w:rPr>
          <w:rFonts w:ascii="Arial" w:hAnsi="Arial" w:cs="Arial"/>
          <w:sz w:val="22"/>
          <w:szCs w:val="22"/>
        </w:rPr>
      </w:pPr>
      <w:r w:rsidRPr="009664B1">
        <w:rPr>
          <w:rFonts w:ascii="Arial" w:hAnsi="Arial" w:cs="Arial"/>
          <w:noProof/>
          <w:sz w:val="22"/>
          <w:szCs w:val="22"/>
        </w:rPr>
        <w:drawing>
          <wp:inline distT="0" distB="0" distL="0" distR="0" wp14:anchorId="06D8E44C" wp14:editId="49BAF1AE">
            <wp:extent cx="5731510" cy="6877685"/>
            <wp:effectExtent l="0" t="0" r="0" b="5715"/>
            <wp:docPr id="135324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41491" name="Picture 1353241491"/>
                    <pic:cNvPicPr/>
                  </pic:nvPicPr>
                  <pic:blipFill>
                    <a:blip r:embed="rId14"/>
                    <a:stretch>
                      <a:fillRect/>
                    </a:stretch>
                  </pic:blipFill>
                  <pic:spPr>
                    <a:xfrm>
                      <a:off x="0" y="0"/>
                      <a:ext cx="5731510" cy="6877685"/>
                    </a:xfrm>
                    <a:prstGeom prst="rect">
                      <a:avLst/>
                    </a:prstGeom>
                  </pic:spPr>
                </pic:pic>
              </a:graphicData>
            </a:graphic>
          </wp:inline>
        </w:drawing>
      </w:r>
    </w:p>
    <w:p w14:paraId="377D7A8A" w14:textId="77777777" w:rsidR="009B60D8" w:rsidRPr="009664B1" w:rsidRDefault="009B60D8" w:rsidP="00FC0B1B">
      <w:pPr>
        <w:spacing w:line="360" w:lineRule="auto"/>
        <w:rPr>
          <w:rFonts w:ascii="Arial" w:hAnsi="Arial" w:cs="Arial"/>
          <w:sz w:val="22"/>
          <w:szCs w:val="22"/>
        </w:rPr>
      </w:pPr>
      <w:r w:rsidRPr="009664B1">
        <w:rPr>
          <w:rFonts w:ascii="Arial" w:hAnsi="Arial" w:cs="Arial"/>
          <w:sz w:val="22"/>
          <w:szCs w:val="22"/>
        </w:rPr>
        <w:br w:type="page"/>
      </w:r>
    </w:p>
    <w:p w14:paraId="28CD907A" w14:textId="720E0596" w:rsidR="009B60D8" w:rsidRPr="009664B1" w:rsidRDefault="009B60D8" w:rsidP="00FC0B1B">
      <w:pPr>
        <w:spacing w:line="360" w:lineRule="auto"/>
        <w:rPr>
          <w:rFonts w:ascii="Arial" w:hAnsi="Arial" w:cs="Arial"/>
          <w:sz w:val="22"/>
          <w:szCs w:val="22"/>
        </w:rPr>
      </w:pPr>
      <w:r w:rsidRPr="009664B1">
        <w:rPr>
          <w:rFonts w:ascii="Arial" w:hAnsi="Arial" w:cs="Arial"/>
          <w:b/>
          <w:bCs/>
          <w:sz w:val="22"/>
          <w:szCs w:val="22"/>
        </w:rPr>
        <w:lastRenderedPageBreak/>
        <w:t>Figure S4.</w:t>
      </w:r>
      <w:r w:rsidR="001873D1">
        <w:rPr>
          <w:rFonts w:ascii="Arial" w:hAnsi="Arial" w:cs="Arial"/>
          <w:b/>
          <w:bCs/>
          <w:sz w:val="22"/>
          <w:szCs w:val="22"/>
        </w:rPr>
        <w:t xml:space="preserve"> </w:t>
      </w:r>
      <w:r w:rsidR="001873D1">
        <w:rPr>
          <w:rFonts w:ascii="Arial" w:hAnsi="Arial" w:cs="Arial"/>
          <w:sz w:val="22"/>
          <w:szCs w:val="22"/>
        </w:rPr>
        <w:t>Change in f</w:t>
      </w:r>
      <w:r w:rsidR="001873D1" w:rsidRPr="009664B1">
        <w:rPr>
          <w:rFonts w:ascii="Arial" w:hAnsi="Arial" w:cs="Arial"/>
          <w:sz w:val="22"/>
          <w:szCs w:val="22"/>
        </w:rPr>
        <w:t xml:space="preserve">ood intake by dietary pattern, </w:t>
      </w:r>
      <w:r w:rsidR="001873D1">
        <w:rPr>
          <w:rFonts w:ascii="Arial" w:hAnsi="Arial" w:cs="Arial"/>
          <w:sz w:val="22"/>
          <w:szCs w:val="22"/>
        </w:rPr>
        <w:t xml:space="preserve">and for the example of flexitarian diets by </w:t>
      </w:r>
      <w:r w:rsidR="001873D1" w:rsidRPr="009664B1">
        <w:rPr>
          <w:rFonts w:ascii="Arial" w:hAnsi="Arial" w:cs="Arial"/>
          <w:sz w:val="22"/>
          <w:szCs w:val="22"/>
        </w:rPr>
        <w:t>region, age, and sex in terms of kilocalories per person per day (</w:t>
      </w:r>
      <w:r w:rsidR="001873D1" w:rsidRPr="009664B1">
        <w:rPr>
          <w:rFonts w:ascii="Arial" w:hAnsi="Arial" w:cs="Arial"/>
          <w:b/>
          <w:bCs/>
          <w:sz w:val="22"/>
          <w:szCs w:val="22"/>
        </w:rPr>
        <w:t>A</w:t>
      </w:r>
      <w:r w:rsidR="001873D1" w:rsidRPr="009664B1">
        <w:rPr>
          <w:rFonts w:ascii="Arial" w:hAnsi="Arial" w:cs="Arial"/>
          <w:sz w:val="22"/>
          <w:szCs w:val="22"/>
        </w:rPr>
        <w:t>), grams per person per day (</w:t>
      </w:r>
      <w:r w:rsidR="001873D1" w:rsidRPr="009664B1">
        <w:rPr>
          <w:rFonts w:ascii="Arial" w:hAnsi="Arial" w:cs="Arial"/>
          <w:b/>
          <w:bCs/>
          <w:sz w:val="22"/>
          <w:szCs w:val="22"/>
        </w:rPr>
        <w:t>B</w:t>
      </w:r>
      <w:r w:rsidR="001873D1" w:rsidRPr="009664B1">
        <w:rPr>
          <w:rFonts w:ascii="Arial" w:hAnsi="Arial" w:cs="Arial"/>
          <w:sz w:val="22"/>
          <w:szCs w:val="22"/>
        </w:rPr>
        <w:t>), and servings per person per day (</w:t>
      </w:r>
      <w:r w:rsidR="001873D1" w:rsidRPr="009664B1">
        <w:rPr>
          <w:rFonts w:ascii="Arial" w:hAnsi="Arial" w:cs="Arial"/>
          <w:b/>
          <w:bCs/>
          <w:sz w:val="22"/>
          <w:szCs w:val="22"/>
        </w:rPr>
        <w:t>C</w:t>
      </w:r>
      <w:r w:rsidR="001873D1" w:rsidRPr="009664B1">
        <w:rPr>
          <w:rFonts w:ascii="Arial" w:hAnsi="Arial" w:cs="Arial"/>
          <w:sz w:val="22"/>
          <w:szCs w:val="22"/>
        </w:rPr>
        <w:t>). The dietary patterns include flexitarian (FLX), pescatarian (PSC), vegetarian (VEG), and vegan (VGN) diets. The regions include</w:t>
      </w:r>
      <w:r w:rsidR="001873D1">
        <w:rPr>
          <w:rFonts w:ascii="Arial" w:hAnsi="Arial" w:cs="Arial"/>
          <w:sz w:val="22"/>
          <w:szCs w:val="22"/>
        </w:rPr>
        <w:t xml:space="preserve"> North America (NAC), Latin America &amp; Caribbean (LCN), Europe &amp; Central Asia (ECS), Middle East &amp; North Africa (MEA), South Asia (SAS), East Asia &amp; Pacific (EAS), and Sub-Saharan Africa (SSF). </w:t>
      </w:r>
    </w:p>
    <w:p w14:paraId="712C73CE" w14:textId="77777777" w:rsidR="009B60D8" w:rsidRPr="009664B1" w:rsidRDefault="009B60D8" w:rsidP="00FC0B1B">
      <w:pPr>
        <w:spacing w:line="360" w:lineRule="auto"/>
        <w:rPr>
          <w:rFonts w:ascii="Arial" w:hAnsi="Arial" w:cs="Arial"/>
          <w:sz w:val="22"/>
          <w:szCs w:val="22"/>
        </w:rPr>
      </w:pPr>
      <w:r w:rsidRPr="009664B1">
        <w:rPr>
          <w:rFonts w:ascii="Arial" w:hAnsi="Arial" w:cs="Arial"/>
          <w:noProof/>
          <w:sz w:val="22"/>
          <w:szCs w:val="22"/>
        </w:rPr>
        <w:drawing>
          <wp:inline distT="0" distB="0" distL="0" distR="0" wp14:anchorId="23D67149" wp14:editId="74C4C586">
            <wp:extent cx="5731510" cy="6877685"/>
            <wp:effectExtent l="0" t="0" r="0" b="5715"/>
            <wp:docPr id="203297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73657" name="Picture 2032973657"/>
                    <pic:cNvPicPr/>
                  </pic:nvPicPr>
                  <pic:blipFill>
                    <a:blip r:embed="rId15"/>
                    <a:stretch>
                      <a:fillRect/>
                    </a:stretch>
                  </pic:blipFill>
                  <pic:spPr>
                    <a:xfrm>
                      <a:off x="0" y="0"/>
                      <a:ext cx="5731510" cy="6877685"/>
                    </a:xfrm>
                    <a:prstGeom prst="rect">
                      <a:avLst/>
                    </a:prstGeom>
                  </pic:spPr>
                </pic:pic>
              </a:graphicData>
            </a:graphic>
          </wp:inline>
        </w:drawing>
      </w:r>
    </w:p>
    <w:p w14:paraId="75A68DA8" w14:textId="77777777" w:rsidR="009B60D8" w:rsidRPr="009664B1" w:rsidRDefault="009B60D8" w:rsidP="00FC0B1B">
      <w:pPr>
        <w:spacing w:line="360" w:lineRule="auto"/>
        <w:rPr>
          <w:rFonts w:ascii="Arial" w:hAnsi="Arial" w:cs="Arial"/>
          <w:sz w:val="22"/>
          <w:szCs w:val="22"/>
        </w:rPr>
      </w:pPr>
      <w:r w:rsidRPr="009664B1">
        <w:rPr>
          <w:rFonts w:ascii="Arial" w:hAnsi="Arial" w:cs="Arial"/>
          <w:sz w:val="22"/>
          <w:szCs w:val="22"/>
        </w:rPr>
        <w:br w:type="page"/>
      </w:r>
    </w:p>
    <w:p w14:paraId="2AED42DE" w14:textId="54910C69" w:rsidR="0096198D" w:rsidRPr="009664B1" w:rsidRDefault="009B60D8" w:rsidP="00FC0B1B">
      <w:pPr>
        <w:spacing w:line="360" w:lineRule="auto"/>
        <w:rPr>
          <w:rFonts w:ascii="Arial" w:hAnsi="Arial" w:cs="Arial"/>
          <w:sz w:val="22"/>
          <w:szCs w:val="22"/>
        </w:rPr>
      </w:pPr>
      <w:r w:rsidRPr="009664B1">
        <w:rPr>
          <w:rFonts w:ascii="Arial" w:hAnsi="Arial" w:cs="Arial"/>
          <w:b/>
          <w:bCs/>
          <w:sz w:val="22"/>
          <w:szCs w:val="22"/>
        </w:rPr>
        <w:lastRenderedPageBreak/>
        <w:t>Figure S5.</w:t>
      </w:r>
      <w:r w:rsidRPr="009664B1">
        <w:rPr>
          <w:rFonts w:ascii="Arial" w:hAnsi="Arial" w:cs="Arial"/>
          <w:sz w:val="22"/>
          <w:szCs w:val="22"/>
        </w:rPr>
        <w:t xml:space="preserve"> </w:t>
      </w:r>
      <w:r w:rsidR="0096198D">
        <w:rPr>
          <w:rFonts w:ascii="Arial" w:hAnsi="Arial" w:cs="Arial"/>
          <w:sz w:val="22"/>
          <w:szCs w:val="22"/>
        </w:rPr>
        <w:t>Change in f</w:t>
      </w:r>
      <w:r w:rsidR="0096198D" w:rsidRPr="009664B1">
        <w:rPr>
          <w:rFonts w:ascii="Arial" w:hAnsi="Arial" w:cs="Arial"/>
          <w:sz w:val="22"/>
          <w:szCs w:val="22"/>
        </w:rPr>
        <w:t>ood intake</w:t>
      </w:r>
      <w:r w:rsidR="0096198D">
        <w:rPr>
          <w:rFonts w:ascii="Arial" w:hAnsi="Arial" w:cs="Arial"/>
          <w:sz w:val="22"/>
          <w:szCs w:val="22"/>
        </w:rPr>
        <w:t>, including in processed foods,</w:t>
      </w:r>
      <w:r w:rsidR="0096198D" w:rsidRPr="009664B1">
        <w:rPr>
          <w:rFonts w:ascii="Arial" w:hAnsi="Arial" w:cs="Arial"/>
          <w:sz w:val="22"/>
          <w:szCs w:val="22"/>
        </w:rPr>
        <w:t xml:space="preserve"> by dietary pattern, </w:t>
      </w:r>
      <w:r w:rsidR="0096198D">
        <w:rPr>
          <w:rFonts w:ascii="Arial" w:hAnsi="Arial" w:cs="Arial"/>
          <w:sz w:val="22"/>
          <w:szCs w:val="22"/>
        </w:rPr>
        <w:t xml:space="preserve">and for the example of flexitarian diets by </w:t>
      </w:r>
      <w:r w:rsidR="0096198D" w:rsidRPr="009664B1">
        <w:rPr>
          <w:rFonts w:ascii="Arial" w:hAnsi="Arial" w:cs="Arial"/>
          <w:sz w:val="22"/>
          <w:szCs w:val="22"/>
        </w:rPr>
        <w:t>region, age, and sex in terms of kilocalories per person per day (</w:t>
      </w:r>
      <w:r w:rsidR="0096198D" w:rsidRPr="009664B1">
        <w:rPr>
          <w:rFonts w:ascii="Arial" w:hAnsi="Arial" w:cs="Arial"/>
          <w:b/>
          <w:bCs/>
          <w:sz w:val="22"/>
          <w:szCs w:val="22"/>
        </w:rPr>
        <w:t>A</w:t>
      </w:r>
      <w:r w:rsidR="0096198D" w:rsidRPr="009664B1">
        <w:rPr>
          <w:rFonts w:ascii="Arial" w:hAnsi="Arial" w:cs="Arial"/>
          <w:sz w:val="22"/>
          <w:szCs w:val="22"/>
        </w:rPr>
        <w:t>), grams per person per day (</w:t>
      </w:r>
      <w:r w:rsidR="0096198D" w:rsidRPr="009664B1">
        <w:rPr>
          <w:rFonts w:ascii="Arial" w:hAnsi="Arial" w:cs="Arial"/>
          <w:b/>
          <w:bCs/>
          <w:sz w:val="22"/>
          <w:szCs w:val="22"/>
        </w:rPr>
        <w:t>B</w:t>
      </w:r>
      <w:r w:rsidR="0096198D" w:rsidRPr="009664B1">
        <w:rPr>
          <w:rFonts w:ascii="Arial" w:hAnsi="Arial" w:cs="Arial"/>
          <w:sz w:val="22"/>
          <w:szCs w:val="22"/>
        </w:rPr>
        <w:t>), and servings per person per day (</w:t>
      </w:r>
      <w:r w:rsidR="0096198D" w:rsidRPr="009664B1">
        <w:rPr>
          <w:rFonts w:ascii="Arial" w:hAnsi="Arial" w:cs="Arial"/>
          <w:b/>
          <w:bCs/>
          <w:sz w:val="22"/>
          <w:szCs w:val="22"/>
        </w:rPr>
        <w:t>C</w:t>
      </w:r>
      <w:r w:rsidR="0096198D" w:rsidRPr="009664B1">
        <w:rPr>
          <w:rFonts w:ascii="Arial" w:hAnsi="Arial" w:cs="Arial"/>
          <w:sz w:val="22"/>
          <w:szCs w:val="22"/>
        </w:rPr>
        <w:t>). The dietary patterns include flexitarian (FLX), pescatarian (PSC), vegetarian (VEG), and vegan (VGN) diets. The regions include</w:t>
      </w:r>
      <w:r w:rsidR="0096198D">
        <w:rPr>
          <w:rFonts w:ascii="Arial" w:hAnsi="Arial" w:cs="Arial"/>
          <w:sz w:val="22"/>
          <w:szCs w:val="22"/>
        </w:rPr>
        <w:t xml:space="preserve"> North America (NAC), Latin America &amp; Caribbean (LCN), Europe &amp; Central Asia (ECS), Middle East &amp; North Africa (MEA), South Asia (SAS), East Asia &amp; Pacific (EAS), and Sub-Saharan Africa (SSF).</w:t>
      </w:r>
    </w:p>
    <w:p w14:paraId="650101A5" w14:textId="77777777" w:rsidR="009B60D8" w:rsidRPr="009664B1" w:rsidRDefault="009B60D8" w:rsidP="00FC0B1B">
      <w:pPr>
        <w:spacing w:line="360" w:lineRule="auto"/>
        <w:rPr>
          <w:rFonts w:ascii="Arial" w:hAnsi="Arial" w:cs="Arial"/>
          <w:b/>
          <w:bCs/>
          <w:sz w:val="22"/>
          <w:szCs w:val="22"/>
        </w:rPr>
      </w:pPr>
      <w:r w:rsidRPr="009664B1">
        <w:rPr>
          <w:rFonts w:ascii="Arial" w:hAnsi="Arial" w:cs="Arial"/>
          <w:b/>
          <w:bCs/>
          <w:noProof/>
          <w:sz w:val="22"/>
          <w:szCs w:val="22"/>
        </w:rPr>
        <w:drawing>
          <wp:inline distT="0" distB="0" distL="0" distR="0" wp14:anchorId="3BDA94E0" wp14:editId="4B8E1E21">
            <wp:extent cx="5731510" cy="6877685"/>
            <wp:effectExtent l="0" t="0" r="0" b="5715"/>
            <wp:docPr id="9921158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15894" name="Picture 992115894"/>
                    <pic:cNvPicPr/>
                  </pic:nvPicPr>
                  <pic:blipFill>
                    <a:blip r:embed="rId16"/>
                    <a:stretch>
                      <a:fillRect/>
                    </a:stretch>
                  </pic:blipFill>
                  <pic:spPr>
                    <a:xfrm>
                      <a:off x="0" y="0"/>
                      <a:ext cx="5731510" cy="6877685"/>
                    </a:xfrm>
                    <a:prstGeom prst="rect">
                      <a:avLst/>
                    </a:prstGeom>
                  </pic:spPr>
                </pic:pic>
              </a:graphicData>
            </a:graphic>
          </wp:inline>
        </w:drawing>
      </w:r>
    </w:p>
    <w:p w14:paraId="72A90E13" w14:textId="77777777" w:rsidR="009B60D8" w:rsidRPr="009664B1" w:rsidRDefault="009B60D8" w:rsidP="00FC0B1B">
      <w:pPr>
        <w:spacing w:line="360" w:lineRule="auto"/>
        <w:rPr>
          <w:rFonts w:ascii="Arial" w:hAnsi="Arial" w:cs="Arial"/>
          <w:b/>
          <w:bCs/>
          <w:sz w:val="22"/>
          <w:szCs w:val="22"/>
        </w:rPr>
      </w:pPr>
    </w:p>
    <w:p w14:paraId="12B8C95F" w14:textId="4EC5F0C8" w:rsidR="009B60D8" w:rsidRPr="009664B1" w:rsidRDefault="0096198D" w:rsidP="00FC0B1B">
      <w:pPr>
        <w:spacing w:line="360" w:lineRule="auto"/>
        <w:rPr>
          <w:rFonts w:ascii="Arial" w:hAnsi="Arial" w:cs="Arial"/>
          <w:sz w:val="22"/>
          <w:szCs w:val="22"/>
        </w:rPr>
      </w:pPr>
      <w:r>
        <w:rPr>
          <w:rFonts w:ascii="Arial" w:hAnsi="Arial" w:cs="Arial"/>
          <w:b/>
          <w:bCs/>
          <w:sz w:val="22"/>
          <w:szCs w:val="22"/>
        </w:rPr>
        <w:br w:type="page"/>
      </w:r>
      <w:r w:rsidR="009B60D8" w:rsidRPr="009664B1">
        <w:rPr>
          <w:rFonts w:ascii="Arial" w:hAnsi="Arial" w:cs="Arial"/>
          <w:b/>
          <w:bCs/>
          <w:sz w:val="22"/>
          <w:szCs w:val="22"/>
        </w:rPr>
        <w:lastRenderedPageBreak/>
        <w:t>Figure S6.</w:t>
      </w:r>
      <w:r w:rsidR="009B60D8" w:rsidRPr="009664B1">
        <w:rPr>
          <w:rFonts w:ascii="Arial" w:hAnsi="Arial" w:cs="Arial"/>
          <w:sz w:val="22"/>
          <w:szCs w:val="22"/>
        </w:rPr>
        <w:t xml:space="preserve"> Overall change in food intake by food group and diet scenario (%)</w:t>
      </w:r>
      <w:r>
        <w:rPr>
          <w:rFonts w:ascii="Arial" w:hAnsi="Arial" w:cs="Arial"/>
          <w:sz w:val="22"/>
          <w:szCs w:val="22"/>
        </w:rPr>
        <w:t>, including primary foods (</w:t>
      </w:r>
      <w:r w:rsidRPr="0096198D">
        <w:rPr>
          <w:rFonts w:ascii="Arial" w:hAnsi="Arial" w:cs="Arial"/>
          <w:b/>
          <w:bCs/>
          <w:sz w:val="22"/>
          <w:szCs w:val="22"/>
        </w:rPr>
        <w:t>A</w:t>
      </w:r>
      <w:r>
        <w:rPr>
          <w:rFonts w:ascii="Arial" w:hAnsi="Arial" w:cs="Arial"/>
          <w:sz w:val="22"/>
          <w:szCs w:val="22"/>
        </w:rPr>
        <w:t>) and processed foods (</w:t>
      </w:r>
      <w:r w:rsidRPr="0096198D">
        <w:rPr>
          <w:rFonts w:ascii="Arial" w:hAnsi="Arial" w:cs="Arial"/>
          <w:b/>
          <w:bCs/>
          <w:sz w:val="22"/>
          <w:szCs w:val="22"/>
        </w:rPr>
        <w:t>B</w:t>
      </w:r>
      <w:r>
        <w:rPr>
          <w:rFonts w:ascii="Arial" w:hAnsi="Arial" w:cs="Arial"/>
          <w:sz w:val="22"/>
          <w:szCs w:val="22"/>
        </w:rPr>
        <w:t>)</w:t>
      </w:r>
      <w:r w:rsidR="009B60D8" w:rsidRPr="009664B1">
        <w:rPr>
          <w:rFonts w:ascii="Arial" w:hAnsi="Arial" w:cs="Arial"/>
          <w:sz w:val="22"/>
          <w:szCs w:val="22"/>
        </w:rPr>
        <w:t>.</w:t>
      </w:r>
    </w:p>
    <w:p w14:paraId="5611F80F" w14:textId="77777777" w:rsidR="009B60D8" w:rsidRPr="009664B1" w:rsidRDefault="009B60D8" w:rsidP="00FC0B1B">
      <w:pPr>
        <w:spacing w:line="360" w:lineRule="auto"/>
        <w:rPr>
          <w:rFonts w:ascii="Arial" w:hAnsi="Arial" w:cs="Arial"/>
          <w:sz w:val="22"/>
          <w:szCs w:val="22"/>
        </w:rPr>
      </w:pPr>
      <w:r w:rsidRPr="009664B1">
        <w:rPr>
          <w:rFonts w:ascii="Arial" w:hAnsi="Arial" w:cs="Arial"/>
          <w:noProof/>
          <w:sz w:val="22"/>
          <w:szCs w:val="22"/>
        </w:rPr>
        <w:drawing>
          <wp:inline distT="0" distB="0" distL="0" distR="0" wp14:anchorId="2626C024" wp14:editId="37A5EAFD">
            <wp:extent cx="5731510" cy="4585335"/>
            <wp:effectExtent l="0" t="0" r="0" b="0"/>
            <wp:docPr id="7720530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53049" name="Picture 772053049"/>
                    <pic:cNvPicPr/>
                  </pic:nvPicPr>
                  <pic:blipFill>
                    <a:blip r:embed="rId17"/>
                    <a:stretch>
                      <a:fillRect/>
                    </a:stretch>
                  </pic:blipFill>
                  <pic:spPr>
                    <a:xfrm>
                      <a:off x="0" y="0"/>
                      <a:ext cx="5731510" cy="4585335"/>
                    </a:xfrm>
                    <a:prstGeom prst="rect">
                      <a:avLst/>
                    </a:prstGeom>
                  </pic:spPr>
                </pic:pic>
              </a:graphicData>
            </a:graphic>
          </wp:inline>
        </w:drawing>
      </w:r>
    </w:p>
    <w:p w14:paraId="0A663A49" w14:textId="77777777" w:rsidR="009B60D8" w:rsidRPr="009664B1" w:rsidRDefault="009B60D8" w:rsidP="00FC0B1B">
      <w:pPr>
        <w:spacing w:line="360" w:lineRule="auto"/>
        <w:rPr>
          <w:rFonts w:ascii="Arial" w:hAnsi="Arial" w:cs="Arial"/>
          <w:sz w:val="22"/>
          <w:szCs w:val="22"/>
        </w:rPr>
      </w:pPr>
    </w:p>
    <w:p w14:paraId="0ED6A60A" w14:textId="77777777" w:rsidR="009B60D8" w:rsidRPr="009664B1" w:rsidRDefault="009B60D8" w:rsidP="00FC0B1B">
      <w:pPr>
        <w:spacing w:line="360" w:lineRule="auto"/>
        <w:rPr>
          <w:rFonts w:ascii="Arial" w:hAnsi="Arial" w:cs="Arial"/>
          <w:sz w:val="22"/>
          <w:szCs w:val="22"/>
        </w:rPr>
      </w:pPr>
      <w:r w:rsidRPr="009664B1">
        <w:rPr>
          <w:rFonts w:ascii="Arial" w:hAnsi="Arial" w:cs="Arial"/>
          <w:sz w:val="22"/>
          <w:szCs w:val="22"/>
        </w:rPr>
        <w:br w:type="page"/>
      </w:r>
    </w:p>
    <w:p w14:paraId="5BAC84DB" w14:textId="062A9BA5" w:rsidR="009B60D8" w:rsidRPr="009664B1" w:rsidRDefault="009B60D8" w:rsidP="00FC0B1B">
      <w:pPr>
        <w:spacing w:line="360" w:lineRule="auto"/>
        <w:rPr>
          <w:rFonts w:ascii="Arial" w:hAnsi="Arial" w:cs="Arial"/>
          <w:sz w:val="22"/>
          <w:szCs w:val="22"/>
        </w:rPr>
      </w:pPr>
      <w:r w:rsidRPr="009664B1">
        <w:rPr>
          <w:rFonts w:ascii="Arial" w:hAnsi="Arial" w:cs="Arial"/>
          <w:b/>
          <w:bCs/>
          <w:sz w:val="22"/>
          <w:szCs w:val="22"/>
        </w:rPr>
        <w:lastRenderedPageBreak/>
        <w:t>Figure S7.</w:t>
      </w:r>
      <w:r w:rsidRPr="009664B1">
        <w:rPr>
          <w:rFonts w:ascii="Arial" w:hAnsi="Arial" w:cs="Arial"/>
          <w:sz w:val="22"/>
          <w:szCs w:val="22"/>
        </w:rPr>
        <w:t xml:space="preserve"> </w:t>
      </w:r>
      <w:r w:rsidR="009F550B">
        <w:rPr>
          <w:rFonts w:ascii="Arial" w:hAnsi="Arial" w:cs="Arial"/>
          <w:sz w:val="22"/>
          <w:szCs w:val="22"/>
        </w:rPr>
        <w:t xml:space="preserve">Overall percentage changes in the intake of encouraged foods with minimum targets (min targets, </w:t>
      </w:r>
      <w:r w:rsidR="009F550B" w:rsidRPr="009F550B">
        <w:rPr>
          <w:rFonts w:ascii="Arial" w:hAnsi="Arial" w:cs="Arial"/>
          <w:b/>
          <w:bCs/>
          <w:sz w:val="22"/>
          <w:szCs w:val="22"/>
        </w:rPr>
        <w:t>A</w:t>
      </w:r>
      <w:r w:rsidR="009F550B">
        <w:rPr>
          <w:rFonts w:ascii="Arial" w:hAnsi="Arial" w:cs="Arial"/>
          <w:sz w:val="22"/>
          <w:szCs w:val="22"/>
        </w:rPr>
        <w:t xml:space="preserve">) and of to-be-limited foods with maximum targets (max targets, </w:t>
      </w:r>
      <w:r w:rsidR="009F550B" w:rsidRPr="009F550B">
        <w:rPr>
          <w:rFonts w:ascii="Arial" w:hAnsi="Arial" w:cs="Arial"/>
          <w:b/>
          <w:bCs/>
          <w:sz w:val="22"/>
          <w:szCs w:val="22"/>
        </w:rPr>
        <w:t>A</w:t>
      </w:r>
      <w:r w:rsidR="009F550B">
        <w:rPr>
          <w:rFonts w:ascii="Arial" w:hAnsi="Arial" w:cs="Arial"/>
          <w:sz w:val="22"/>
          <w:szCs w:val="22"/>
        </w:rPr>
        <w:t xml:space="preserve">) by dietary pattern, </w:t>
      </w:r>
      <w:r w:rsidR="000C11D7">
        <w:rPr>
          <w:rFonts w:ascii="Arial" w:hAnsi="Arial" w:cs="Arial"/>
          <w:sz w:val="22"/>
          <w:szCs w:val="22"/>
        </w:rPr>
        <w:t xml:space="preserve">and for the example of flexitarian diets also by </w:t>
      </w:r>
      <w:r w:rsidR="009F550B">
        <w:rPr>
          <w:rFonts w:ascii="Arial" w:hAnsi="Arial" w:cs="Arial"/>
          <w:sz w:val="22"/>
          <w:szCs w:val="22"/>
        </w:rPr>
        <w:t xml:space="preserve">region, age, and sex. Panel </w:t>
      </w:r>
      <w:r w:rsidR="009F550B" w:rsidRPr="009F550B">
        <w:rPr>
          <w:rFonts w:ascii="Arial" w:hAnsi="Arial" w:cs="Arial"/>
          <w:b/>
          <w:bCs/>
          <w:sz w:val="22"/>
          <w:szCs w:val="22"/>
        </w:rPr>
        <w:t>B</w:t>
      </w:r>
      <w:r w:rsidR="009F550B">
        <w:rPr>
          <w:rFonts w:ascii="Arial" w:hAnsi="Arial" w:cs="Arial"/>
          <w:sz w:val="22"/>
          <w:szCs w:val="22"/>
        </w:rPr>
        <w:t xml:space="preserve"> depicts the same overall changes, but with proportional contributions of each food to the overall percentage change. </w:t>
      </w:r>
    </w:p>
    <w:p w14:paraId="04719A62" w14:textId="77777777" w:rsidR="009B60D8" w:rsidRPr="009664B1" w:rsidRDefault="009B60D8" w:rsidP="00FC0B1B">
      <w:pPr>
        <w:spacing w:line="360" w:lineRule="auto"/>
        <w:rPr>
          <w:rFonts w:ascii="Arial" w:hAnsi="Arial" w:cs="Arial"/>
          <w:sz w:val="22"/>
          <w:szCs w:val="22"/>
        </w:rPr>
      </w:pPr>
      <w:r w:rsidRPr="009664B1">
        <w:rPr>
          <w:rFonts w:ascii="Arial" w:hAnsi="Arial" w:cs="Arial"/>
          <w:noProof/>
          <w:sz w:val="22"/>
          <w:szCs w:val="22"/>
        </w:rPr>
        <w:drawing>
          <wp:inline distT="0" distB="0" distL="0" distR="0" wp14:anchorId="7334B171" wp14:editId="47882B78">
            <wp:extent cx="5731510" cy="4585335"/>
            <wp:effectExtent l="0" t="0" r="0" b="0"/>
            <wp:docPr id="18177257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25756" name="Picture 1817725756"/>
                    <pic:cNvPicPr/>
                  </pic:nvPicPr>
                  <pic:blipFill>
                    <a:blip r:embed="rId18"/>
                    <a:stretch>
                      <a:fillRect/>
                    </a:stretch>
                  </pic:blipFill>
                  <pic:spPr>
                    <a:xfrm>
                      <a:off x="0" y="0"/>
                      <a:ext cx="5731510" cy="4585335"/>
                    </a:xfrm>
                    <a:prstGeom prst="rect">
                      <a:avLst/>
                    </a:prstGeom>
                  </pic:spPr>
                </pic:pic>
              </a:graphicData>
            </a:graphic>
          </wp:inline>
        </w:drawing>
      </w:r>
    </w:p>
    <w:p w14:paraId="153C4665" w14:textId="77777777" w:rsidR="009B60D8" w:rsidRPr="009664B1" w:rsidRDefault="009B60D8" w:rsidP="00FC0B1B">
      <w:pPr>
        <w:spacing w:line="360" w:lineRule="auto"/>
        <w:rPr>
          <w:rFonts w:ascii="Arial" w:hAnsi="Arial" w:cs="Arial"/>
          <w:sz w:val="22"/>
          <w:szCs w:val="22"/>
        </w:rPr>
      </w:pPr>
    </w:p>
    <w:p w14:paraId="44654B49" w14:textId="77777777" w:rsidR="009B60D8" w:rsidRPr="009664B1" w:rsidRDefault="009B60D8" w:rsidP="00FC0B1B">
      <w:pPr>
        <w:spacing w:line="360" w:lineRule="auto"/>
        <w:rPr>
          <w:rFonts w:ascii="Arial" w:hAnsi="Arial" w:cs="Arial"/>
          <w:sz w:val="22"/>
          <w:szCs w:val="22"/>
        </w:rPr>
      </w:pPr>
    </w:p>
    <w:p w14:paraId="7D060B01" w14:textId="77777777" w:rsidR="009B60D8" w:rsidRPr="009664B1" w:rsidRDefault="009B60D8" w:rsidP="00FC0B1B">
      <w:pPr>
        <w:spacing w:line="360" w:lineRule="auto"/>
        <w:rPr>
          <w:rFonts w:ascii="Arial" w:hAnsi="Arial" w:cs="Arial"/>
          <w:b/>
          <w:bCs/>
          <w:sz w:val="22"/>
          <w:szCs w:val="22"/>
        </w:rPr>
      </w:pPr>
      <w:r w:rsidRPr="009664B1">
        <w:rPr>
          <w:rFonts w:ascii="Arial" w:hAnsi="Arial" w:cs="Arial"/>
          <w:b/>
          <w:bCs/>
          <w:sz w:val="22"/>
          <w:szCs w:val="22"/>
        </w:rPr>
        <w:br w:type="page"/>
      </w:r>
    </w:p>
    <w:p w14:paraId="362BEBB4" w14:textId="42B16DD9" w:rsidR="009B60D8" w:rsidRPr="009664B1" w:rsidRDefault="009B60D8" w:rsidP="00FC0B1B">
      <w:pPr>
        <w:spacing w:line="360" w:lineRule="auto"/>
        <w:rPr>
          <w:rFonts w:ascii="Arial" w:hAnsi="Arial" w:cs="Arial"/>
          <w:sz w:val="22"/>
          <w:szCs w:val="22"/>
        </w:rPr>
      </w:pPr>
      <w:r w:rsidRPr="009664B1">
        <w:rPr>
          <w:rFonts w:ascii="Arial" w:hAnsi="Arial" w:cs="Arial"/>
          <w:b/>
          <w:bCs/>
          <w:sz w:val="22"/>
          <w:szCs w:val="22"/>
        </w:rPr>
        <w:lastRenderedPageBreak/>
        <w:t>Figure S8.</w:t>
      </w:r>
      <w:r w:rsidRPr="009664B1">
        <w:rPr>
          <w:rFonts w:ascii="Arial" w:hAnsi="Arial" w:cs="Arial"/>
          <w:sz w:val="22"/>
          <w:szCs w:val="22"/>
        </w:rPr>
        <w:t xml:space="preserve"> </w:t>
      </w:r>
      <w:r w:rsidR="009F550B">
        <w:rPr>
          <w:rFonts w:ascii="Arial" w:hAnsi="Arial" w:cs="Arial"/>
          <w:sz w:val="22"/>
          <w:szCs w:val="22"/>
        </w:rPr>
        <w:t xml:space="preserve">Overall </w:t>
      </w:r>
      <w:r w:rsidR="009F550B">
        <w:rPr>
          <w:rFonts w:ascii="Arial" w:hAnsi="Arial" w:cs="Arial"/>
          <w:sz w:val="22"/>
          <w:szCs w:val="22"/>
        </w:rPr>
        <w:t xml:space="preserve">percentage changes </w:t>
      </w:r>
      <w:r w:rsidR="009F550B">
        <w:rPr>
          <w:rFonts w:ascii="Arial" w:hAnsi="Arial" w:cs="Arial"/>
          <w:sz w:val="22"/>
          <w:szCs w:val="22"/>
        </w:rPr>
        <w:t xml:space="preserve">in the intake of </w:t>
      </w:r>
      <w:r w:rsidR="009F550B">
        <w:rPr>
          <w:rFonts w:ascii="Arial" w:hAnsi="Arial" w:cs="Arial"/>
          <w:sz w:val="22"/>
          <w:szCs w:val="22"/>
        </w:rPr>
        <w:t xml:space="preserve">encouraged </w:t>
      </w:r>
      <w:r w:rsidR="009F550B">
        <w:rPr>
          <w:rFonts w:ascii="Arial" w:hAnsi="Arial" w:cs="Arial"/>
          <w:sz w:val="22"/>
          <w:szCs w:val="22"/>
        </w:rPr>
        <w:t>(</w:t>
      </w:r>
      <w:r w:rsidR="009F550B" w:rsidRPr="009F550B">
        <w:rPr>
          <w:rFonts w:ascii="Arial" w:hAnsi="Arial" w:cs="Arial"/>
          <w:b/>
          <w:bCs/>
          <w:sz w:val="22"/>
          <w:szCs w:val="22"/>
        </w:rPr>
        <w:t>A</w:t>
      </w:r>
      <w:r w:rsidR="009F550B">
        <w:rPr>
          <w:rFonts w:ascii="Arial" w:hAnsi="Arial" w:cs="Arial"/>
          <w:sz w:val="22"/>
          <w:szCs w:val="22"/>
        </w:rPr>
        <w:t>) and to-be-limited (</w:t>
      </w:r>
      <w:r w:rsidR="009F550B" w:rsidRPr="009F550B">
        <w:rPr>
          <w:rFonts w:ascii="Arial" w:hAnsi="Arial" w:cs="Arial"/>
          <w:b/>
          <w:bCs/>
          <w:sz w:val="22"/>
          <w:szCs w:val="22"/>
        </w:rPr>
        <w:t>B</w:t>
      </w:r>
      <w:r w:rsidR="009F550B">
        <w:rPr>
          <w:rFonts w:ascii="Arial" w:hAnsi="Arial" w:cs="Arial"/>
          <w:sz w:val="22"/>
          <w:szCs w:val="22"/>
        </w:rPr>
        <w:t xml:space="preserve">) </w:t>
      </w:r>
      <w:r w:rsidR="009F550B">
        <w:rPr>
          <w:rFonts w:ascii="Arial" w:hAnsi="Arial" w:cs="Arial"/>
          <w:sz w:val="22"/>
          <w:szCs w:val="22"/>
        </w:rPr>
        <w:t>foods</w:t>
      </w:r>
      <w:r w:rsidR="009F550B">
        <w:rPr>
          <w:rFonts w:ascii="Arial" w:hAnsi="Arial" w:cs="Arial"/>
          <w:sz w:val="22"/>
          <w:szCs w:val="22"/>
        </w:rPr>
        <w:t xml:space="preserve"> by country</w:t>
      </w:r>
      <w:r w:rsidR="000C11D7">
        <w:rPr>
          <w:rFonts w:ascii="Arial" w:hAnsi="Arial" w:cs="Arial"/>
          <w:sz w:val="22"/>
          <w:szCs w:val="22"/>
        </w:rPr>
        <w:t xml:space="preserve"> and for the example of flexitarian diets</w:t>
      </w:r>
      <w:r w:rsidR="009F550B">
        <w:rPr>
          <w:rFonts w:ascii="Arial" w:hAnsi="Arial" w:cs="Arial"/>
          <w:sz w:val="22"/>
          <w:szCs w:val="22"/>
        </w:rPr>
        <w:t>.</w:t>
      </w:r>
    </w:p>
    <w:p w14:paraId="4DFE2EEF" w14:textId="77777777" w:rsidR="009B60D8" w:rsidRPr="009664B1" w:rsidRDefault="009B60D8" w:rsidP="00FC0B1B">
      <w:pPr>
        <w:spacing w:line="360" w:lineRule="auto"/>
        <w:rPr>
          <w:rFonts w:ascii="Arial" w:hAnsi="Arial" w:cs="Arial"/>
          <w:sz w:val="22"/>
          <w:szCs w:val="22"/>
        </w:rPr>
      </w:pPr>
      <w:r w:rsidRPr="009664B1">
        <w:rPr>
          <w:rFonts w:ascii="Arial" w:hAnsi="Arial" w:cs="Arial"/>
          <w:noProof/>
          <w:sz w:val="22"/>
          <w:szCs w:val="22"/>
        </w:rPr>
        <w:drawing>
          <wp:inline distT="0" distB="0" distL="0" distR="0" wp14:anchorId="4DF87854" wp14:editId="502D1145">
            <wp:extent cx="5731510" cy="4585335"/>
            <wp:effectExtent l="0" t="0" r="0" b="0"/>
            <wp:docPr id="1563665511" name="Picture 3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65511" name="Picture 35" descr="A map of the worl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14:paraId="2B5B58CC" w14:textId="77777777" w:rsidR="009B60D8" w:rsidRPr="009664B1" w:rsidRDefault="009B60D8" w:rsidP="00FC0B1B">
      <w:pPr>
        <w:spacing w:line="360" w:lineRule="auto"/>
        <w:rPr>
          <w:rFonts w:ascii="Arial" w:hAnsi="Arial" w:cs="Arial"/>
          <w:sz w:val="22"/>
          <w:szCs w:val="22"/>
        </w:rPr>
      </w:pPr>
    </w:p>
    <w:p w14:paraId="6A6A5902" w14:textId="77777777" w:rsidR="009B60D8" w:rsidRPr="009664B1" w:rsidRDefault="009B60D8" w:rsidP="00FC0B1B">
      <w:pPr>
        <w:spacing w:line="360" w:lineRule="auto"/>
        <w:rPr>
          <w:rFonts w:ascii="Arial" w:hAnsi="Arial" w:cs="Arial"/>
          <w:sz w:val="22"/>
          <w:szCs w:val="22"/>
        </w:rPr>
      </w:pPr>
      <w:r w:rsidRPr="009664B1">
        <w:rPr>
          <w:rFonts w:ascii="Arial" w:hAnsi="Arial" w:cs="Arial"/>
          <w:sz w:val="22"/>
          <w:szCs w:val="22"/>
        </w:rPr>
        <w:br w:type="page"/>
      </w:r>
    </w:p>
    <w:p w14:paraId="0CE585D6" w14:textId="2349F587" w:rsidR="009B60D8" w:rsidRPr="009664B1" w:rsidRDefault="009B60D8" w:rsidP="00FC0B1B">
      <w:pPr>
        <w:spacing w:line="360" w:lineRule="auto"/>
        <w:rPr>
          <w:rFonts w:ascii="Arial" w:hAnsi="Arial" w:cs="Arial"/>
          <w:sz w:val="22"/>
          <w:szCs w:val="22"/>
        </w:rPr>
      </w:pPr>
      <w:r w:rsidRPr="009664B1">
        <w:rPr>
          <w:rFonts w:ascii="Arial" w:hAnsi="Arial" w:cs="Arial"/>
          <w:b/>
          <w:bCs/>
          <w:sz w:val="22"/>
          <w:szCs w:val="22"/>
        </w:rPr>
        <w:lastRenderedPageBreak/>
        <w:t>Figure S9.</w:t>
      </w:r>
      <w:r w:rsidRPr="009664B1">
        <w:rPr>
          <w:rFonts w:ascii="Arial" w:hAnsi="Arial" w:cs="Arial"/>
          <w:sz w:val="22"/>
          <w:szCs w:val="22"/>
        </w:rPr>
        <w:t xml:space="preserve"> </w:t>
      </w:r>
      <w:r w:rsidR="000C11D7">
        <w:rPr>
          <w:rFonts w:ascii="Arial" w:hAnsi="Arial" w:cs="Arial"/>
          <w:sz w:val="22"/>
          <w:szCs w:val="22"/>
        </w:rPr>
        <w:t>Globally averaged percentage c</w:t>
      </w:r>
      <w:r w:rsidRPr="009664B1">
        <w:rPr>
          <w:rFonts w:ascii="Arial" w:hAnsi="Arial" w:cs="Arial"/>
          <w:sz w:val="22"/>
          <w:szCs w:val="22"/>
        </w:rPr>
        <w:t>hange</w:t>
      </w:r>
      <w:r w:rsidR="000C11D7">
        <w:rPr>
          <w:rFonts w:ascii="Arial" w:hAnsi="Arial" w:cs="Arial"/>
          <w:sz w:val="22"/>
          <w:szCs w:val="22"/>
        </w:rPr>
        <w:t>s</w:t>
      </w:r>
      <w:r w:rsidRPr="009664B1">
        <w:rPr>
          <w:rFonts w:ascii="Arial" w:hAnsi="Arial" w:cs="Arial"/>
          <w:sz w:val="22"/>
          <w:szCs w:val="22"/>
        </w:rPr>
        <w:t xml:space="preserve"> in nutrient intake </w:t>
      </w:r>
      <w:r w:rsidR="000C11D7">
        <w:rPr>
          <w:rFonts w:ascii="Arial" w:hAnsi="Arial" w:cs="Arial"/>
          <w:sz w:val="22"/>
          <w:szCs w:val="22"/>
        </w:rPr>
        <w:t>by nutrient and dietary pattern</w:t>
      </w:r>
      <w:r w:rsidR="00565D6D">
        <w:rPr>
          <w:rFonts w:ascii="Arial" w:hAnsi="Arial" w:cs="Arial"/>
          <w:sz w:val="22"/>
          <w:szCs w:val="22"/>
        </w:rPr>
        <w:t>.</w:t>
      </w:r>
    </w:p>
    <w:p w14:paraId="5C4C09A1" w14:textId="250DCCB4" w:rsidR="009B60D8" w:rsidRPr="009664B1" w:rsidRDefault="00565D6D" w:rsidP="00FC0B1B">
      <w:pPr>
        <w:spacing w:line="360" w:lineRule="auto"/>
        <w:rPr>
          <w:rFonts w:ascii="Arial" w:hAnsi="Arial" w:cs="Arial"/>
          <w:sz w:val="22"/>
          <w:szCs w:val="22"/>
        </w:rPr>
      </w:pPr>
      <w:r>
        <w:rPr>
          <w:rFonts w:ascii="Arial" w:hAnsi="Arial" w:cs="Arial"/>
          <w:noProof/>
          <w:sz w:val="22"/>
          <w:szCs w:val="22"/>
        </w:rPr>
        <w:drawing>
          <wp:inline distT="0" distB="0" distL="0" distR="0" wp14:anchorId="1D72DC93" wp14:editId="70B8FD43">
            <wp:extent cx="5731510" cy="4093845"/>
            <wp:effectExtent l="0" t="0" r="0" b="0"/>
            <wp:docPr id="4150628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62848" name="Picture 415062848"/>
                    <pic:cNvPicPr/>
                  </pic:nvPicPr>
                  <pic:blipFill>
                    <a:blip r:embed="rId20"/>
                    <a:stretch>
                      <a:fillRect/>
                    </a:stretch>
                  </pic:blipFill>
                  <pic:spPr>
                    <a:xfrm>
                      <a:off x="0" y="0"/>
                      <a:ext cx="5731510" cy="4093845"/>
                    </a:xfrm>
                    <a:prstGeom prst="rect">
                      <a:avLst/>
                    </a:prstGeom>
                  </pic:spPr>
                </pic:pic>
              </a:graphicData>
            </a:graphic>
          </wp:inline>
        </w:drawing>
      </w:r>
    </w:p>
    <w:p w14:paraId="6C1A49BD" w14:textId="77777777" w:rsidR="009B60D8" w:rsidRPr="009664B1" w:rsidRDefault="009B60D8" w:rsidP="00FC0B1B">
      <w:pPr>
        <w:spacing w:line="360" w:lineRule="auto"/>
        <w:rPr>
          <w:rFonts w:ascii="Arial" w:hAnsi="Arial" w:cs="Arial"/>
          <w:b/>
          <w:bCs/>
          <w:sz w:val="22"/>
          <w:szCs w:val="22"/>
        </w:rPr>
      </w:pPr>
      <w:r w:rsidRPr="009664B1">
        <w:rPr>
          <w:rFonts w:ascii="Arial" w:hAnsi="Arial" w:cs="Arial"/>
          <w:b/>
          <w:bCs/>
          <w:sz w:val="22"/>
          <w:szCs w:val="22"/>
        </w:rPr>
        <w:br w:type="page"/>
      </w:r>
    </w:p>
    <w:p w14:paraId="23717FA3" w14:textId="3E7A4F8A" w:rsidR="00565D6D" w:rsidRDefault="009B60D8" w:rsidP="00FC0B1B">
      <w:pPr>
        <w:spacing w:line="360" w:lineRule="auto"/>
        <w:rPr>
          <w:rFonts w:ascii="Arial" w:hAnsi="Arial" w:cs="Arial"/>
          <w:sz w:val="22"/>
          <w:szCs w:val="22"/>
        </w:rPr>
      </w:pPr>
      <w:r w:rsidRPr="009664B1">
        <w:rPr>
          <w:rFonts w:ascii="Arial" w:hAnsi="Arial" w:cs="Arial"/>
          <w:b/>
          <w:bCs/>
          <w:sz w:val="22"/>
          <w:szCs w:val="22"/>
        </w:rPr>
        <w:lastRenderedPageBreak/>
        <w:t>Figure S10.</w:t>
      </w:r>
      <w:r w:rsidRPr="009664B1">
        <w:rPr>
          <w:rFonts w:ascii="Arial" w:hAnsi="Arial" w:cs="Arial"/>
          <w:sz w:val="22"/>
          <w:szCs w:val="22"/>
        </w:rPr>
        <w:t xml:space="preserve"> </w:t>
      </w:r>
      <w:r w:rsidR="007C20C1">
        <w:rPr>
          <w:rFonts w:ascii="Arial" w:hAnsi="Arial" w:cs="Arial"/>
          <w:sz w:val="22"/>
          <w:szCs w:val="22"/>
        </w:rPr>
        <w:t>Mean</w:t>
      </w:r>
      <w:r w:rsidR="000C11D7">
        <w:rPr>
          <w:rFonts w:ascii="Arial" w:hAnsi="Arial" w:cs="Arial"/>
          <w:sz w:val="22"/>
          <w:szCs w:val="22"/>
        </w:rPr>
        <w:t xml:space="preserve"> adequacy scores by region, age, and sex</w:t>
      </w:r>
      <w:r w:rsidR="007C20C1">
        <w:rPr>
          <w:rFonts w:ascii="Arial" w:hAnsi="Arial" w:cs="Arial"/>
          <w:sz w:val="22"/>
          <w:szCs w:val="22"/>
        </w:rPr>
        <w:t xml:space="preserve"> in the baseline and the dietary patterns</w:t>
      </w:r>
      <w:r w:rsidR="000C11D7">
        <w:rPr>
          <w:rFonts w:ascii="Arial" w:hAnsi="Arial" w:cs="Arial"/>
          <w:sz w:val="22"/>
          <w:szCs w:val="22"/>
        </w:rPr>
        <w:t>. The scores were calculated by summing nutritional adequacy ratios over nutrients with adequacy-related recommendations and dividing by their number.</w:t>
      </w:r>
    </w:p>
    <w:p w14:paraId="2F14389A" w14:textId="5E9AF635" w:rsidR="00565D6D" w:rsidRDefault="007C20C1" w:rsidP="00FC0B1B">
      <w:pPr>
        <w:spacing w:line="360" w:lineRule="auto"/>
        <w:rPr>
          <w:rFonts w:ascii="Arial" w:hAnsi="Arial" w:cs="Arial"/>
          <w:sz w:val="22"/>
          <w:szCs w:val="22"/>
        </w:rPr>
      </w:pPr>
      <w:r>
        <w:rPr>
          <w:rFonts w:ascii="Arial" w:hAnsi="Arial" w:cs="Arial"/>
          <w:noProof/>
          <w:sz w:val="22"/>
          <w:szCs w:val="22"/>
        </w:rPr>
        <w:drawing>
          <wp:inline distT="0" distB="0" distL="0" distR="0" wp14:anchorId="79E441D1" wp14:editId="6A78230F">
            <wp:extent cx="5731510" cy="3526790"/>
            <wp:effectExtent l="0" t="0" r="0" b="3810"/>
            <wp:docPr id="6573395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39577" name="Picture 657339577"/>
                    <pic:cNvPicPr/>
                  </pic:nvPicPr>
                  <pic:blipFill>
                    <a:blip r:embed="rId21"/>
                    <a:stretch>
                      <a:fillRect/>
                    </a:stretch>
                  </pic:blipFill>
                  <pic:spPr>
                    <a:xfrm>
                      <a:off x="0" y="0"/>
                      <a:ext cx="5731510" cy="3526790"/>
                    </a:xfrm>
                    <a:prstGeom prst="rect">
                      <a:avLst/>
                    </a:prstGeom>
                  </pic:spPr>
                </pic:pic>
              </a:graphicData>
            </a:graphic>
          </wp:inline>
        </w:drawing>
      </w:r>
    </w:p>
    <w:p w14:paraId="5522A2BF" w14:textId="32FF41EE" w:rsidR="000C11D7" w:rsidRDefault="000C11D7" w:rsidP="00FC0B1B">
      <w:pPr>
        <w:spacing w:line="360" w:lineRule="auto"/>
        <w:rPr>
          <w:rFonts w:ascii="Arial" w:hAnsi="Arial" w:cs="Arial"/>
          <w:sz w:val="22"/>
          <w:szCs w:val="22"/>
        </w:rPr>
      </w:pPr>
    </w:p>
    <w:p w14:paraId="5B18C8B4" w14:textId="77777777" w:rsidR="009B60D8" w:rsidRPr="009664B1" w:rsidRDefault="009B60D8" w:rsidP="00FC0B1B">
      <w:pPr>
        <w:spacing w:line="360" w:lineRule="auto"/>
        <w:rPr>
          <w:rFonts w:ascii="Arial" w:hAnsi="Arial" w:cs="Arial"/>
          <w:sz w:val="22"/>
          <w:szCs w:val="22"/>
        </w:rPr>
      </w:pPr>
    </w:p>
    <w:p w14:paraId="60D8844B" w14:textId="03D8DFFD" w:rsidR="009B60D8" w:rsidRPr="009664B1" w:rsidRDefault="009B60D8" w:rsidP="00FC0B1B">
      <w:pPr>
        <w:spacing w:line="360" w:lineRule="auto"/>
        <w:rPr>
          <w:rFonts w:ascii="Arial" w:hAnsi="Arial" w:cs="Arial"/>
          <w:sz w:val="22"/>
          <w:szCs w:val="22"/>
        </w:rPr>
      </w:pPr>
    </w:p>
    <w:p w14:paraId="6D582874" w14:textId="77777777" w:rsidR="009B60D8" w:rsidRPr="009664B1" w:rsidRDefault="009B60D8" w:rsidP="00FC0B1B">
      <w:pPr>
        <w:spacing w:line="360" w:lineRule="auto"/>
        <w:rPr>
          <w:rFonts w:ascii="Arial" w:hAnsi="Arial" w:cs="Arial"/>
          <w:sz w:val="22"/>
          <w:szCs w:val="22"/>
        </w:rPr>
      </w:pPr>
    </w:p>
    <w:p w14:paraId="6A14E9F7" w14:textId="77777777" w:rsidR="009B60D8" w:rsidRPr="009664B1" w:rsidRDefault="009B60D8" w:rsidP="00FC0B1B">
      <w:pPr>
        <w:spacing w:line="360" w:lineRule="auto"/>
        <w:rPr>
          <w:rFonts w:ascii="Arial" w:hAnsi="Arial" w:cs="Arial"/>
          <w:sz w:val="22"/>
          <w:szCs w:val="22"/>
        </w:rPr>
      </w:pPr>
      <w:r w:rsidRPr="009664B1">
        <w:rPr>
          <w:rFonts w:ascii="Arial" w:hAnsi="Arial" w:cs="Arial"/>
          <w:sz w:val="22"/>
          <w:szCs w:val="22"/>
        </w:rPr>
        <w:br w:type="page"/>
      </w:r>
    </w:p>
    <w:p w14:paraId="66793F14" w14:textId="181382F1" w:rsidR="00D35759" w:rsidRDefault="009B60D8" w:rsidP="00FC0B1B">
      <w:pPr>
        <w:spacing w:line="360" w:lineRule="auto"/>
        <w:rPr>
          <w:rFonts w:ascii="Arial" w:hAnsi="Arial" w:cs="Arial"/>
          <w:sz w:val="22"/>
          <w:szCs w:val="22"/>
        </w:rPr>
      </w:pPr>
      <w:r w:rsidRPr="009664B1">
        <w:rPr>
          <w:rFonts w:ascii="Arial" w:hAnsi="Arial" w:cs="Arial"/>
          <w:b/>
          <w:bCs/>
          <w:sz w:val="22"/>
          <w:szCs w:val="22"/>
        </w:rPr>
        <w:lastRenderedPageBreak/>
        <w:t>Figure S11.</w:t>
      </w:r>
      <w:r w:rsidRPr="009664B1">
        <w:rPr>
          <w:rFonts w:ascii="Arial" w:hAnsi="Arial" w:cs="Arial"/>
          <w:sz w:val="22"/>
          <w:szCs w:val="22"/>
        </w:rPr>
        <w:t xml:space="preserve"> </w:t>
      </w:r>
      <w:r w:rsidR="00657C25">
        <w:rPr>
          <w:rFonts w:ascii="Arial" w:hAnsi="Arial" w:cs="Arial"/>
          <w:sz w:val="22"/>
          <w:szCs w:val="22"/>
        </w:rPr>
        <w:t>Regional distribution of mean adequacy ratios in the baseline</w:t>
      </w:r>
      <w:r w:rsidR="00D35759">
        <w:rPr>
          <w:rFonts w:ascii="Arial" w:hAnsi="Arial" w:cs="Arial"/>
          <w:sz w:val="22"/>
          <w:szCs w:val="22"/>
        </w:rPr>
        <w:t xml:space="preserve"> (</w:t>
      </w:r>
      <w:r w:rsidR="00D35759" w:rsidRPr="00D35759">
        <w:rPr>
          <w:rFonts w:ascii="Arial" w:hAnsi="Arial" w:cs="Arial"/>
          <w:b/>
          <w:bCs/>
          <w:sz w:val="22"/>
          <w:szCs w:val="22"/>
        </w:rPr>
        <w:t>A</w:t>
      </w:r>
      <w:r w:rsidR="00D35759">
        <w:rPr>
          <w:rFonts w:ascii="Arial" w:hAnsi="Arial" w:cs="Arial"/>
          <w:sz w:val="22"/>
          <w:szCs w:val="22"/>
        </w:rPr>
        <w:t>) and the dietary patterns (</w:t>
      </w:r>
      <w:r w:rsidR="00D35759" w:rsidRPr="00D35759">
        <w:rPr>
          <w:rFonts w:ascii="Arial" w:hAnsi="Arial" w:cs="Arial"/>
          <w:b/>
          <w:bCs/>
          <w:sz w:val="22"/>
          <w:szCs w:val="22"/>
        </w:rPr>
        <w:t>B</w:t>
      </w:r>
      <w:r w:rsidR="00D35759">
        <w:rPr>
          <w:rFonts w:ascii="Arial" w:hAnsi="Arial" w:cs="Arial"/>
          <w:sz w:val="22"/>
          <w:szCs w:val="22"/>
        </w:rPr>
        <w:t>)</w:t>
      </w:r>
      <w:r w:rsidR="00657C25">
        <w:rPr>
          <w:rFonts w:ascii="Arial" w:hAnsi="Arial" w:cs="Arial"/>
          <w:sz w:val="22"/>
          <w:szCs w:val="22"/>
        </w:rPr>
        <w:t xml:space="preserve">. Please note that mean adequacy scores of 100% at a country level </w:t>
      </w:r>
      <w:r w:rsidR="00D35759">
        <w:rPr>
          <w:rFonts w:ascii="Arial" w:hAnsi="Arial" w:cs="Arial"/>
          <w:sz w:val="22"/>
          <w:szCs w:val="22"/>
        </w:rPr>
        <w:t xml:space="preserve">are averages and </w:t>
      </w:r>
      <w:r w:rsidR="00657C25">
        <w:rPr>
          <w:rFonts w:ascii="Arial" w:hAnsi="Arial" w:cs="Arial"/>
          <w:sz w:val="22"/>
          <w:szCs w:val="22"/>
        </w:rPr>
        <w:t xml:space="preserve">do not indicate full adequacy of each population group. </w:t>
      </w:r>
    </w:p>
    <w:p w14:paraId="6CA02B44" w14:textId="77777777" w:rsidR="00D35759" w:rsidRDefault="00D35759" w:rsidP="00FC0B1B">
      <w:pPr>
        <w:spacing w:line="360" w:lineRule="auto"/>
        <w:rPr>
          <w:rFonts w:ascii="Arial" w:hAnsi="Arial" w:cs="Arial"/>
          <w:sz w:val="22"/>
          <w:szCs w:val="22"/>
        </w:rPr>
      </w:pPr>
    </w:p>
    <w:p w14:paraId="4453A2C1" w14:textId="7E576A22" w:rsidR="00D35759" w:rsidRDefault="00D35759" w:rsidP="00FC0B1B">
      <w:pPr>
        <w:spacing w:line="360" w:lineRule="auto"/>
        <w:jc w:val="center"/>
        <w:rPr>
          <w:rFonts w:ascii="Arial" w:hAnsi="Arial" w:cs="Arial"/>
          <w:sz w:val="22"/>
          <w:szCs w:val="22"/>
        </w:rPr>
      </w:pPr>
      <w:r>
        <w:rPr>
          <w:rFonts w:ascii="Arial" w:hAnsi="Arial" w:cs="Arial"/>
          <w:noProof/>
          <w:sz w:val="22"/>
          <w:szCs w:val="22"/>
        </w:rPr>
        <w:drawing>
          <wp:inline distT="0" distB="0" distL="0" distR="0" wp14:anchorId="7A8F98E7" wp14:editId="540E2638">
            <wp:extent cx="4999997" cy="3750276"/>
            <wp:effectExtent l="0" t="0" r="0" b="0"/>
            <wp:docPr id="739612811" name="Picture 1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12811" name="Picture 13" descr="A map of the worl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022812" cy="3767389"/>
                    </a:xfrm>
                    <a:prstGeom prst="rect">
                      <a:avLst/>
                    </a:prstGeom>
                  </pic:spPr>
                </pic:pic>
              </a:graphicData>
            </a:graphic>
          </wp:inline>
        </w:drawing>
      </w:r>
    </w:p>
    <w:p w14:paraId="3F60A44A" w14:textId="6E9E8535" w:rsidR="009B60D8" w:rsidRPr="009664B1" w:rsidRDefault="009B60D8" w:rsidP="00FC0B1B">
      <w:pPr>
        <w:spacing w:line="360" w:lineRule="auto"/>
        <w:rPr>
          <w:rFonts w:ascii="Arial" w:hAnsi="Arial" w:cs="Arial"/>
          <w:sz w:val="22"/>
          <w:szCs w:val="22"/>
        </w:rPr>
      </w:pPr>
    </w:p>
    <w:p w14:paraId="798B7283" w14:textId="39FADB24" w:rsidR="009B60D8" w:rsidRPr="009664B1" w:rsidRDefault="009B60D8" w:rsidP="00FC0B1B">
      <w:pPr>
        <w:spacing w:line="360" w:lineRule="auto"/>
        <w:rPr>
          <w:rFonts w:ascii="Arial" w:hAnsi="Arial" w:cs="Arial"/>
          <w:sz w:val="22"/>
          <w:szCs w:val="22"/>
        </w:rPr>
      </w:pPr>
    </w:p>
    <w:p w14:paraId="75B4FE4D" w14:textId="77777777" w:rsidR="009B60D8" w:rsidRPr="009664B1" w:rsidRDefault="009B60D8" w:rsidP="00FC0B1B">
      <w:pPr>
        <w:spacing w:line="360" w:lineRule="auto"/>
        <w:rPr>
          <w:rFonts w:ascii="Arial" w:hAnsi="Arial" w:cs="Arial"/>
          <w:b/>
          <w:bCs/>
          <w:sz w:val="22"/>
          <w:szCs w:val="22"/>
        </w:rPr>
      </w:pPr>
      <w:r w:rsidRPr="009664B1">
        <w:rPr>
          <w:rFonts w:ascii="Arial" w:hAnsi="Arial" w:cs="Arial"/>
          <w:b/>
          <w:bCs/>
          <w:sz w:val="22"/>
          <w:szCs w:val="22"/>
        </w:rPr>
        <w:br w:type="page"/>
      </w:r>
    </w:p>
    <w:p w14:paraId="24A519E4" w14:textId="2FC60487" w:rsidR="009B60D8" w:rsidRPr="009664B1" w:rsidRDefault="009B60D8" w:rsidP="00FC0B1B">
      <w:pPr>
        <w:spacing w:line="360" w:lineRule="auto"/>
        <w:rPr>
          <w:rFonts w:ascii="Arial" w:hAnsi="Arial" w:cs="Arial"/>
          <w:sz w:val="22"/>
          <w:szCs w:val="22"/>
        </w:rPr>
      </w:pPr>
      <w:r w:rsidRPr="009664B1">
        <w:rPr>
          <w:rFonts w:ascii="Arial" w:hAnsi="Arial" w:cs="Arial"/>
          <w:b/>
          <w:bCs/>
          <w:sz w:val="22"/>
          <w:szCs w:val="22"/>
        </w:rPr>
        <w:lastRenderedPageBreak/>
        <w:t>Figure S12.</w:t>
      </w:r>
      <w:r w:rsidRPr="009664B1">
        <w:rPr>
          <w:rFonts w:ascii="Arial" w:hAnsi="Arial" w:cs="Arial"/>
          <w:sz w:val="22"/>
          <w:szCs w:val="22"/>
        </w:rPr>
        <w:t xml:space="preserve"> </w:t>
      </w:r>
      <w:r w:rsidR="00E341CD">
        <w:rPr>
          <w:rFonts w:ascii="Arial" w:hAnsi="Arial" w:cs="Arial"/>
          <w:sz w:val="22"/>
          <w:szCs w:val="22"/>
        </w:rPr>
        <w:t>Global reduction in mortality by risk factor and dietary pattern. Risk factors include low intake of whole grains, vegetables, fruits, legumes, nuts and seeds; high intake of red meat and processed meat; and imbalances in energy intake associated with underweight, overweight, and obesity.</w:t>
      </w:r>
    </w:p>
    <w:p w14:paraId="6CDEF3D3" w14:textId="77777777" w:rsidR="009B60D8" w:rsidRPr="009664B1" w:rsidRDefault="009B60D8" w:rsidP="00FC0B1B">
      <w:pPr>
        <w:spacing w:line="360" w:lineRule="auto"/>
        <w:rPr>
          <w:rFonts w:ascii="Arial" w:hAnsi="Arial" w:cs="Arial"/>
          <w:sz w:val="22"/>
          <w:szCs w:val="22"/>
        </w:rPr>
      </w:pPr>
      <w:r w:rsidRPr="009664B1">
        <w:rPr>
          <w:rFonts w:ascii="Arial" w:hAnsi="Arial" w:cs="Arial"/>
          <w:noProof/>
          <w:sz w:val="22"/>
          <w:szCs w:val="22"/>
        </w:rPr>
        <w:drawing>
          <wp:inline distT="0" distB="0" distL="0" distR="0" wp14:anchorId="19929F1F" wp14:editId="28EF1B84">
            <wp:extent cx="5731510" cy="4585335"/>
            <wp:effectExtent l="0" t="0" r="0" b="0"/>
            <wp:docPr id="21056282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28258" name="Picture 2105628258"/>
                    <pic:cNvPicPr/>
                  </pic:nvPicPr>
                  <pic:blipFill>
                    <a:blip r:embed="rId23"/>
                    <a:stretch>
                      <a:fillRect/>
                    </a:stretch>
                  </pic:blipFill>
                  <pic:spPr>
                    <a:xfrm>
                      <a:off x="0" y="0"/>
                      <a:ext cx="5731510" cy="4585335"/>
                    </a:xfrm>
                    <a:prstGeom prst="rect">
                      <a:avLst/>
                    </a:prstGeom>
                  </pic:spPr>
                </pic:pic>
              </a:graphicData>
            </a:graphic>
          </wp:inline>
        </w:drawing>
      </w:r>
    </w:p>
    <w:p w14:paraId="403CE81A" w14:textId="77777777" w:rsidR="009B60D8" w:rsidRPr="009664B1" w:rsidRDefault="009B60D8" w:rsidP="00FC0B1B">
      <w:pPr>
        <w:spacing w:line="360" w:lineRule="auto"/>
        <w:rPr>
          <w:rFonts w:ascii="Arial" w:hAnsi="Arial" w:cs="Arial"/>
          <w:sz w:val="22"/>
          <w:szCs w:val="22"/>
        </w:rPr>
      </w:pPr>
      <w:r w:rsidRPr="009664B1">
        <w:rPr>
          <w:rFonts w:ascii="Arial" w:hAnsi="Arial" w:cs="Arial"/>
          <w:sz w:val="22"/>
          <w:szCs w:val="22"/>
        </w:rPr>
        <w:br w:type="page"/>
      </w:r>
    </w:p>
    <w:p w14:paraId="5153F020" w14:textId="1AB311C9" w:rsidR="00F537B3" w:rsidRDefault="009B60D8" w:rsidP="00FC0B1B">
      <w:pPr>
        <w:spacing w:line="360" w:lineRule="auto"/>
        <w:rPr>
          <w:rFonts w:ascii="Arial" w:hAnsi="Arial" w:cs="Arial"/>
          <w:sz w:val="22"/>
          <w:szCs w:val="22"/>
        </w:rPr>
      </w:pPr>
      <w:r w:rsidRPr="009664B1">
        <w:rPr>
          <w:rFonts w:ascii="Arial" w:hAnsi="Arial" w:cs="Arial"/>
          <w:b/>
          <w:bCs/>
          <w:sz w:val="22"/>
          <w:szCs w:val="22"/>
        </w:rPr>
        <w:lastRenderedPageBreak/>
        <w:t>Figure S13.</w:t>
      </w:r>
      <w:r w:rsidRPr="009664B1">
        <w:rPr>
          <w:rFonts w:ascii="Arial" w:hAnsi="Arial" w:cs="Arial"/>
          <w:sz w:val="22"/>
          <w:szCs w:val="22"/>
        </w:rPr>
        <w:t xml:space="preserve"> </w:t>
      </w:r>
      <w:r w:rsidR="005B5243">
        <w:rPr>
          <w:rFonts w:ascii="Arial" w:hAnsi="Arial" w:cs="Arial"/>
          <w:sz w:val="22"/>
          <w:szCs w:val="22"/>
        </w:rPr>
        <w:t xml:space="preserve">Reduction in mortality </w:t>
      </w:r>
      <w:r w:rsidR="009204CB">
        <w:rPr>
          <w:rFonts w:ascii="Arial" w:hAnsi="Arial" w:cs="Arial"/>
          <w:sz w:val="22"/>
          <w:szCs w:val="22"/>
        </w:rPr>
        <w:t xml:space="preserve">by </w:t>
      </w:r>
      <w:r w:rsidR="009204CB">
        <w:rPr>
          <w:rFonts w:ascii="Arial" w:hAnsi="Arial" w:cs="Arial"/>
          <w:sz w:val="22"/>
          <w:szCs w:val="22"/>
        </w:rPr>
        <w:t>dietary pattern, and for flexitarian diets also by region, age group, and sex</w:t>
      </w:r>
      <w:r w:rsidR="009204CB">
        <w:rPr>
          <w:rFonts w:ascii="Arial" w:hAnsi="Arial" w:cs="Arial"/>
          <w:sz w:val="22"/>
          <w:szCs w:val="22"/>
        </w:rPr>
        <w:t xml:space="preserve">. Panel </w:t>
      </w:r>
      <w:r w:rsidR="009204CB" w:rsidRPr="009204CB">
        <w:rPr>
          <w:rFonts w:ascii="Arial" w:hAnsi="Arial" w:cs="Arial"/>
          <w:b/>
          <w:bCs/>
          <w:sz w:val="22"/>
          <w:szCs w:val="22"/>
        </w:rPr>
        <w:t>A</w:t>
      </w:r>
      <w:r w:rsidR="009204CB">
        <w:rPr>
          <w:rFonts w:ascii="Arial" w:hAnsi="Arial" w:cs="Arial"/>
          <w:sz w:val="22"/>
          <w:szCs w:val="22"/>
        </w:rPr>
        <w:t xml:space="preserve"> displays the reduction in mortality attributed to changes in diet and weight-related risk factors. Panel </w:t>
      </w:r>
      <w:r w:rsidR="009204CB" w:rsidRPr="009204CB">
        <w:rPr>
          <w:rFonts w:ascii="Arial" w:hAnsi="Arial" w:cs="Arial"/>
          <w:b/>
          <w:bCs/>
          <w:sz w:val="22"/>
          <w:szCs w:val="22"/>
        </w:rPr>
        <w:t>B</w:t>
      </w:r>
      <w:r w:rsidR="009204CB">
        <w:rPr>
          <w:rFonts w:ascii="Arial" w:hAnsi="Arial" w:cs="Arial"/>
          <w:sz w:val="22"/>
          <w:szCs w:val="22"/>
        </w:rPr>
        <w:t xml:space="preserve"> displays the reduction in mortality with </w:t>
      </w:r>
      <w:r w:rsidR="00677741">
        <w:rPr>
          <w:rFonts w:ascii="Arial" w:hAnsi="Arial" w:cs="Arial"/>
          <w:sz w:val="22"/>
          <w:szCs w:val="22"/>
        </w:rPr>
        <w:t xml:space="preserve">diet-related risk factors as in panel </w:t>
      </w:r>
      <w:r w:rsidR="00677741" w:rsidRPr="00677741">
        <w:rPr>
          <w:rFonts w:ascii="Arial" w:hAnsi="Arial" w:cs="Arial"/>
          <w:b/>
          <w:bCs/>
          <w:sz w:val="22"/>
          <w:szCs w:val="22"/>
        </w:rPr>
        <w:t>A</w:t>
      </w:r>
      <w:r w:rsidR="00677741">
        <w:rPr>
          <w:rFonts w:ascii="Arial" w:hAnsi="Arial" w:cs="Arial"/>
          <w:sz w:val="22"/>
          <w:szCs w:val="22"/>
        </w:rPr>
        <w:t xml:space="preserve"> and with </w:t>
      </w:r>
      <w:r w:rsidR="009204CB">
        <w:rPr>
          <w:rFonts w:ascii="Arial" w:hAnsi="Arial" w:cs="Arial"/>
          <w:sz w:val="22"/>
          <w:szCs w:val="22"/>
        </w:rPr>
        <w:t>weight-related risk factors attributed the under and overconsumption of foods</w:t>
      </w:r>
      <w:r w:rsidR="00F537B3">
        <w:rPr>
          <w:rFonts w:ascii="Arial" w:hAnsi="Arial" w:cs="Arial"/>
          <w:sz w:val="22"/>
          <w:szCs w:val="22"/>
        </w:rPr>
        <w:t xml:space="preserve"> (including to foods directly associated with diet-related risks). </w:t>
      </w:r>
    </w:p>
    <w:p w14:paraId="70344BDA" w14:textId="75ADD3C1" w:rsidR="005B5243" w:rsidRPr="009664B1" w:rsidRDefault="00677741" w:rsidP="00FC0B1B">
      <w:pPr>
        <w:spacing w:line="360" w:lineRule="auto"/>
        <w:rPr>
          <w:rFonts w:ascii="Arial" w:hAnsi="Arial" w:cs="Arial"/>
          <w:sz w:val="22"/>
          <w:szCs w:val="22"/>
        </w:rPr>
      </w:pPr>
      <w:r>
        <w:rPr>
          <w:rFonts w:ascii="Arial" w:hAnsi="Arial" w:cs="Arial"/>
          <w:noProof/>
          <w:sz w:val="22"/>
          <w:szCs w:val="22"/>
        </w:rPr>
        <w:drawing>
          <wp:inline distT="0" distB="0" distL="0" distR="0" wp14:anchorId="28A180A9" wp14:editId="17871874">
            <wp:extent cx="5731510" cy="5731510"/>
            <wp:effectExtent l="0" t="0" r="0" b="0"/>
            <wp:docPr id="16408882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88238" name="Picture 16408882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CFFFD69" w14:textId="6A32508B" w:rsidR="009B60D8" w:rsidRPr="009664B1" w:rsidRDefault="009B60D8" w:rsidP="00FC0B1B">
      <w:pPr>
        <w:spacing w:line="360" w:lineRule="auto"/>
        <w:rPr>
          <w:rFonts w:ascii="Arial" w:hAnsi="Arial" w:cs="Arial"/>
          <w:sz w:val="22"/>
          <w:szCs w:val="22"/>
        </w:rPr>
      </w:pPr>
    </w:p>
    <w:p w14:paraId="33A9A0DA" w14:textId="13582FBE" w:rsidR="009B60D8" w:rsidRPr="009664B1" w:rsidRDefault="009B60D8" w:rsidP="00FC0B1B">
      <w:pPr>
        <w:spacing w:line="360" w:lineRule="auto"/>
        <w:rPr>
          <w:rFonts w:ascii="Arial" w:hAnsi="Arial" w:cs="Arial"/>
          <w:sz w:val="22"/>
          <w:szCs w:val="22"/>
        </w:rPr>
      </w:pPr>
    </w:p>
    <w:p w14:paraId="0D8CA0D7" w14:textId="77777777" w:rsidR="009B60D8" w:rsidRPr="009664B1" w:rsidRDefault="009B60D8" w:rsidP="00FC0B1B">
      <w:pPr>
        <w:spacing w:line="360" w:lineRule="auto"/>
        <w:rPr>
          <w:rFonts w:ascii="Arial" w:hAnsi="Arial" w:cs="Arial"/>
          <w:sz w:val="22"/>
          <w:szCs w:val="22"/>
        </w:rPr>
      </w:pPr>
    </w:p>
    <w:p w14:paraId="09A34E55" w14:textId="5E961D81" w:rsidR="00553461" w:rsidRPr="009664B1" w:rsidRDefault="00553461" w:rsidP="00FC0B1B">
      <w:pPr>
        <w:spacing w:line="360" w:lineRule="auto"/>
        <w:rPr>
          <w:rFonts w:ascii="Arial" w:hAnsi="Arial" w:cs="Arial"/>
          <w:sz w:val="22"/>
          <w:szCs w:val="22"/>
        </w:rPr>
      </w:pPr>
    </w:p>
    <w:p w14:paraId="7A61DE7C" w14:textId="77777777" w:rsidR="00553461" w:rsidRPr="009664B1" w:rsidRDefault="00553461" w:rsidP="00FC0B1B">
      <w:pPr>
        <w:spacing w:line="360" w:lineRule="auto"/>
        <w:rPr>
          <w:rFonts w:ascii="Arial" w:hAnsi="Arial" w:cs="Arial"/>
          <w:sz w:val="22"/>
          <w:szCs w:val="22"/>
        </w:rPr>
      </w:pPr>
    </w:p>
    <w:p w14:paraId="2017503D" w14:textId="77777777" w:rsidR="00553461" w:rsidRPr="009664B1" w:rsidRDefault="00553461" w:rsidP="00FC0B1B">
      <w:pPr>
        <w:spacing w:line="360" w:lineRule="auto"/>
        <w:rPr>
          <w:rFonts w:ascii="Arial" w:hAnsi="Arial" w:cs="Arial"/>
          <w:sz w:val="22"/>
          <w:szCs w:val="22"/>
        </w:rPr>
      </w:pPr>
    </w:p>
    <w:p w14:paraId="4C8699E8" w14:textId="77777777" w:rsidR="00553461" w:rsidRPr="009664B1" w:rsidRDefault="00553461" w:rsidP="00FC0B1B">
      <w:pPr>
        <w:spacing w:line="360" w:lineRule="auto"/>
        <w:rPr>
          <w:rFonts w:ascii="Arial" w:hAnsi="Arial" w:cs="Arial"/>
          <w:sz w:val="22"/>
          <w:szCs w:val="22"/>
        </w:rPr>
      </w:pPr>
    </w:p>
    <w:p w14:paraId="2B005229" w14:textId="62BDF96D" w:rsidR="00614336" w:rsidRDefault="009B60D8" w:rsidP="00FC0B1B">
      <w:pPr>
        <w:spacing w:line="360" w:lineRule="auto"/>
        <w:rPr>
          <w:rFonts w:ascii="Arial" w:hAnsi="Arial" w:cs="Arial"/>
          <w:sz w:val="22"/>
          <w:szCs w:val="22"/>
        </w:rPr>
      </w:pPr>
      <w:r w:rsidRPr="009664B1">
        <w:rPr>
          <w:rFonts w:ascii="Arial" w:hAnsi="Arial" w:cs="Arial"/>
          <w:b/>
          <w:bCs/>
          <w:sz w:val="22"/>
          <w:szCs w:val="22"/>
        </w:rPr>
        <w:lastRenderedPageBreak/>
        <w:t>Figure S14.</w:t>
      </w:r>
      <w:r w:rsidRPr="009664B1">
        <w:rPr>
          <w:rFonts w:ascii="Arial" w:hAnsi="Arial" w:cs="Arial"/>
          <w:sz w:val="22"/>
          <w:szCs w:val="22"/>
        </w:rPr>
        <w:t xml:space="preserve"> </w:t>
      </w:r>
      <w:r w:rsidR="00614336">
        <w:rPr>
          <w:rFonts w:ascii="Arial" w:hAnsi="Arial" w:cs="Arial"/>
          <w:sz w:val="22"/>
          <w:szCs w:val="22"/>
        </w:rPr>
        <w:t>Change in mortality by country and dietary pattern, including flexitarian (</w:t>
      </w:r>
      <w:r w:rsidR="00614336" w:rsidRPr="00614336">
        <w:rPr>
          <w:rFonts w:ascii="Arial" w:hAnsi="Arial" w:cs="Arial"/>
          <w:b/>
          <w:bCs/>
          <w:sz w:val="22"/>
          <w:szCs w:val="22"/>
        </w:rPr>
        <w:t>A</w:t>
      </w:r>
      <w:r w:rsidR="00614336">
        <w:rPr>
          <w:rFonts w:ascii="Arial" w:hAnsi="Arial" w:cs="Arial"/>
          <w:sz w:val="22"/>
          <w:szCs w:val="22"/>
        </w:rPr>
        <w:t>), pescatarian (</w:t>
      </w:r>
      <w:r w:rsidR="00614336" w:rsidRPr="00614336">
        <w:rPr>
          <w:rFonts w:ascii="Arial" w:hAnsi="Arial" w:cs="Arial"/>
          <w:b/>
          <w:bCs/>
          <w:sz w:val="22"/>
          <w:szCs w:val="22"/>
        </w:rPr>
        <w:t>B</w:t>
      </w:r>
      <w:r w:rsidR="00614336">
        <w:rPr>
          <w:rFonts w:ascii="Arial" w:hAnsi="Arial" w:cs="Arial"/>
          <w:sz w:val="22"/>
          <w:szCs w:val="22"/>
        </w:rPr>
        <w:t>), vegetarian (</w:t>
      </w:r>
      <w:r w:rsidR="00614336" w:rsidRPr="00614336">
        <w:rPr>
          <w:rFonts w:ascii="Arial" w:hAnsi="Arial" w:cs="Arial"/>
          <w:b/>
          <w:bCs/>
          <w:sz w:val="22"/>
          <w:szCs w:val="22"/>
        </w:rPr>
        <w:t>C</w:t>
      </w:r>
      <w:r w:rsidR="00614336">
        <w:rPr>
          <w:rFonts w:ascii="Arial" w:hAnsi="Arial" w:cs="Arial"/>
          <w:sz w:val="22"/>
          <w:szCs w:val="22"/>
        </w:rPr>
        <w:t>), and vegan (</w:t>
      </w:r>
      <w:r w:rsidR="00614336" w:rsidRPr="00614336">
        <w:rPr>
          <w:rFonts w:ascii="Arial" w:hAnsi="Arial" w:cs="Arial"/>
          <w:b/>
          <w:bCs/>
          <w:sz w:val="22"/>
          <w:szCs w:val="22"/>
        </w:rPr>
        <w:t>D</w:t>
      </w:r>
      <w:r w:rsidR="00614336">
        <w:rPr>
          <w:rFonts w:ascii="Arial" w:hAnsi="Arial" w:cs="Arial"/>
          <w:sz w:val="22"/>
          <w:szCs w:val="22"/>
        </w:rPr>
        <w:t>) diets.</w:t>
      </w:r>
    </w:p>
    <w:p w14:paraId="7E699C0F" w14:textId="749C4B43" w:rsidR="009B60D8" w:rsidRPr="009664B1" w:rsidRDefault="00257E90" w:rsidP="00FC0B1B">
      <w:pPr>
        <w:spacing w:line="360" w:lineRule="auto"/>
        <w:jc w:val="center"/>
        <w:rPr>
          <w:rFonts w:ascii="Arial" w:hAnsi="Arial" w:cs="Arial"/>
          <w:sz w:val="22"/>
          <w:szCs w:val="22"/>
        </w:rPr>
      </w:pPr>
      <w:r>
        <w:rPr>
          <w:rFonts w:ascii="Arial" w:hAnsi="Arial" w:cs="Arial"/>
          <w:noProof/>
          <w:sz w:val="22"/>
          <w:szCs w:val="22"/>
        </w:rPr>
        <w:drawing>
          <wp:inline distT="0" distB="0" distL="0" distR="0" wp14:anchorId="684B36CC" wp14:editId="05F09F1A">
            <wp:extent cx="4355757" cy="7259421"/>
            <wp:effectExtent l="0" t="0" r="0" b="5080"/>
            <wp:docPr id="7043008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00885" name="Picture 704300885"/>
                    <pic:cNvPicPr/>
                  </pic:nvPicPr>
                  <pic:blipFill>
                    <a:blip r:embed="rId25">
                      <a:extLst>
                        <a:ext uri="{28A0092B-C50C-407E-A947-70E740481C1C}">
                          <a14:useLocalDpi xmlns:a14="http://schemas.microsoft.com/office/drawing/2010/main" val="0"/>
                        </a:ext>
                      </a:extLst>
                    </a:blip>
                    <a:stretch>
                      <a:fillRect/>
                    </a:stretch>
                  </pic:blipFill>
                  <pic:spPr>
                    <a:xfrm>
                      <a:off x="0" y="0"/>
                      <a:ext cx="4377879" cy="7296291"/>
                    </a:xfrm>
                    <a:prstGeom prst="rect">
                      <a:avLst/>
                    </a:prstGeom>
                  </pic:spPr>
                </pic:pic>
              </a:graphicData>
            </a:graphic>
          </wp:inline>
        </w:drawing>
      </w:r>
    </w:p>
    <w:p w14:paraId="3494F16C" w14:textId="77777777" w:rsidR="009B60D8" w:rsidRPr="009664B1" w:rsidRDefault="009B60D8" w:rsidP="00FC0B1B">
      <w:pPr>
        <w:spacing w:line="360" w:lineRule="auto"/>
        <w:rPr>
          <w:rFonts w:ascii="Arial" w:hAnsi="Arial" w:cs="Arial"/>
          <w:sz w:val="22"/>
          <w:szCs w:val="22"/>
        </w:rPr>
      </w:pPr>
      <w:r w:rsidRPr="009664B1">
        <w:rPr>
          <w:rFonts w:ascii="Arial" w:hAnsi="Arial" w:cs="Arial"/>
          <w:sz w:val="22"/>
          <w:szCs w:val="22"/>
        </w:rPr>
        <w:br w:type="page"/>
      </w:r>
    </w:p>
    <w:p w14:paraId="50FE8D62" w14:textId="2AD8F20D" w:rsidR="009B60D8" w:rsidRPr="009664B1" w:rsidRDefault="009B60D8" w:rsidP="00FC0B1B">
      <w:pPr>
        <w:spacing w:line="360" w:lineRule="auto"/>
        <w:rPr>
          <w:rFonts w:ascii="Arial" w:hAnsi="Arial" w:cs="Arial"/>
          <w:sz w:val="22"/>
          <w:szCs w:val="22"/>
        </w:rPr>
      </w:pPr>
      <w:r w:rsidRPr="009664B1">
        <w:rPr>
          <w:rFonts w:ascii="Arial" w:hAnsi="Arial" w:cs="Arial"/>
          <w:b/>
          <w:bCs/>
          <w:sz w:val="22"/>
          <w:szCs w:val="22"/>
        </w:rPr>
        <w:lastRenderedPageBreak/>
        <w:t>Figure S15.</w:t>
      </w:r>
      <w:r w:rsidRPr="009664B1">
        <w:rPr>
          <w:rFonts w:ascii="Arial" w:hAnsi="Arial" w:cs="Arial"/>
          <w:sz w:val="22"/>
          <w:szCs w:val="22"/>
        </w:rPr>
        <w:t xml:space="preserve"> </w:t>
      </w:r>
      <w:r w:rsidR="006349F9">
        <w:rPr>
          <w:rFonts w:ascii="Arial" w:hAnsi="Arial" w:cs="Arial"/>
          <w:sz w:val="22"/>
          <w:szCs w:val="22"/>
        </w:rPr>
        <w:t>Global reduction in environmental resource use and pollution by environmental indicator and dietary pattern.</w:t>
      </w:r>
    </w:p>
    <w:p w14:paraId="5082B793" w14:textId="77777777" w:rsidR="009B60D8" w:rsidRPr="009664B1" w:rsidRDefault="009B60D8" w:rsidP="00FC0B1B">
      <w:pPr>
        <w:spacing w:line="360" w:lineRule="auto"/>
        <w:rPr>
          <w:rFonts w:ascii="Arial" w:hAnsi="Arial" w:cs="Arial"/>
          <w:sz w:val="22"/>
          <w:szCs w:val="22"/>
        </w:rPr>
      </w:pPr>
      <w:r w:rsidRPr="009664B1">
        <w:rPr>
          <w:rFonts w:ascii="Arial" w:hAnsi="Arial" w:cs="Arial"/>
          <w:noProof/>
          <w:sz w:val="22"/>
          <w:szCs w:val="22"/>
        </w:rPr>
        <w:drawing>
          <wp:inline distT="0" distB="0" distL="0" distR="0" wp14:anchorId="1F667DB0" wp14:editId="39F078E4">
            <wp:extent cx="5731510" cy="3439160"/>
            <wp:effectExtent l="0" t="0" r="0" b="2540"/>
            <wp:docPr id="16556665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66536" name="Picture 1655666536"/>
                    <pic:cNvPicPr/>
                  </pic:nvPicPr>
                  <pic:blipFill>
                    <a:blip r:embed="rId26"/>
                    <a:stretch>
                      <a:fillRect/>
                    </a:stretch>
                  </pic:blipFill>
                  <pic:spPr>
                    <a:xfrm>
                      <a:off x="0" y="0"/>
                      <a:ext cx="5731510" cy="3439160"/>
                    </a:xfrm>
                    <a:prstGeom prst="rect">
                      <a:avLst/>
                    </a:prstGeom>
                  </pic:spPr>
                </pic:pic>
              </a:graphicData>
            </a:graphic>
          </wp:inline>
        </w:drawing>
      </w:r>
    </w:p>
    <w:p w14:paraId="41C96D7A" w14:textId="77777777" w:rsidR="009B60D8" w:rsidRPr="009664B1" w:rsidRDefault="009B60D8" w:rsidP="00FC0B1B">
      <w:pPr>
        <w:spacing w:line="360" w:lineRule="auto"/>
        <w:rPr>
          <w:rFonts w:ascii="Arial" w:hAnsi="Arial" w:cs="Arial"/>
          <w:sz w:val="22"/>
          <w:szCs w:val="22"/>
        </w:rPr>
      </w:pPr>
    </w:p>
    <w:p w14:paraId="6779AA73" w14:textId="77777777" w:rsidR="009B60D8" w:rsidRPr="009664B1" w:rsidRDefault="009B60D8" w:rsidP="00FC0B1B">
      <w:pPr>
        <w:spacing w:line="360" w:lineRule="auto"/>
        <w:rPr>
          <w:rFonts w:ascii="Arial" w:hAnsi="Arial" w:cs="Arial"/>
          <w:sz w:val="22"/>
          <w:szCs w:val="22"/>
        </w:rPr>
      </w:pPr>
    </w:p>
    <w:p w14:paraId="7A5DF6EF" w14:textId="7F18F93D" w:rsidR="006349F9" w:rsidRDefault="006349F9" w:rsidP="00FC0B1B">
      <w:pPr>
        <w:spacing w:line="360" w:lineRule="auto"/>
        <w:rPr>
          <w:rFonts w:ascii="Arial" w:hAnsi="Arial" w:cs="Arial"/>
          <w:sz w:val="22"/>
          <w:szCs w:val="22"/>
        </w:rPr>
      </w:pPr>
      <w:r>
        <w:rPr>
          <w:rFonts w:ascii="Arial" w:hAnsi="Arial" w:cs="Arial"/>
          <w:sz w:val="22"/>
          <w:szCs w:val="22"/>
        </w:rPr>
        <w:br w:type="page"/>
      </w:r>
    </w:p>
    <w:p w14:paraId="0A5078FB" w14:textId="041687D3" w:rsidR="00F02106" w:rsidRDefault="009B60D8" w:rsidP="00FC0B1B">
      <w:pPr>
        <w:spacing w:line="360" w:lineRule="auto"/>
        <w:rPr>
          <w:rFonts w:ascii="Arial" w:hAnsi="Arial" w:cs="Arial"/>
          <w:noProof/>
          <w:sz w:val="22"/>
          <w:szCs w:val="22"/>
        </w:rPr>
      </w:pPr>
      <w:r w:rsidRPr="00F02106">
        <w:rPr>
          <w:rFonts w:ascii="Arial" w:hAnsi="Arial" w:cs="Arial"/>
          <w:b/>
          <w:bCs/>
          <w:sz w:val="22"/>
          <w:szCs w:val="22"/>
        </w:rPr>
        <w:lastRenderedPageBreak/>
        <w:t>Figure S16</w:t>
      </w:r>
      <w:r w:rsidR="00614336" w:rsidRPr="00F02106">
        <w:rPr>
          <w:rFonts w:ascii="Arial" w:hAnsi="Arial" w:cs="Arial"/>
          <w:b/>
          <w:bCs/>
          <w:sz w:val="22"/>
          <w:szCs w:val="22"/>
        </w:rPr>
        <w:t>.</w:t>
      </w:r>
      <w:r w:rsidRPr="009664B1">
        <w:rPr>
          <w:rFonts w:ascii="Arial" w:hAnsi="Arial" w:cs="Arial"/>
          <w:sz w:val="22"/>
          <w:szCs w:val="22"/>
        </w:rPr>
        <w:t xml:space="preserve"> </w:t>
      </w:r>
      <w:r w:rsidR="00614336">
        <w:rPr>
          <w:rFonts w:ascii="Arial" w:hAnsi="Arial" w:cs="Arial"/>
          <w:sz w:val="22"/>
          <w:szCs w:val="22"/>
        </w:rPr>
        <w:t>Reduction in averaged environmental resource demand by</w:t>
      </w:r>
      <w:r w:rsidR="00F02106">
        <w:rPr>
          <w:rFonts w:ascii="Arial" w:hAnsi="Arial" w:cs="Arial"/>
          <w:sz w:val="22"/>
          <w:szCs w:val="22"/>
        </w:rPr>
        <w:t xml:space="preserve"> dietary pattern</w:t>
      </w:r>
      <w:r w:rsidR="00F02106">
        <w:rPr>
          <w:rFonts w:ascii="Arial" w:hAnsi="Arial" w:cs="Arial"/>
          <w:sz w:val="22"/>
          <w:szCs w:val="22"/>
        </w:rPr>
        <w:t>, and for flexitarian diets also by region, age group, and sex</w:t>
      </w:r>
      <w:r w:rsidR="00F02106">
        <w:rPr>
          <w:rFonts w:ascii="Arial" w:hAnsi="Arial" w:cs="Arial"/>
          <w:sz w:val="22"/>
          <w:szCs w:val="22"/>
        </w:rPr>
        <w:t xml:space="preserve">. The changes in environmental impacts were averaged across domains (GHG emissions, land use, water use, and eutrophication potential), weighted by the importance of dietary changes for mitigation in that domain. </w:t>
      </w:r>
      <w:r w:rsidR="00F02106">
        <w:rPr>
          <w:rFonts w:ascii="Arial" w:hAnsi="Arial" w:cs="Arial"/>
          <w:noProof/>
          <w:sz w:val="22"/>
          <w:szCs w:val="22"/>
        </w:rPr>
        <w:t xml:space="preserve"> </w:t>
      </w:r>
    </w:p>
    <w:p w14:paraId="54D68772" w14:textId="183026E2" w:rsidR="009B60D8" w:rsidRPr="009664B1" w:rsidRDefault="00614336" w:rsidP="00FC0B1B">
      <w:pPr>
        <w:spacing w:line="360" w:lineRule="auto"/>
        <w:rPr>
          <w:rFonts w:ascii="Arial" w:hAnsi="Arial" w:cs="Arial"/>
          <w:sz w:val="22"/>
          <w:szCs w:val="22"/>
        </w:rPr>
      </w:pPr>
      <w:r>
        <w:rPr>
          <w:rFonts w:ascii="Arial" w:hAnsi="Arial" w:cs="Arial"/>
          <w:noProof/>
          <w:sz w:val="22"/>
          <w:szCs w:val="22"/>
        </w:rPr>
        <w:drawing>
          <wp:inline distT="0" distB="0" distL="0" distR="0" wp14:anchorId="3E83A439" wp14:editId="0536CA0B">
            <wp:extent cx="5731510" cy="5731510"/>
            <wp:effectExtent l="0" t="0" r="0" b="0"/>
            <wp:docPr id="1375981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8130" name="Picture 137598130"/>
                    <pic:cNvPicPr/>
                  </pic:nvPicPr>
                  <pic:blipFill>
                    <a:blip r:embed="rId27"/>
                    <a:stretch>
                      <a:fillRect/>
                    </a:stretch>
                  </pic:blipFill>
                  <pic:spPr>
                    <a:xfrm>
                      <a:off x="0" y="0"/>
                      <a:ext cx="5731510" cy="5731510"/>
                    </a:xfrm>
                    <a:prstGeom prst="rect">
                      <a:avLst/>
                    </a:prstGeom>
                  </pic:spPr>
                </pic:pic>
              </a:graphicData>
            </a:graphic>
          </wp:inline>
        </w:drawing>
      </w:r>
    </w:p>
    <w:p w14:paraId="38FFDC99" w14:textId="77777777" w:rsidR="006349F9" w:rsidRDefault="006349F9" w:rsidP="00FC0B1B">
      <w:pPr>
        <w:spacing w:line="360" w:lineRule="auto"/>
        <w:rPr>
          <w:rFonts w:ascii="Arial" w:hAnsi="Arial" w:cs="Arial"/>
          <w:sz w:val="22"/>
          <w:szCs w:val="22"/>
        </w:rPr>
      </w:pPr>
      <w:r>
        <w:rPr>
          <w:rFonts w:ascii="Arial" w:hAnsi="Arial" w:cs="Arial"/>
          <w:sz w:val="22"/>
          <w:szCs w:val="22"/>
        </w:rPr>
        <w:br w:type="page"/>
      </w:r>
    </w:p>
    <w:p w14:paraId="6DD772E9" w14:textId="500C2E83" w:rsidR="003728DC" w:rsidRDefault="009B60D8" w:rsidP="00FC0B1B">
      <w:pPr>
        <w:spacing w:line="360" w:lineRule="auto"/>
        <w:rPr>
          <w:rFonts w:ascii="Arial" w:hAnsi="Arial" w:cs="Arial"/>
          <w:sz w:val="22"/>
          <w:szCs w:val="22"/>
        </w:rPr>
      </w:pPr>
      <w:r w:rsidRPr="003728DC">
        <w:rPr>
          <w:rFonts w:ascii="Arial" w:hAnsi="Arial" w:cs="Arial"/>
          <w:b/>
          <w:bCs/>
          <w:sz w:val="22"/>
          <w:szCs w:val="22"/>
        </w:rPr>
        <w:lastRenderedPageBreak/>
        <w:t>Figure S17</w:t>
      </w:r>
      <w:r w:rsidR="003728DC" w:rsidRPr="003728DC">
        <w:rPr>
          <w:rFonts w:ascii="Arial" w:hAnsi="Arial" w:cs="Arial"/>
          <w:b/>
          <w:bCs/>
          <w:sz w:val="22"/>
          <w:szCs w:val="22"/>
        </w:rPr>
        <w:t>.</w:t>
      </w:r>
      <w:r w:rsidR="003728DC">
        <w:rPr>
          <w:rFonts w:ascii="Arial" w:hAnsi="Arial" w:cs="Arial"/>
          <w:sz w:val="22"/>
          <w:szCs w:val="22"/>
        </w:rPr>
        <w:t xml:space="preserve"> Reduction in environmental resource use and pollution </w:t>
      </w:r>
      <w:r w:rsidR="003728DC">
        <w:rPr>
          <w:rFonts w:ascii="Arial" w:hAnsi="Arial" w:cs="Arial"/>
          <w:sz w:val="22"/>
          <w:szCs w:val="22"/>
        </w:rPr>
        <w:t>by dietary pattern, and for flexitarian diets also by region, age group, and sex</w:t>
      </w:r>
      <w:r w:rsidR="003728DC">
        <w:rPr>
          <w:rFonts w:ascii="Arial" w:hAnsi="Arial" w:cs="Arial"/>
          <w:sz w:val="22"/>
          <w:szCs w:val="22"/>
        </w:rPr>
        <w:t xml:space="preserve"> across environmental domains, including GHG emissions (</w:t>
      </w:r>
      <w:r w:rsidR="003728DC" w:rsidRPr="003728DC">
        <w:rPr>
          <w:rFonts w:ascii="Arial" w:hAnsi="Arial" w:cs="Arial"/>
          <w:b/>
          <w:bCs/>
          <w:sz w:val="22"/>
          <w:szCs w:val="22"/>
        </w:rPr>
        <w:t>A</w:t>
      </w:r>
      <w:r w:rsidR="003728DC">
        <w:rPr>
          <w:rFonts w:ascii="Arial" w:hAnsi="Arial" w:cs="Arial"/>
          <w:sz w:val="22"/>
          <w:szCs w:val="22"/>
        </w:rPr>
        <w:t>), land use (</w:t>
      </w:r>
      <w:r w:rsidR="003728DC" w:rsidRPr="003728DC">
        <w:rPr>
          <w:rFonts w:ascii="Arial" w:hAnsi="Arial" w:cs="Arial"/>
          <w:b/>
          <w:bCs/>
          <w:sz w:val="22"/>
          <w:szCs w:val="22"/>
        </w:rPr>
        <w:t>B</w:t>
      </w:r>
      <w:r w:rsidR="003728DC">
        <w:rPr>
          <w:rFonts w:ascii="Arial" w:hAnsi="Arial" w:cs="Arial"/>
          <w:sz w:val="22"/>
          <w:szCs w:val="22"/>
        </w:rPr>
        <w:t>), water use (</w:t>
      </w:r>
      <w:r w:rsidR="003728DC" w:rsidRPr="003728DC">
        <w:rPr>
          <w:rFonts w:ascii="Arial" w:hAnsi="Arial" w:cs="Arial"/>
          <w:b/>
          <w:bCs/>
          <w:sz w:val="22"/>
          <w:szCs w:val="22"/>
        </w:rPr>
        <w:t>C</w:t>
      </w:r>
      <w:r w:rsidR="003728DC">
        <w:rPr>
          <w:rFonts w:ascii="Arial" w:hAnsi="Arial" w:cs="Arial"/>
          <w:sz w:val="22"/>
          <w:szCs w:val="22"/>
        </w:rPr>
        <w:t>), and eutrophication potential (</w:t>
      </w:r>
      <w:r w:rsidR="003728DC" w:rsidRPr="003728DC">
        <w:rPr>
          <w:rFonts w:ascii="Arial" w:hAnsi="Arial" w:cs="Arial"/>
          <w:b/>
          <w:bCs/>
          <w:sz w:val="22"/>
          <w:szCs w:val="22"/>
        </w:rPr>
        <w:t>D</w:t>
      </w:r>
      <w:r w:rsidR="003728DC">
        <w:rPr>
          <w:rFonts w:ascii="Arial" w:hAnsi="Arial" w:cs="Arial"/>
          <w:sz w:val="22"/>
          <w:szCs w:val="22"/>
        </w:rPr>
        <w:t>)</w:t>
      </w:r>
      <w:r w:rsidR="003728DC">
        <w:rPr>
          <w:rFonts w:ascii="Arial" w:hAnsi="Arial" w:cs="Arial"/>
          <w:sz w:val="22"/>
          <w:szCs w:val="22"/>
        </w:rPr>
        <w:t>.</w:t>
      </w:r>
    </w:p>
    <w:p w14:paraId="362AF9E4" w14:textId="3C5A5E75" w:rsidR="003728DC" w:rsidRDefault="003728DC" w:rsidP="00FC0B1B">
      <w:pPr>
        <w:spacing w:line="360" w:lineRule="auto"/>
        <w:rPr>
          <w:rFonts w:ascii="Arial" w:hAnsi="Arial" w:cs="Arial"/>
          <w:sz w:val="22"/>
          <w:szCs w:val="22"/>
        </w:rPr>
      </w:pPr>
      <w:r>
        <w:rPr>
          <w:rFonts w:ascii="Arial" w:hAnsi="Arial" w:cs="Arial"/>
          <w:noProof/>
          <w:sz w:val="22"/>
          <w:szCs w:val="22"/>
        </w:rPr>
        <w:drawing>
          <wp:inline distT="0" distB="0" distL="0" distR="0" wp14:anchorId="71E6772E" wp14:editId="55CAC8EE">
            <wp:extent cx="5731510" cy="7642225"/>
            <wp:effectExtent l="0" t="0" r="0" b="3175"/>
            <wp:docPr id="14041261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26142" name="Picture 1404126142"/>
                    <pic:cNvPicPr/>
                  </pic:nvPicPr>
                  <pic:blipFill>
                    <a:blip r:embed="rId28"/>
                    <a:stretch>
                      <a:fillRect/>
                    </a:stretch>
                  </pic:blipFill>
                  <pic:spPr>
                    <a:xfrm>
                      <a:off x="0" y="0"/>
                      <a:ext cx="5731510" cy="7642225"/>
                    </a:xfrm>
                    <a:prstGeom prst="rect">
                      <a:avLst/>
                    </a:prstGeom>
                  </pic:spPr>
                </pic:pic>
              </a:graphicData>
            </a:graphic>
          </wp:inline>
        </w:drawing>
      </w:r>
    </w:p>
    <w:p w14:paraId="63764793" w14:textId="77777777" w:rsidR="00E67774" w:rsidRDefault="00E67774" w:rsidP="00FC0B1B">
      <w:pPr>
        <w:spacing w:line="360" w:lineRule="auto"/>
        <w:rPr>
          <w:rFonts w:ascii="Arial" w:hAnsi="Arial" w:cs="Arial"/>
          <w:sz w:val="22"/>
          <w:szCs w:val="22"/>
        </w:rPr>
      </w:pPr>
      <w:r>
        <w:rPr>
          <w:rFonts w:ascii="Arial" w:hAnsi="Arial" w:cs="Arial"/>
          <w:sz w:val="22"/>
          <w:szCs w:val="22"/>
        </w:rPr>
        <w:br w:type="page"/>
      </w:r>
    </w:p>
    <w:p w14:paraId="6167C8DD" w14:textId="2D16A749" w:rsidR="00580B4E" w:rsidRDefault="003728DC" w:rsidP="00FC0B1B">
      <w:pPr>
        <w:spacing w:line="360" w:lineRule="auto"/>
        <w:rPr>
          <w:rFonts w:ascii="Arial" w:hAnsi="Arial" w:cs="Arial"/>
          <w:sz w:val="22"/>
          <w:szCs w:val="22"/>
        </w:rPr>
      </w:pPr>
      <w:r w:rsidRPr="00580B4E">
        <w:rPr>
          <w:rFonts w:ascii="Arial" w:hAnsi="Arial" w:cs="Arial"/>
          <w:b/>
          <w:bCs/>
          <w:sz w:val="22"/>
          <w:szCs w:val="22"/>
        </w:rPr>
        <w:lastRenderedPageBreak/>
        <w:t>Figure 18.</w:t>
      </w:r>
      <w:r>
        <w:rPr>
          <w:rFonts w:ascii="Arial" w:hAnsi="Arial" w:cs="Arial"/>
          <w:sz w:val="22"/>
          <w:szCs w:val="22"/>
        </w:rPr>
        <w:t xml:space="preserve"> </w:t>
      </w:r>
      <w:r w:rsidR="00580B4E">
        <w:rPr>
          <w:rFonts w:ascii="Arial" w:hAnsi="Arial" w:cs="Arial"/>
          <w:sz w:val="22"/>
          <w:szCs w:val="22"/>
        </w:rPr>
        <w:t xml:space="preserve">Change in averaged environmental impacts by country and dietary pattern, including </w:t>
      </w:r>
      <w:r w:rsidR="00580B4E">
        <w:rPr>
          <w:rFonts w:ascii="Arial" w:hAnsi="Arial" w:cs="Arial"/>
          <w:sz w:val="22"/>
          <w:szCs w:val="22"/>
        </w:rPr>
        <w:t>flexitarian (</w:t>
      </w:r>
      <w:r w:rsidR="00580B4E" w:rsidRPr="00614336">
        <w:rPr>
          <w:rFonts w:ascii="Arial" w:hAnsi="Arial" w:cs="Arial"/>
          <w:b/>
          <w:bCs/>
          <w:sz w:val="22"/>
          <w:szCs w:val="22"/>
        </w:rPr>
        <w:t>A</w:t>
      </w:r>
      <w:r w:rsidR="00580B4E">
        <w:rPr>
          <w:rFonts w:ascii="Arial" w:hAnsi="Arial" w:cs="Arial"/>
          <w:sz w:val="22"/>
          <w:szCs w:val="22"/>
        </w:rPr>
        <w:t>), pescatarian (</w:t>
      </w:r>
      <w:r w:rsidR="00580B4E" w:rsidRPr="00614336">
        <w:rPr>
          <w:rFonts w:ascii="Arial" w:hAnsi="Arial" w:cs="Arial"/>
          <w:b/>
          <w:bCs/>
          <w:sz w:val="22"/>
          <w:szCs w:val="22"/>
        </w:rPr>
        <w:t>B</w:t>
      </w:r>
      <w:r w:rsidR="00580B4E">
        <w:rPr>
          <w:rFonts w:ascii="Arial" w:hAnsi="Arial" w:cs="Arial"/>
          <w:sz w:val="22"/>
          <w:szCs w:val="22"/>
        </w:rPr>
        <w:t>), vegetarian (</w:t>
      </w:r>
      <w:r w:rsidR="00580B4E" w:rsidRPr="00614336">
        <w:rPr>
          <w:rFonts w:ascii="Arial" w:hAnsi="Arial" w:cs="Arial"/>
          <w:b/>
          <w:bCs/>
          <w:sz w:val="22"/>
          <w:szCs w:val="22"/>
        </w:rPr>
        <w:t>C</w:t>
      </w:r>
      <w:r w:rsidR="00580B4E">
        <w:rPr>
          <w:rFonts w:ascii="Arial" w:hAnsi="Arial" w:cs="Arial"/>
          <w:sz w:val="22"/>
          <w:szCs w:val="22"/>
        </w:rPr>
        <w:t>), and vegan (</w:t>
      </w:r>
      <w:r w:rsidR="00580B4E" w:rsidRPr="00614336">
        <w:rPr>
          <w:rFonts w:ascii="Arial" w:hAnsi="Arial" w:cs="Arial"/>
          <w:b/>
          <w:bCs/>
          <w:sz w:val="22"/>
          <w:szCs w:val="22"/>
        </w:rPr>
        <w:t>D</w:t>
      </w:r>
      <w:r w:rsidR="00580B4E">
        <w:rPr>
          <w:rFonts w:ascii="Arial" w:hAnsi="Arial" w:cs="Arial"/>
          <w:sz w:val="22"/>
          <w:szCs w:val="22"/>
        </w:rPr>
        <w:t>) diets.</w:t>
      </w:r>
    </w:p>
    <w:p w14:paraId="183E5EE5" w14:textId="7620BFB7" w:rsidR="003728DC" w:rsidRDefault="00580B4E" w:rsidP="00FC0B1B">
      <w:pPr>
        <w:spacing w:line="360" w:lineRule="auto"/>
        <w:jc w:val="center"/>
        <w:rPr>
          <w:rFonts w:ascii="Arial" w:hAnsi="Arial" w:cs="Arial"/>
          <w:sz w:val="22"/>
          <w:szCs w:val="22"/>
        </w:rPr>
      </w:pPr>
      <w:r>
        <w:rPr>
          <w:rFonts w:ascii="Arial" w:hAnsi="Arial" w:cs="Arial"/>
          <w:noProof/>
          <w:sz w:val="22"/>
          <w:szCs w:val="22"/>
        </w:rPr>
        <w:drawing>
          <wp:inline distT="0" distB="0" distL="0" distR="0" wp14:anchorId="2C17B238" wp14:editId="310CCD1B">
            <wp:extent cx="4191000" cy="6984831"/>
            <wp:effectExtent l="0" t="0" r="0" b="635"/>
            <wp:docPr id="1263446268" name="Picture 21" descr="A screenshot of a cell phone showing 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46268" name="Picture 21" descr="A screenshot of a cell phone showing a map of the worl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218574" cy="7030787"/>
                    </a:xfrm>
                    <a:prstGeom prst="rect">
                      <a:avLst/>
                    </a:prstGeom>
                  </pic:spPr>
                </pic:pic>
              </a:graphicData>
            </a:graphic>
          </wp:inline>
        </w:drawing>
      </w:r>
    </w:p>
    <w:p w14:paraId="2BD4B7EF" w14:textId="77777777" w:rsidR="003728DC" w:rsidRDefault="003728DC" w:rsidP="00FC0B1B">
      <w:pPr>
        <w:spacing w:line="360" w:lineRule="auto"/>
        <w:rPr>
          <w:rFonts w:ascii="Arial" w:hAnsi="Arial" w:cs="Arial"/>
          <w:sz w:val="22"/>
          <w:szCs w:val="22"/>
        </w:rPr>
      </w:pPr>
    </w:p>
    <w:p w14:paraId="01AA1AC2" w14:textId="77777777" w:rsidR="003728DC" w:rsidRDefault="003728DC" w:rsidP="00FC0B1B">
      <w:pPr>
        <w:spacing w:line="360" w:lineRule="auto"/>
        <w:rPr>
          <w:rFonts w:ascii="Arial" w:hAnsi="Arial" w:cs="Arial"/>
          <w:b/>
          <w:bCs/>
          <w:sz w:val="22"/>
          <w:szCs w:val="22"/>
        </w:rPr>
      </w:pPr>
      <w:r>
        <w:rPr>
          <w:rFonts w:ascii="Arial" w:hAnsi="Arial" w:cs="Arial"/>
          <w:b/>
          <w:bCs/>
          <w:sz w:val="22"/>
          <w:szCs w:val="22"/>
        </w:rPr>
        <w:br w:type="page"/>
      </w:r>
    </w:p>
    <w:p w14:paraId="6BE89D0D" w14:textId="4B3F796E" w:rsidR="00FC0B1B" w:rsidRDefault="00A03D71" w:rsidP="00FC0B1B">
      <w:pPr>
        <w:spacing w:line="360" w:lineRule="auto"/>
        <w:rPr>
          <w:rFonts w:ascii="Arial" w:hAnsi="Arial" w:cs="Arial"/>
          <w:sz w:val="22"/>
          <w:szCs w:val="22"/>
        </w:rPr>
      </w:pPr>
      <w:r w:rsidRPr="006349F9">
        <w:rPr>
          <w:rFonts w:ascii="Arial" w:hAnsi="Arial" w:cs="Arial"/>
          <w:b/>
          <w:bCs/>
          <w:sz w:val="22"/>
          <w:szCs w:val="22"/>
        </w:rPr>
        <w:lastRenderedPageBreak/>
        <w:t>Figure S1</w:t>
      </w:r>
      <w:r w:rsidR="003728DC">
        <w:rPr>
          <w:rFonts w:ascii="Arial" w:hAnsi="Arial" w:cs="Arial"/>
          <w:b/>
          <w:bCs/>
          <w:sz w:val="22"/>
          <w:szCs w:val="22"/>
        </w:rPr>
        <w:t>9</w:t>
      </w:r>
      <w:r w:rsidR="006349F9" w:rsidRPr="006349F9">
        <w:rPr>
          <w:rFonts w:ascii="Arial" w:hAnsi="Arial" w:cs="Arial"/>
          <w:b/>
          <w:bCs/>
          <w:sz w:val="22"/>
          <w:szCs w:val="22"/>
        </w:rPr>
        <w:t>.</w:t>
      </w:r>
      <w:r w:rsidR="006349F9">
        <w:rPr>
          <w:rFonts w:ascii="Arial" w:hAnsi="Arial" w:cs="Arial"/>
          <w:sz w:val="22"/>
          <w:szCs w:val="22"/>
        </w:rPr>
        <w:t xml:space="preserve"> </w:t>
      </w:r>
      <w:r w:rsidR="006349F9" w:rsidRPr="006349F9">
        <w:rPr>
          <w:rFonts w:ascii="Arial" w:hAnsi="Arial" w:cs="Arial"/>
          <w:sz w:val="22"/>
          <w:szCs w:val="22"/>
        </w:rPr>
        <w:t xml:space="preserve">Sensitivity analysis of </w:t>
      </w:r>
      <w:r w:rsidR="006349F9" w:rsidRPr="006349F9">
        <w:rPr>
          <w:rFonts w:ascii="Arial" w:hAnsi="Arial" w:cs="Arial"/>
          <w:sz w:val="22"/>
          <w:szCs w:val="22"/>
        </w:rPr>
        <w:t xml:space="preserve">different ways of </w:t>
      </w:r>
      <w:r w:rsidR="006349F9" w:rsidRPr="006349F9">
        <w:rPr>
          <w:rFonts w:ascii="Arial" w:hAnsi="Arial" w:cs="Arial"/>
          <w:sz w:val="22"/>
          <w:szCs w:val="22"/>
        </w:rPr>
        <w:t>developing planetary health diets.</w:t>
      </w:r>
      <w:r w:rsidR="006349F9">
        <w:rPr>
          <w:rFonts w:ascii="Arial" w:hAnsi="Arial" w:cs="Arial"/>
          <w:b/>
          <w:bCs/>
          <w:sz w:val="22"/>
          <w:szCs w:val="22"/>
        </w:rPr>
        <w:t xml:space="preserve"> </w:t>
      </w:r>
      <w:r w:rsidR="006349F9">
        <w:rPr>
          <w:rFonts w:ascii="Arial" w:hAnsi="Arial" w:cs="Arial"/>
          <w:sz w:val="22"/>
          <w:szCs w:val="22"/>
        </w:rPr>
        <w:t xml:space="preserve">The sensitivity analysis compares four ways of developing </w:t>
      </w:r>
      <w:r w:rsidR="006349F9">
        <w:rPr>
          <w:rFonts w:ascii="Arial" w:hAnsi="Arial" w:cs="Arial"/>
          <w:sz w:val="22"/>
          <w:szCs w:val="22"/>
        </w:rPr>
        <w:t>the</w:t>
      </w:r>
      <w:r w:rsidR="006349F9">
        <w:rPr>
          <w:rFonts w:ascii="Arial" w:hAnsi="Arial" w:cs="Arial"/>
          <w:sz w:val="22"/>
          <w:szCs w:val="22"/>
        </w:rPr>
        <w:t xml:space="preserve"> dietary patterns (</w:t>
      </w:r>
      <w:r w:rsidR="006349F9" w:rsidRPr="00B44EDC">
        <w:rPr>
          <w:rFonts w:ascii="Arial" w:hAnsi="Arial" w:cs="Arial"/>
          <w:b/>
          <w:bCs/>
          <w:sz w:val="22"/>
          <w:szCs w:val="22"/>
        </w:rPr>
        <w:t>A</w:t>
      </w:r>
      <w:r w:rsidR="006349F9">
        <w:rPr>
          <w:rFonts w:ascii="Arial" w:hAnsi="Arial" w:cs="Arial"/>
          <w:sz w:val="22"/>
          <w:szCs w:val="22"/>
        </w:rPr>
        <w:t>) and the associated impacts on mortality by risk factor (</w:t>
      </w:r>
      <w:r w:rsidR="006349F9" w:rsidRPr="00B44EDC">
        <w:rPr>
          <w:rFonts w:ascii="Arial" w:hAnsi="Arial" w:cs="Arial"/>
          <w:b/>
          <w:bCs/>
          <w:sz w:val="22"/>
          <w:szCs w:val="22"/>
        </w:rPr>
        <w:t>B</w:t>
      </w:r>
      <w:r w:rsidR="006349F9">
        <w:rPr>
          <w:rFonts w:ascii="Arial" w:hAnsi="Arial" w:cs="Arial"/>
          <w:sz w:val="22"/>
          <w:szCs w:val="22"/>
        </w:rPr>
        <w:t>) and environmental resource demand by food group (</w:t>
      </w:r>
      <w:r w:rsidR="006349F9" w:rsidRPr="00B44EDC">
        <w:rPr>
          <w:rFonts w:ascii="Arial" w:hAnsi="Arial" w:cs="Arial"/>
          <w:b/>
          <w:bCs/>
          <w:sz w:val="22"/>
          <w:szCs w:val="22"/>
        </w:rPr>
        <w:t>C</w:t>
      </w:r>
      <w:r w:rsidR="006349F9">
        <w:rPr>
          <w:rFonts w:ascii="Arial" w:hAnsi="Arial" w:cs="Arial"/>
          <w:sz w:val="22"/>
          <w:szCs w:val="22"/>
        </w:rPr>
        <w:t>). They include the main variant</w:t>
      </w:r>
      <w:r w:rsidR="006349F9">
        <w:rPr>
          <w:rFonts w:ascii="Arial" w:hAnsi="Arial" w:cs="Arial"/>
          <w:sz w:val="22"/>
          <w:szCs w:val="22"/>
        </w:rPr>
        <w:t>s</w:t>
      </w:r>
      <w:r w:rsidR="006349F9">
        <w:rPr>
          <w:rFonts w:ascii="Arial" w:hAnsi="Arial" w:cs="Arial"/>
          <w:sz w:val="22"/>
          <w:szCs w:val="22"/>
        </w:rPr>
        <w:t xml:space="preserve"> which regionalise dietary recommendations without penalising greater than recommended intake of encouraged foods and lower than recommended intake of to-be-limited foods (</w:t>
      </w:r>
      <w:r w:rsidR="006349F9" w:rsidRPr="004A4459">
        <w:rPr>
          <w:rFonts w:ascii="Arial" w:hAnsi="Arial" w:cs="Arial"/>
          <w:i/>
          <w:iCs/>
          <w:sz w:val="22"/>
          <w:szCs w:val="22"/>
        </w:rPr>
        <w:t>main</w:t>
      </w:r>
      <w:r w:rsidR="006349F9">
        <w:rPr>
          <w:rFonts w:ascii="Arial" w:hAnsi="Arial" w:cs="Arial"/>
          <w:sz w:val="22"/>
          <w:szCs w:val="22"/>
        </w:rPr>
        <w:t>), static variant</w:t>
      </w:r>
      <w:r w:rsidR="006349F9">
        <w:rPr>
          <w:rFonts w:ascii="Arial" w:hAnsi="Arial" w:cs="Arial"/>
          <w:sz w:val="22"/>
          <w:szCs w:val="22"/>
        </w:rPr>
        <w:t>s</w:t>
      </w:r>
      <w:r w:rsidR="006349F9">
        <w:rPr>
          <w:rFonts w:ascii="Arial" w:hAnsi="Arial" w:cs="Arial"/>
          <w:sz w:val="22"/>
          <w:szCs w:val="22"/>
        </w:rPr>
        <w:t xml:space="preserve"> with strict adherence to the dietary reference values (</w:t>
      </w:r>
      <w:r w:rsidR="006349F9" w:rsidRPr="004A4459">
        <w:rPr>
          <w:rFonts w:ascii="Arial" w:hAnsi="Arial" w:cs="Arial"/>
          <w:i/>
          <w:iCs/>
          <w:sz w:val="22"/>
          <w:szCs w:val="22"/>
        </w:rPr>
        <w:t>static</w:t>
      </w:r>
      <w:r w:rsidR="006349F9">
        <w:rPr>
          <w:rFonts w:ascii="Arial" w:hAnsi="Arial" w:cs="Arial"/>
          <w:sz w:val="22"/>
          <w:szCs w:val="22"/>
        </w:rPr>
        <w:t>), variant</w:t>
      </w:r>
      <w:r w:rsidR="006349F9">
        <w:rPr>
          <w:rFonts w:ascii="Arial" w:hAnsi="Arial" w:cs="Arial"/>
          <w:sz w:val="22"/>
          <w:szCs w:val="22"/>
        </w:rPr>
        <w:t>s</w:t>
      </w:r>
      <w:r w:rsidR="006349F9">
        <w:rPr>
          <w:rFonts w:ascii="Arial" w:hAnsi="Arial" w:cs="Arial"/>
          <w:sz w:val="22"/>
          <w:szCs w:val="22"/>
        </w:rPr>
        <w:t xml:space="preserve"> that </w:t>
      </w:r>
      <w:r w:rsidR="006349F9">
        <w:rPr>
          <w:rFonts w:ascii="Arial" w:hAnsi="Arial" w:cs="Arial"/>
          <w:sz w:val="22"/>
          <w:szCs w:val="22"/>
        </w:rPr>
        <w:t>are</w:t>
      </w:r>
      <w:r w:rsidR="006349F9">
        <w:rPr>
          <w:rFonts w:ascii="Arial" w:hAnsi="Arial" w:cs="Arial"/>
          <w:sz w:val="22"/>
          <w:szCs w:val="22"/>
        </w:rPr>
        <w:t xml:space="preserve"> regionalised as the main and adapted to the energy requirements of populations that meet recommended levels of physical activity (</w:t>
      </w:r>
      <w:r w:rsidR="006349F9" w:rsidRPr="004A4459">
        <w:rPr>
          <w:rFonts w:ascii="Arial" w:hAnsi="Arial" w:cs="Arial"/>
          <w:i/>
          <w:iCs/>
          <w:sz w:val="22"/>
          <w:szCs w:val="22"/>
        </w:rPr>
        <w:t>active</w:t>
      </w:r>
      <w:r w:rsidR="006349F9">
        <w:rPr>
          <w:rFonts w:ascii="Arial" w:hAnsi="Arial" w:cs="Arial"/>
          <w:sz w:val="22"/>
          <w:szCs w:val="22"/>
        </w:rPr>
        <w:t>), and variant</w:t>
      </w:r>
      <w:r w:rsidR="006349F9">
        <w:rPr>
          <w:rFonts w:ascii="Arial" w:hAnsi="Arial" w:cs="Arial"/>
          <w:sz w:val="22"/>
          <w:szCs w:val="22"/>
        </w:rPr>
        <w:t>s</w:t>
      </w:r>
      <w:r w:rsidR="006349F9">
        <w:rPr>
          <w:rFonts w:ascii="Arial" w:hAnsi="Arial" w:cs="Arial"/>
          <w:sz w:val="22"/>
          <w:szCs w:val="22"/>
        </w:rPr>
        <w:t xml:space="preserve"> that include static adherence to the reference values and illustrate the impacts of misapplying the energy requirements of one population group with energy requirements of 2500 kcal/d to all other groups (</w:t>
      </w:r>
      <w:r w:rsidR="006349F9" w:rsidRPr="003C350D">
        <w:rPr>
          <w:rFonts w:ascii="Arial" w:hAnsi="Arial" w:cs="Arial"/>
          <w:i/>
          <w:iCs/>
          <w:sz w:val="22"/>
          <w:szCs w:val="22"/>
        </w:rPr>
        <w:t>adult</w:t>
      </w:r>
      <w:r w:rsidR="006349F9">
        <w:rPr>
          <w:rFonts w:ascii="Arial" w:hAnsi="Arial" w:cs="Arial"/>
          <w:sz w:val="22"/>
          <w:szCs w:val="22"/>
        </w:rPr>
        <w:t xml:space="preserve">). </w:t>
      </w:r>
    </w:p>
    <w:p w14:paraId="36F48E82" w14:textId="55DDE5AC" w:rsidR="00E67774" w:rsidRPr="009664B1" w:rsidRDefault="00E67774" w:rsidP="00FC0B1B">
      <w:pPr>
        <w:spacing w:line="360" w:lineRule="auto"/>
        <w:rPr>
          <w:rFonts w:ascii="Arial" w:hAnsi="Arial" w:cs="Arial"/>
          <w:sz w:val="22"/>
          <w:szCs w:val="22"/>
        </w:rPr>
      </w:pPr>
      <w:r>
        <w:rPr>
          <w:rFonts w:ascii="Arial" w:hAnsi="Arial" w:cs="Arial"/>
          <w:noProof/>
          <w:sz w:val="22"/>
          <w:szCs w:val="22"/>
        </w:rPr>
        <w:drawing>
          <wp:inline distT="0" distB="0" distL="0" distR="0" wp14:anchorId="43D3B5D1" wp14:editId="4F95DFBA">
            <wp:extent cx="5731510" cy="5731510"/>
            <wp:effectExtent l="0" t="0" r="0" b="0"/>
            <wp:docPr id="1105854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54474" name="Picture 1105854474"/>
                    <pic:cNvPicPr/>
                  </pic:nvPicPr>
                  <pic:blipFill>
                    <a:blip r:embed="rId30"/>
                    <a:stretch>
                      <a:fillRect/>
                    </a:stretch>
                  </pic:blipFill>
                  <pic:spPr>
                    <a:xfrm>
                      <a:off x="0" y="0"/>
                      <a:ext cx="5731510" cy="5731510"/>
                    </a:xfrm>
                    <a:prstGeom prst="rect">
                      <a:avLst/>
                    </a:prstGeom>
                  </pic:spPr>
                </pic:pic>
              </a:graphicData>
            </a:graphic>
          </wp:inline>
        </w:drawing>
      </w:r>
    </w:p>
    <w:p w14:paraId="43116876" w14:textId="22C49707" w:rsidR="00ED316C" w:rsidRPr="00ED316C" w:rsidRDefault="00ED316C" w:rsidP="00FC0B1B">
      <w:pPr>
        <w:pStyle w:val="Heading1"/>
        <w:spacing w:line="360" w:lineRule="auto"/>
        <w:rPr>
          <w:rFonts w:ascii="Arial" w:hAnsi="Arial" w:cs="Arial"/>
          <w:b/>
          <w:bCs/>
          <w:color w:val="000000" w:themeColor="text1"/>
          <w:sz w:val="24"/>
          <w:szCs w:val="24"/>
        </w:rPr>
      </w:pPr>
      <w:bookmarkStart w:id="8" w:name="_Toc195730124"/>
      <w:r>
        <w:rPr>
          <w:rFonts w:ascii="Arial" w:hAnsi="Arial" w:cs="Arial"/>
          <w:b/>
          <w:bCs/>
          <w:color w:val="000000" w:themeColor="text1"/>
          <w:sz w:val="24"/>
          <w:szCs w:val="24"/>
        </w:rPr>
        <w:lastRenderedPageBreak/>
        <w:t>Supplementary references</w:t>
      </w:r>
      <w:bookmarkEnd w:id="8"/>
      <w:r w:rsidRPr="00ED316C">
        <w:rPr>
          <w:rFonts w:ascii="Arial" w:hAnsi="Arial" w:cs="Arial"/>
          <w:b/>
          <w:bCs/>
          <w:color w:val="000000" w:themeColor="text1"/>
          <w:sz w:val="24"/>
          <w:szCs w:val="24"/>
        </w:rPr>
        <w:t xml:space="preserve"> </w:t>
      </w:r>
    </w:p>
    <w:p w14:paraId="0396A9BE" w14:textId="77777777" w:rsidR="001E2C97" w:rsidRPr="002B6A64" w:rsidRDefault="001E2C97" w:rsidP="00FC0B1B">
      <w:pPr>
        <w:spacing w:line="360" w:lineRule="auto"/>
        <w:rPr>
          <w:rFonts w:ascii="Arial" w:hAnsi="Arial" w:cs="Arial"/>
          <w:sz w:val="22"/>
          <w:szCs w:val="22"/>
        </w:rPr>
      </w:pPr>
    </w:p>
    <w:p w14:paraId="6EB8FC65" w14:textId="77777777" w:rsidR="00935615" w:rsidRPr="00935615" w:rsidRDefault="002B6A64" w:rsidP="00FC0B1B">
      <w:pPr>
        <w:pStyle w:val="Bibliography"/>
        <w:spacing w:line="360" w:lineRule="auto"/>
        <w:rPr>
          <w:rFonts w:ascii="Arial" w:hAnsi="Arial" w:cs="Arial"/>
          <w:sz w:val="22"/>
          <w:szCs w:val="22"/>
        </w:rPr>
      </w:pPr>
      <w:r w:rsidRPr="00CB2ACA">
        <w:rPr>
          <w:rFonts w:ascii="Arial" w:hAnsi="Arial" w:cs="Arial"/>
          <w:sz w:val="22"/>
          <w:szCs w:val="22"/>
        </w:rPr>
        <w:fldChar w:fldCharType="begin"/>
      </w:r>
      <w:r w:rsidR="00CB2ACA" w:rsidRPr="00CB2ACA">
        <w:rPr>
          <w:rFonts w:ascii="Arial" w:hAnsi="Arial" w:cs="Arial"/>
          <w:sz w:val="22"/>
          <w:szCs w:val="22"/>
        </w:rPr>
        <w:instrText xml:space="preserve"> ADDIN ZOTERO_BIBL {"uncited":[],"omitted":[],"custom":[]} CSL_BIBLIOGRAPHY </w:instrText>
      </w:r>
      <w:r w:rsidRPr="00CB2ACA">
        <w:rPr>
          <w:rFonts w:ascii="Arial" w:hAnsi="Arial" w:cs="Arial"/>
          <w:sz w:val="22"/>
          <w:szCs w:val="22"/>
        </w:rPr>
        <w:fldChar w:fldCharType="separate"/>
      </w:r>
      <w:r w:rsidR="00935615" w:rsidRPr="00935615">
        <w:t>1.</w:t>
      </w:r>
      <w:r w:rsidR="00935615" w:rsidRPr="00935615">
        <w:tab/>
      </w:r>
      <w:r w:rsidR="00935615" w:rsidRPr="00935615">
        <w:rPr>
          <w:rFonts w:ascii="Arial" w:hAnsi="Arial" w:cs="Arial"/>
          <w:sz w:val="22"/>
          <w:szCs w:val="22"/>
        </w:rPr>
        <w:t>Springmann, M. The Global Dietary Database for Impact Assessments (GDD-IA): facilitating diet-related analysis at global, regional, national, and sociodemographic levels.</w:t>
      </w:r>
    </w:p>
    <w:p w14:paraId="49B79904"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2.</w:t>
      </w:r>
      <w:r w:rsidRPr="00935615">
        <w:rPr>
          <w:rFonts w:ascii="Arial" w:hAnsi="Arial" w:cs="Arial"/>
          <w:sz w:val="22"/>
          <w:szCs w:val="22"/>
        </w:rPr>
        <w:tab/>
        <w:t xml:space="preserve">Food and Agriculture Organization of the United Nations. </w:t>
      </w:r>
      <w:r w:rsidRPr="00935615">
        <w:rPr>
          <w:rFonts w:ascii="Arial" w:hAnsi="Arial" w:cs="Arial"/>
          <w:i/>
          <w:iCs/>
          <w:sz w:val="22"/>
          <w:szCs w:val="22"/>
        </w:rPr>
        <w:t>FAOSTAT Statistical Database</w:t>
      </w:r>
      <w:r w:rsidRPr="00935615">
        <w:rPr>
          <w:rFonts w:ascii="Arial" w:hAnsi="Arial" w:cs="Arial"/>
          <w:sz w:val="22"/>
          <w:szCs w:val="22"/>
        </w:rPr>
        <w:t>. (2022).</w:t>
      </w:r>
    </w:p>
    <w:p w14:paraId="2375FEB4"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3.</w:t>
      </w:r>
      <w:r w:rsidRPr="00935615">
        <w:rPr>
          <w:rFonts w:ascii="Arial" w:hAnsi="Arial" w:cs="Arial"/>
          <w:sz w:val="22"/>
          <w:szCs w:val="22"/>
        </w:rPr>
        <w:tab/>
        <w:t xml:space="preserve">Gustavsson, J., Cederberg, C., </w:t>
      </w:r>
      <w:proofErr w:type="spellStart"/>
      <w:r w:rsidRPr="00935615">
        <w:rPr>
          <w:rFonts w:ascii="Arial" w:hAnsi="Arial" w:cs="Arial"/>
          <w:sz w:val="22"/>
          <w:szCs w:val="22"/>
        </w:rPr>
        <w:t>Sonesson</w:t>
      </w:r>
      <w:proofErr w:type="spellEnd"/>
      <w:r w:rsidRPr="00935615">
        <w:rPr>
          <w:rFonts w:ascii="Arial" w:hAnsi="Arial" w:cs="Arial"/>
          <w:sz w:val="22"/>
          <w:szCs w:val="22"/>
        </w:rPr>
        <w:t xml:space="preserve">, U., Van </w:t>
      </w:r>
      <w:proofErr w:type="spellStart"/>
      <w:r w:rsidRPr="00935615">
        <w:rPr>
          <w:rFonts w:ascii="Arial" w:hAnsi="Arial" w:cs="Arial"/>
          <w:sz w:val="22"/>
          <w:szCs w:val="22"/>
        </w:rPr>
        <w:t>Otterdijk</w:t>
      </w:r>
      <w:proofErr w:type="spellEnd"/>
      <w:r w:rsidRPr="00935615">
        <w:rPr>
          <w:rFonts w:ascii="Arial" w:hAnsi="Arial" w:cs="Arial"/>
          <w:sz w:val="22"/>
          <w:szCs w:val="22"/>
        </w:rPr>
        <w:t xml:space="preserve">, R. &amp; </w:t>
      </w:r>
      <w:proofErr w:type="spellStart"/>
      <w:r w:rsidRPr="00935615">
        <w:rPr>
          <w:rFonts w:ascii="Arial" w:hAnsi="Arial" w:cs="Arial"/>
          <w:sz w:val="22"/>
          <w:szCs w:val="22"/>
        </w:rPr>
        <w:t>Meybeck</w:t>
      </w:r>
      <w:proofErr w:type="spellEnd"/>
      <w:r w:rsidRPr="00935615">
        <w:rPr>
          <w:rFonts w:ascii="Arial" w:hAnsi="Arial" w:cs="Arial"/>
          <w:sz w:val="22"/>
          <w:szCs w:val="22"/>
        </w:rPr>
        <w:t xml:space="preserve">, A. </w:t>
      </w:r>
      <w:r w:rsidRPr="00935615">
        <w:rPr>
          <w:rFonts w:ascii="Arial" w:hAnsi="Arial" w:cs="Arial"/>
          <w:i/>
          <w:iCs/>
          <w:sz w:val="22"/>
          <w:szCs w:val="22"/>
        </w:rPr>
        <w:t>Global Food Losses and Food Waste: Extent, Causes and Prevention</w:t>
      </w:r>
      <w:r w:rsidRPr="00935615">
        <w:rPr>
          <w:rFonts w:ascii="Arial" w:hAnsi="Arial" w:cs="Arial"/>
          <w:sz w:val="22"/>
          <w:szCs w:val="22"/>
        </w:rPr>
        <w:t>. (FAO Rome, 2011).</w:t>
      </w:r>
    </w:p>
    <w:p w14:paraId="00B9077A"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4.</w:t>
      </w:r>
      <w:r w:rsidRPr="00935615">
        <w:rPr>
          <w:rFonts w:ascii="Arial" w:hAnsi="Arial" w:cs="Arial"/>
          <w:sz w:val="22"/>
          <w:szCs w:val="22"/>
        </w:rPr>
        <w:tab/>
        <w:t xml:space="preserve">Miller, V. </w:t>
      </w:r>
      <w:r w:rsidRPr="00935615">
        <w:rPr>
          <w:rFonts w:ascii="Arial" w:hAnsi="Arial" w:cs="Arial"/>
          <w:i/>
          <w:iCs/>
          <w:sz w:val="22"/>
          <w:szCs w:val="22"/>
        </w:rPr>
        <w:t>et al.</w:t>
      </w:r>
      <w:r w:rsidRPr="00935615">
        <w:rPr>
          <w:rFonts w:ascii="Arial" w:hAnsi="Arial" w:cs="Arial"/>
          <w:sz w:val="22"/>
          <w:szCs w:val="22"/>
        </w:rPr>
        <w:t xml:space="preserve"> Global Dietary Database 2017: data availability and gaps on 54 major foods, beverages and nutrients among 5.6 million children and adults from 1220 surveys worldwide. </w:t>
      </w:r>
      <w:r w:rsidRPr="00935615">
        <w:rPr>
          <w:rFonts w:ascii="Arial" w:hAnsi="Arial" w:cs="Arial"/>
          <w:i/>
          <w:iCs/>
          <w:sz w:val="22"/>
          <w:szCs w:val="22"/>
        </w:rPr>
        <w:t>BMJ Global Health</w:t>
      </w:r>
      <w:r w:rsidRPr="00935615">
        <w:rPr>
          <w:rFonts w:ascii="Arial" w:hAnsi="Arial" w:cs="Arial"/>
          <w:sz w:val="22"/>
          <w:szCs w:val="22"/>
        </w:rPr>
        <w:t xml:space="preserve"> </w:t>
      </w:r>
      <w:r w:rsidRPr="00935615">
        <w:rPr>
          <w:rFonts w:ascii="Arial" w:hAnsi="Arial" w:cs="Arial"/>
          <w:b/>
          <w:bCs/>
          <w:sz w:val="22"/>
          <w:szCs w:val="22"/>
        </w:rPr>
        <w:t>6</w:t>
      </w:r>
      <w:r w:rsidRPr="00935615">
        <w:rPr>
          <w:rFonts w:ascii="Arial" w:hAnsi="Arial" w:cs="Arial"/>
          <w:sz w:val="22"/>
          <w:szCs w:val="22"/>
        </w:rPr>
        <w:t>, e003585 (2021).</w:t>
      </w:r>
    </w:p>
    <w:p w14:paraId="55607CC1"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5.</w:t>
      </w:r>
      <w:r w:rsidRPr="00935615">
        <w:rPr>
          <w:rFonts w:ascii="Arial" w:hAnsi="Arial" w:cs="Arial"/>
          <w:sz w:val="22"/>
          <w:szCs w:val="22"/>
        </w:rPr>
        <w:tab/>
        <w:t xml:space="preserve">Springmann, M. Estimates of energy intake, requirements, and imbalances based on anthropometric measurements at global, regional, and national levels and for sociodemographic groups. </w:t>
      </w:r>
      <w:r w:rsidRPr="00935615">
        <w:rPr>
          <w:rFonts w:ascii="Arial" w:hAnsi="Arial" w:cs="Arial"/>
          <w:i/>
          <w:iCs/>
          <w:sz w:val="22"/>
          <w:szCs w:val="22"/>
        </w:rPr>
        <w:t>BMJ Public Health</w:t>
      </w:r>
      <w:r w:rsidRPr="00935615">
        <w:rPr>
          <w:rFonts w:ascii="Arial" w:hAnsi="Arial" w:cs="Arial"/>
          <w:sz w:val="22"/>
          <w:szCs w:val="22"/>
        </w:rPr>
        <w:t xml:space="preserve"> (under review).</w:t>
      </w:r>
    </w:p>
    <w:p w14:paraId="719EE31C"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6.</w:t>
      </w:r>
      <w:r w:rsidRPr="00935615">
        <w:rPr>
          <w:rFonts w:ascii="Arial" w:hAnsi="Arial" w:cs="Arial"/>
          <w:sz w:val="22"/>
          <w:szCs w:val="22"/>
        </w:rPr>
        <w:tab/>
      </w:r>
      <w:r w:rsidRPr="00935615">
        <w:rPr>
          <w:rFonts w:ascii="Arial" w:hAnsi="Arial" w:cs="Arial"/>
          <w:i/>
          <w:iCs/>
          <w:sz w:val="22"/>
          <w:szCs w:val="22"/>
        </w:rPr>
        <w:t>Dietary Reference Intakes for Energy</w:t>
      </w:r>
      <w:r w:rsidRPr="00935615">
        <w:rPr>
          <w:rFonts w:ascii="Arial" w:hAnsi="Arial" w:cs="Arial"/>
          <w:sz w:val="22"/>
          <w:szCs w:val="22"/>
        </w:rPr>
        <w:t>. (National Academies Press, Washington, D.C., 2023). doi:10.17226/26818.</w:t>
      </w:r>
    </w:p>
    <w:p w14:paraId="777B9D28"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7.</w:t>
      </w:r>
      <w:r w:rsidRPr="00935615">
        <w:rPr>
          <w:rFonts w:ascii="Arial" w:hAnsi="Arial" w:cs="Arial"/>
          <w:sz w:val="22"/>
          <w:szCs w:val="22"/>
        </w:rPr>
        <w:tab/>
        <w:t xml:space="preserve">Strain, T. </w:t>
      </w:r>
      <w:r w:rsidRPr="00935615">
        <w:rPr>
          <w:rFonts w:ascii="Arial" w:hAnsi="Arial" w:cs="Arial"/>
          <w:i/>
          <w:iCs/>
          <w:sz w:val="22"/>
          <w:szCs w:val="22"/>
        </w:rPr>
        <w:t>et al.</w:t>
      </w:r>
      <w:r w:rsidRPr="00935615">
        <w:rPr>
          <w:rFonts w:ascii="Arial" w:hAnsi="Arial" w:cs="Arial"/>
          <w:sz w:val="22"/>
          <w:szCs w:val="22"/>
        </w:rPr>
        <w:t xml:space="preserve"> National, regional, and global trends in insufficient physical activity among adults from 2000 to 2022: a pooled analysis of 507 population-based surveys with 5·7 million participants. </w:t>
      </w:r>
      <w:r w:rsidRPr="00935615">
        <w:rPr>
          <w:rFonts w:ascii="Arial" w:hAnsi="Arial" w:cs="Arial"/>
          <w:i/>
          <w:iCs/>
          <w:sz w:val="22"/>
          <w:szCs w:val="22"/>
        </w:rPr>
        <w:t>Lancet Glob Health</w:t>
      </w:r>
      <w:r w:rsidRPr="00935615">
        <w:rPr>
          <w:rFonts w:ascii="Arial" w:hAnsi="Arial" w:cs="Arial"/>
          <w:sz w:val="22"/>
          <w:szCs w:val="22"/>
        </w:rPr>
        <w:t xml:space="preserve"> </w:t>
      </w:r>
      <w:r w:rsidRPr="00935615">
        <w:rPr>
          <w:rFonts w:ascii="Arial" w:hAnsi="Arial" w:cs="Arial"/>
          <w:b/>
          <w:bCs/>
          <w:sz w:val="22"/>
          <w:szCs w:val="22"/>
        </w:rPr>
        <w:t>12</w:t>
      </w:r>
      <w:r w:rsidRPr="00935615">
        <w:rPr>
          <w:rFonts w:ascii="Arial" w:hAnsi="Arial" w:cs="Arial"/>
          <w:sz w:val="22"/>
          <w:szCs w:val="22"/>
        </w:rPr>
        <w:t>, e1232–e1243 (2024).</w:t>
      </w:r>
    </w:p>
    <w:p w14:paraId="5C490EA0"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8.</w:t>
      </w:r>
      <w:r w:rsidRPr="00935615">
        <w:rPr>
          <w:rFonts w:ascii="Arial" w:hAnsi="Arial" w:cs="Arial"/>
          <w:sz w:val="22"/>
          <w:szCs w:val="22"/>
        </w:rPr>
        <w:tab/>
      </w:r>
      <w:proofErr w:type="spellStart"/>
      <w:r w:rsidRPr="00935615">
        <w:rPr>
          <w:rFonts w:ascii="Arial" w:hAnsi="Arial" w:cs="Arial"/>
          <w:sz w:val="22"/>
          <w:szCs w:val="22"/>
        </w:rPr>
        <w:t>Guthold</w:t>
      </w:r>
      <w:proofErr w:type="spellEnd"/>
      <w:r w:rsidRPr="00935615">
        <w:rPr>
          <w:rFonts w:ascii="Arial" w:hAnsi="Arial" w:cs="Arial"/>
          <w:sz w:val="22"/>
          <w:szCs w:val="22"/>
        </w:rPr>
        <w:t xml:space="preserve">, R., Stevens, G. A., Riley, L. M. &amp; Bull, F. C. Global trends in insufficient physical activity among adolescents: a pooled analysis of 298 population-based surveys with 1·6 million participants. </w:t>
      </w:r>
      <w:r w:rsidRPr="00935615">
        <w:rPr>
          <w:rFonts w:ascii="Arial" w:hAnsi="Arial" w:cs="Arial"/>
          <w:i/>
          <w:iCs/>
          <w:sz w:val="22"/>
          <w:szCs w:val="22"/>
        </w:rPr>
        <w:t>The Lancet Child &amp; Adolescent Health</w:t>
      </w:r>
      <w:r w:rsidRPr="00935615">
        <w:rPr>
          <w:rFonts w:ascii="Arial" w:hAnsi="Arial" w:cs="Arial"/>
          <w:sz w:val="22"/>
          <w:szCs w:val="22"/>
        </w:rPr>
        <w:t xml:space="preserve"> </w:t>
      </w:r>
      <w:r w:rsidRPr="00935615">
        <w:rPr>
          <w:rFonts w:ascii="Arial" w:hAnsi="Arial" w:cs="Arial"/>
          <w:b/>
          <w:bCs/>
          <w:sz w:val="22"/>
          <w:szCs w:val="22"/>
        </w:rPr>
        <w:t>4</w:t>
      </w:r>
      <w:r w:rsidRPr="00935615">
        <w:rPr>
          <w:rFonts w:ascii="Arial" w:hAnsi="Arial" w:cs="Arial"/>
          <w:sz w:val="22"/>
          <w:szCs w:val="22"/>
        </w:rPr>
        <w:t>, 23–35 (2020).</w:t>
      </w:r>
    </w:p>
    <w:p w14:paraId="79C2FD24"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9.</w:t>
      </w:r>
      <w:r w:rsidRPr="00935615">
        <w:rPr>
          <w:rFonts w:ascii="Arial" w:hAnsi="Arial" w:cs="Arial"/>
          <w:sz w:val="22"/>
          <w:szCs w:val="22"/>
        </w:rPr>
        <w:tab/>
        <w:t>NCD Risk Factor Collaboration (NCD-</w:t>
      </w:r>
      <w:proofErr w:type="spellStart"/>
      <w:r w:rsidRPr="00935615">
        <w:rPr>
          <w:rFonts w:ascii="Arial" w:hAnsi="Arial" w:cs="Arial"/>
          <w:sz w:val="22"/>
          <w:szCs w:val="22"/>
        </w:rPr>
        <w:t>RisC</w:t>
      </w:r>
      <w:proofErr w:type="spellEnd"/>
      <w:r w:rsidRPr="00935615">
        <w:rPr>
          <w:rFonts w:ascii="Arial" w:hAnsi="Arial" w:cs="Arial"/>
          <w:sz w:val="22"/>
          <w:szCs w:val="22"/>
        </w:rPr>
        <w:t xml:space="preserve">). Worldwide trends in underweight and obesity from 1990 to 2022: a pooled analysis of 3663 population-representative studies with 222 million children, adolescents, and adults. </w:t>
      </w:r>
      <w:r w:rsidRPr="00935615">
        <w:rPr>
          <w:rFonts w:ascii="Arial" w:hAnsi="Arial" w:cs="Arial"/>
          <w:i/>
          <w:iCs/>
          <w:sz w:val="22"/>
          <w:szCs w:val="22"/>
        </w:rPr>
        <w:t>Lancet</w:t>
      </w:r>
      <w:r w:rsidRPr="00935615">
        <w:rPr>
          <w:rFonts w:ascii="Arial" w:hAnsi="Arial" w:cs="Arial"/>
          <w:sz w:val="22"/>
          <w:szCs w:val="22"/>
        </w:rPr>
        <w:t xml:space="preserve"> </w:t>
      </w:r>
      <w:r w:rsidRPr="00935615">
        <w:rPr>
          <w:rFonts w:ascii="Arial" w:hAnsi="Arial" w:cs="Arial"/>
          <w:b/>
          <w:bCs/>
          <w:sz w:val="22"/>
          <w:szCs w:val="22"/>
        </w:rPr>
        <w:t>403</w:t>
      </w:r>
      <w:r w:rsidRPr="00935615">
        <w:rPr>
          <w:rFonts w:ascii="Arial" w:hAnsi="Arial" w:cs="Arial"/>
          <w:sz w:val="22"/>
          <w:szCs w:val="22"/>
        </w:rPr>
        <w:t>, 1027–1050 (2024).</w:t>
      </w:r>
    </w:p>
    <w:p w14:paraId="4876594B"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10.</w:t>
      </w:r>
      <w:r w:rsidRPr="00935615">
        <w:rPr>
          <w:rFonts w:ascii="Arial" w:hAnsi="Arial" w:cs="Arial"/>
          <w:sz w:val="22"/>
          <w:szCs w:val="22"/>
        </w:rPr>
        <w:tab/>
        <w:t>NCD Risk Factor Collaboration (NCD-</w:t>
      </w:r>
      <w:proofErr w:type="spellStart"/>
      <w:r w:rsidRPr="00935615">
        <w:rPr>
          <w:rFonts w:ascii="Arial" w:hAnsi="Arial" w:cs="Arial"/>
          <w:sz w:val="22"/>
          <w:szCs w:val="22"/>
        </w:rPr>
        <w:t>RisC</w:t>
      </w:r>
      <w:proofErr w:type="spellEnd"/>
      <w:r w:rsidRPr="00935615">
        <w:rPr>
          <w:rFonts w:ascii="Arial" w:hAnsi="Arial" w:cs="Arial"/>
          <w:sz w:val="22"/>
          <w:szCs w:val="22"/>
        </w:rPr>
        <w:t xml:space="preserve">). A century of trends in adult human height. </w:t>
      </w:r>
      <w:proofErr w:type="spellStart"/>
      <w:r w:rsidRPr="00935615">
        <w:rPr>
          <w:rFonts w:ascii="Arial" w:hAnsi="Arial" w:cs="Arial"/>
          <w:i/>
          <w:iCs/>
          <w:sz w:val="22"/>
          <w:szCs w:val="22"/>
        </w:rPr>
        <w:t>eLife</w:t>
      </w:r>
      <w:proofErr w:type="spellEnd"/>
      <w:r w:rsidRPr="00935615">
        <w:rPr>
          <w:rFonts w:ascii="Arial" w:hAnsi="Arial" w:cs="Arial"/>
          <w:sz w:val="22"/>
          <w:szCs w:val="22"/>
        </w:rPr>
        <w:t xml:space="preserve"> </w:t>
      </w:r>
      <w:r w:rsidRPr="00935615">
        <w:rPr>
          <w:rFonts w:ascii="Arial" w:hAnsi="Arial" w:cs="Arial"/>
          <w:b/>
          <w:bCs/>
          <w:sz w:val="22"/>
          <w:szCs w:val="22"/>
        </w:rPr>
        <w:t>5</w:t>
      </w:r>
      <w:r w:rsidRPr="00935615">
        <w:rPr>
          <w:rFonts w:ascii="Arial" w:hAnsi="Arial" w:cs="Arial"/>
          <w:sz w:val="22"/>
          <w:szCs w:val="22"/>
        </w:rPr>
        <w:t>, e13410 (2016).</w:t>
      </w:r>
    </w:p>
    <w:p w14:paraId="7F4C7ED0"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11.</w:t>
      </w:r>
      <w:r w:rsidRPr="00935615">
        <w:rPr>
          <w:rFonts w:ascii="Arial" w:hAnsi="Arial" w:cs="Arial"/>
          <w:sz w:val="22"/>
          <w:szCs w:val="22"/>
        </w:rPr>
        <w:tab/>
        <w:t xml:space="preserve">Bailey, R. L. Overview of dietary assessment methods for measuring intakes of foods, beverages, and dietary supplements in research studies. </w:t>
      </w:r>
      <w:r w:rsidRPr="00935615">
        <w:rPr>
          <w:rFonts w:ascii="Arial" w:hAnsi="Arial" w:cs="Arial"/>
          <w:i/>
          <w:iCs/>
          <w:sz w:val="22"/>
          <w:szCs w:val="22"/>
        </w:rPr>
        <w:t>Current Opinion in Biotechnology</w:t>
      </w:r>
      <w:r w:rsidRPr="00935615">
        <w:rPr>
          <w:rFonts w:ascii="Arial" w:hAnsi="Arial" w:cs="Arial"/>
          <w:sz w:val="22"/>
          <w:szCs w:val="22"/>
        </w:rPr>
        <w:t xml:space="preserve"> </w:t>
      </w:r>
      <w:r w:rsidRPr="00935615">
        <w:rPr>
          <w:rFonts w:ascii="Arial" w:hAnsi="Arial" w:cs="Arial"/>
          <w:b/>
          <w:bCs/>
          <w:sz w:val="22"/>
          <w:szCs w:val="22"/>
        </w:rPr>
        <w:t>70</w:t>
      </w:r>
      <w:r w:rsidRPr="00935615">
        <w:rPr>
          <w:rFonts w:ascii="Arial" w:hAnsi="Arial" w:cs="Arial"/>
          <w:sz w:val="22"/>
          <w:szCs w:val="22"/>
        </w:rPr>
        <w:t>, 91–96 (2021).</w:t>
      </w:r>
    </w:p>
    <w:p w14:paraId="34A9F955"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12.</w:t>
      </w:r>
      <w:r w:rsidRPr="00935615">
        <w:rPr>
          <w:rFonts w:ascii="Arial" w:hAnsi="Arial" w:cs="Arial"/>
          <w:sz w:val="22"/>
          <w:szCs w:val="22"/>
        </w:rPr>
        <w:tab/>
        <w:t xml:space="preserve">Micha, R., Coates, J., </w:t>
      </w:r>
      <w:proofErr w:type="spellStart"/>
      <w:r w:rsidRPr="00935615">
        <w:rPr>
          <w:rFonts w:ascii="Arial" w:hAnsi="Arial" w:cs="Arial"/>
          <w:sz w:val="22"/>
          <w:szCs w:val="22"/>
        </w:rPr>
        <w:t>Leclercq</w:t>
      </w:r>
      <w:proofErr w:type="spellEnd"/>
      <w:r w:rsidRPr="00935615">
        <w:rPr>
          <w:rFonts w:ascii="Arial" w:hAnsi="Arial" w:cs="Arial"/>
          <w:sz w:val="22"/>
          <w:szCs w:val="22"/>
        </w:rPr>
        <w:t xml:space="preserve">, C., </w:t>
      </w:r>
      <w:proofErr w:type="spellStart"/>
      <w:r w:rsidRPr="00935615">
        <w:rPr>
          <w:rFonts w:ascii="Arial" w:hAnsi="Arial" w:cs="Arial"/>
          <w:sz w:val="22"/>
          <w:szCs w:val="22"/>
        </w:rPr>
        <w:t>Charrondiere</w:t>
      </w:r>
      <w:proofErr w:type="spellEnd"/>
      <w:r w:rsidRPr="00935615">
        <w:rPr>
          <w:rFonts w:ascii="Arial" w:hAnsi="Arial" w:cs="Arial"/>
          <w:sz w:val="22"/>
          <w:szCs w:val="22"/>
        </w:rPr>
        <w:t xml:space="preserve">, U. R. &amp; </w:t>
      </w:r>
      <w:proofErr w:type="spellStart"/>
      <w:r w:rsidRPr="00935615">
        <w:rPr>
          <w:rFonts w:ascii="Arial" w:hAnsi="Arial" w:cs="Arial"/>
          <w:sz w:val="22"/>
          <w:szCs w:val="22"/>
        </w:rPr>
        <w:t>Mozaffarian</w:t>
      </w:r>
      <w:proofErr w:type="spellEnd"/>
      <w:r w:rsidRPr="00935615">
        <w:rPr>
          <w:rFonts w:ascii="Arial" w:hAnsi="Arial" w:cs="Arial"/>
          <w:sz w:val="22"/>
          <w:szCs w:val="22"/>
        </w:rPr>
        <w:t xml:space="preserve">, D. Global Dietary Surveillance: Data Gaps and Challenges. </w:t>
      </w:r>
      <w:r w:rsidRPr="00935615">
        <w:rPr>
          <w:rFonts w:ascii="Arial" w:hAnsi="Arial" w:cs="Arial"/>
          <w:i/>
          <w:iCs/>
          <w:sz w:val="22"/>
          <w:szCs w:val="22"/>
        </w:rPr>
        <w:t xml:space="preserve">Food </w:t>
      </w:r>
      <w:proofErr w:type="spellStart"/>
      <w:r w:rsidRPr="00935615">
        <w:rPr>
          <w:rFonts w:ascii="Arial" w:hAnsi="Arial" w:cs="Arial"/>
          <w:i/>
          <w:iCs/>
          <w:sz w:val="22"/>
          <w:szCs w:val="22"/>
        </w:rPr>
        <w:t>Nutr</w:t>
      </w:r>
      <w:proofErr w:type="spellEnd"/>
      <w:r w:rsidRPr="00935615">
        <w:rPr>
          <w:rFonts w:ascii="Arial" w:hAnsi="Arial" w:cs="Arial"/>
          <w:i/>
          <w:iCs/>
          <w:sz w:val="22"/>
          <w:szCs w:val="22"/>
        </w:rPr>
        <w:t xml:space="preserve"> Bull</w:t>
      </w:r>
      <w:r w:rsidRPr="00935615">
        <w:rPr>
          <w:rFonts w:ascii="Arial" w:hAnsi="Arial" w:cs="Arial"/>
          <w:sz w:val="22"/>
          <w:szCs w:val="22"/>
        </w:rPr>
        <w:t xml:space="preserve"> </w:t>
      </w:r>
      <w:r w:rsidRPr="00935615">
        <w:rPr>
          <w:rFonts w:ascii="Arial" w:hAnsi="Arial" w:cs="Arial"/>
          <w:b/>
          <w:bCs/>
          <w:sz w:val="22"/>
          <w:szCs w:val="22"/>
        </w:rPr>
        <w:t>39</w:t>
      </w:r>
      <w:r w:rsidRPr="00935615">
        <w:rPr>
          <w:rFonts w:ascii="Arial" w:hAnsi="Arial" w:cs="Arial"/>
          <w:sz w:val="22"/>
          <w:szCs w:val="22"/>
        </w:rPr>
        <w:t>, 175–205 (2018).</w:t>
      </w:r>
    </w:p>
    <w:p w14:paraId="77CF10CF"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13.</w:t>
      </w:r>
      <w:r w:rsidRPr="00935615">
        <w:rPr>
          <w:rFonts w:ascii="Arial" w:hAnsi="Arial" w:cs="Arial"/>
          <w:sz w:val="22"/>
          <w:szCs w:val="22"/>
        </w:rPr>
        <w:tab/>
        <w:t xml:space="preserve">Gobbo, L. C. D. </w:t>
      </w:r>
      <w:r w:rsidRPr="00935615">
        <w:rPr>
          <w:rFonts w:ascii="Arial" w:hAnsi="Arial" w:cs="Arial"/>
          <w:i/>
          <w:iCs/>
          <w:sz w:val="22"/>
          <w:szCs w:val="22"/>
        </w:rPr>
        <w:t>et al.</w:t>
      </w:r>
      <w:r w:rsidRPr="00935615">
        <w:rPr>
          <w:rFonts w:ascii="Arial" w:hAnsi="Arial" w:cs="Arial"/>
          <w:sz w:val="22"/>
          <w:szCs w:val="22"/>
        </w:rPr>
        <w:t xml:space="preserve"> Assessing global dietary habits: a comparison of national estimates from the FAO and the Global Dietary Database. </w:t>
      </w:r>
      <w:r w:rsidRPr="00935615">
        <w:rPr>
          <w:rFonts w:ascii="Arial" w:hAnsi="Arial" w:cs="Arial"/>
          <w:i/>
          <w:iCs/>
          <w:sz w:val="22"/>
          <w:szCs w:val="22"/>
        </w:rPr>
        <w:t>The American Journal of Clinical Nutrition</w:t>
      </w:r>
      <w:r w:rsidRPr="00935615">
        <w:rPr>
          <w:rFonts w:ascii="Arial" w:hAnsi="Arial" w:cs="Arial"/>
          <w:sz w:val="22"/>
          <w:szCs w:val="22"/>
        </w:rPr>
        <w:t xml:space="preserve"> </w:t>
      </w:r>
      <w:r w:rsidRPr="00935615">
        <w:rPr>
          <w:rFonts w:ascii="Arial" w:hAnsi="Arial" w:cs="Arial"/>
          <w:b/>
          <w:bCs/>
          <w:sz w:val="22"/>
          <w:szCs w:val="22"/>
        </w:rPr>
        <w:t>101</w:t>
      </w:r>
      <w:r w:rsidRPr="00935615">
        <w:rPr>
          <w:rFonts w:ascii="Arial" w:hAnsi="Arial" w:cs="Arial"/>
          <w:sz w:val="22"/>
          <w:szCs w:val="22"/>
        </w:rPr>
        <w:t>, 1038–1046 (2015).</w:t>
      </w:r>
    </w:p>
    <w:p w14:paraId="5DC4DAB8"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lastRenderedPageBreak/>
        <w:t>14.</w:t>
      </w:r>
      <w:r w:rsidRPr="00935615">
        <w:rPr>
          <w:rFonts w:ascii="Arial" w:hAnsi="Arial" w:cs="Arial"/>
          <w:sz w:val="22"/>
          <w:szCs w:val="22"/>
        </w:rPr>
        <w:tab/>
        <w:t>Serra-</w:t>
      </w:r>
      <w:proofErr w:type="spellStart"/>
      <w:r w:rsidRPr="00935615">
        <w:rPr>
          <w:rFonts w:ascii="Arial" w:hAnsi="Arial" w:cs="Arial"/>
          <w:sz w:val="22"/>
          <w:szCs w:val="22"/>
        </w:rPr>
        <w:t>Majem</w:t>
      </w:r>
      <w:proofErr w:type="spellEnd"/>
      <w:r w:rsidRPr="00935615">
        <w:rPr>
          <w:rFonts w:ascii="Arial" w:hAnsi="Arial" w:cs="Arial"/>
          <w:sz w:val="22"/>
          <w:szCs w:val="22"/>
        </w:rPr>
        <w:t xml:space="preserve">, L. </w:t>
      </w:r>
      <w:r w:rsidRPr="00935615">
        <w:rPr>
          <w:rFonts w:ascii="Arial" w:hAnsi="Arial" w:cs="Arial"/>
          <w:i/>
          <w:iCs/>
          <w:sz w:val="22"/>
          <w:szCs w:val="22"/>
        </w:rPr>
        <w:t>et al.</w:t>
      </w:r>
      <w:r w:rsidRPr="00935615">
        <w:rPr>
          <w:rFonts w:ascii="Arial" w:hAnsi="Arial" w:cs="Arial"/>
          <w:sz w:val="22"/>
          <w:szCs w:val="22"/>
        </w:rPr>
        <w:t xml:space="preserve"> Comparative analysis of nutrition data from national, household, and individual levels: results from a WHO-CINDI collaborative project in Canada, Finland, Poland, and Spain. </w:t>
      </w:r>
      <w:r w:rsidRPr="00935615">
        <w:rPr>
          <w:rFonts w:ascii="Arial" w:hAnsi="Arial" w:cs="Arial"/>
          <w:i/>
          <w:iCs/>
          <w:sz w:val="22"/>
          <w:szCs w:val="22"/>
        </w:rPr>
        <w:t>Journal of Epidemiology and Community Health</w:t>
      </w:r>
      <w:r w:rsidRPr="00935615">
        <w:rPr>
          <w:rFonts w:ascii="Arial" w:hAnsi="Arial" w:cs="Arial"/>
          <w:sz w:val="22"/>
          <w:szCs w:val="22"/>
        </w:rPr>
        <w:t xml:space="preserve"> </w:t>
      </w:r>
      <w:r w:rsidRPr="00935615">
        <w:rPr>
          <w:rFonts w:ascii="Arial" w:hAnsi="Arial" w:cs="Arial"/>
          <w:b/>
          <w:bCs/>
          <w:sz w:val="22"/>
          <w:szCs w:val="22"/>
        </w:rPr>
        <w:t>57</w:t>
      </w:r>
      <w:r w:rsidRPr="00935615">
        <w:rPr>
          <w:rFonts w:ascii="Arial" w:hAnsi="Arial" w:cs="Arial"/>
          <w:sz w:val="22"/>
          <w:szCs w:val="22"/>
        </w:rPr>
        <w:t>, 74–80 (2003).</w:t>
      </w:r>
    </w:p>
    <w:p w14:paraId="6407B8E8"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15.</w:t>
      </w:r>
      <w:r w:rsidRPr="00935615">
        <w:rPr>
          <w:rFonts w:ascii="Arial" w:hAnsi="Arial" w:cs="Arial"/>
          <w:sz w:val="22"/>
          <w:szCs w:val="22"/>
        </w:rPr>
        <w:tab/>
        <w:t xml:space="preserve">Black, A. E. </w:t>
      </w:r>
      <w:r w:rsidRPr="00935615">
        <w:rPr>
          <w:rFonts w:ascii="Arial" w:hAnsi="Arial" w:cs="Arial"/>
          <w:i/>
          <w:iCs/>
          <w:sz w:val="22"/>
          <w:szCs w:val="22"/>
        </w:rPr>
        <w:t>et al.</w:t>
      </w:r>
      <w:r w:rsidRPr="00935615">
        <w:rPr>
          <w:rFonts w:ascii="Arial" w:hAnsi="Arial" w:cs="Arial"/>
          <w:sz w:val="22"/>
          <w:szCs w:val="22"/>
        </w:rPr>
        <w:t xml:space="preserve"> Critical evaluation of energy intake data using fundamental principles of energy physiology: 2. Evaluating the results of published surveys. </w:t>
      </w:r>
      <w:proofErr w:type="spellStart"/>
      <w:r w:rsidRPr="00935615">
        <w:rPr>
          <w:rFonts w:ascii="Arial" w:hAnsi="Arial" w:cs="Arial"/>
          <w:i/>
          <w:iCs/>
          <w:sz w:val="22"/>
          <w:szCs w:val="22"/>
        </w:rPr>
        <w:t>Eur</w:t>
      </w:r>
      <w:proofErr w:type="spellEnd"/>
      <w:r w:rsidRPr="00935615">
        <w:rPr>
          <w:rFonts w:ascii="Arial" w:hAnsi="Arial" w:cs="Arial"/>
          <w:i/>
          <w:iCs/>
          <w:sz w:val="22"/>
          <w:szCs w:val="22"/>
        </w:rPr>
        <w:t xml:space="preserve"> J Clin </w:t>
      </w:r>
      <w:proofErr w:type="spellStart"/>
      <w:r w:rsidRPr="00935615">
        <w:rPr>
          <w:rFonts w:ascii="Arial" w:hAnsi="Arial" w:cs="Arial"/>
          <w:i/>
          <w:iCs/>
          <w:sz w:val="22"/>
          <w:szCs w:val="22"/>
        </w:rPr>
        <w:t>Nutr</w:t>
      </w:r>
      <w:proofErr w:type="spellEnd"/>
      <w:r w:rsidRPr="00935615">
        <w:rPr>
          <w:rFonts w:ascii="Arial" w:hAnsi="Arial" w:cs="Arial"/>
          <w:sz w:val="22"/>
          <w:szCs w:val="22"/>
        </w:rPr>
        <w:t xml:space="preserve"> </w:t>
      </w:r>
      <w:r w:rsidRPr="00935615">
        <w:rPr>
          <w:rFonts w:ascii="Arial" w:hAnsi="Arial" w:cs="Arial"/>
          <w:b/>
          <w:bCs/>
          <w:sz w:val="22"/>
          <w:szCs w:val="22"/>
        </w:rPr>
        <w:t>45</w:t>
      </w:r>
      <w:r w:rsidRPr="00935615">
        <w:rPr>
          <w:rFonts w:ascii="Arial" w:hAnsi="Arial" w:cs="Arial"/>
          <w:sz w:val="22"/>
          <w:szCs w:val="22"/>
        </w:rPr>
        <w:t>, 583–599 (1991).</w:t>
      </w:r>
    </w:p>
    <w:p w14:paraId="174D83FC"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16.</w:t>
      </w:r>
      <w:r w:rsidRPr="00935615">
        <w:rPr>
          <w:rFonts w:ascii="Arial" w:hAnsi="Arial" w:cs="Arial"/>
          <w:sz w:val="22"/>
          <w:szCs w:val="22"/>
        </w:rPr>
        <w:tab/>
        <w:t xml:space="preserve">Burrows, T. L., Ho, Y. Y., Rollo, M. E. &amp; Collins, C. E. Validity of Dietary Assessment Methods When Compared to the Method of Doubly </w:t>
      </w:r>
      <w:proofErr w:type="spellStart"/>
      <w:r w:rsidRPr="00935615">
        <w:rPr>
          <w:rFonts w:ascii="Arial" w:hAnsi="Arial" w:cs="Arial"/>
          <w:sz w:val="22"/>
          <w:szCs w:val="22"/>
        </w:rPr>
        <w:t>Labeled</w:t>
      </w:r>
      <w:proofErr w:type="spellEnd"/>
      <w:r w:rsidRPr="00935615">
        <w:rPr>
          <w:rFonts w:ascii="Arial" w:hAnsi="Arial" w:cs="Arial"/>
          <w:sz w:val="22"/>
          <w:szCs w:val="22"/>
        </w:rPr>
        <w:t xml:space="preserve"> Water: A Systematic Review in Adults. </w:t>
      </w:r>
      <w:r w:rsidRPr="00935615">
        <w:rPr>
          <w:rFonts w:ascii="Arial" w:hAnsi="Arial" w:cs="Arial"/>
          <w:i/>
          <w:iCs/>
          <w:sz w:val="22"/>
          <w:szCs w:val="22"/>
        </w:rPr>
        <w:t>Front Endocrinol</w:t>
      </w:r>
      <w:r w:rsidRPr="00935615">
        <w:rPr>
          <w:rFonts w:ascii="Arial" w:hAnsi="Arial" w:cs="Arial"/>
          <w:sz w:val="22"/>
          <w:szCs w:val="22"/>
        </w:rPr>
        <w:t xml:space="preserve"> </w:t>
      </w:r>
      <w:r w:rsidRPr="00935615">
        <w:rPr>
          <w:rFonts w:ascii="Arial" w:hAnsi="Arial" w:cs="Arial"/>
          <w:b/>
          <w:bCs/>
          <w:sz w:val="22"/>
          <w:szCs w:val="22"/>
        </w:rPr>
        <w:t>10</w:t>
      </w:r>
      <w:r w:rsidRPr="00935615">
        <w:rPr>
          <w:rFonts w:ascii="Arial" w:hAnsi="Arial" w:cs="Arial"/>
          <w:sz w:val="22"/>
          <w:szCs w:val="22"/>
        </w:rPr>
        <w:t>, 850 (2019).</w:t>
      </w:r>
    </w:p>
    <w:p w14:paraId="13CD1D03"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17.</w:t>
      </w:r>
      <w:r w:rsidRPr="00935615">
        <w:rPr>
          <w:rFonts w:ascii="Arial" w:hAnsi="Arial" w:cs="Arial"/>
          <w:sz w:val="22"/>
          <w:szCs w:val="22"/>
        </w:rPr>
        <w:tab/>
        <w:t xml:space="preserve">Livingstone, M. B. E., Robson, P. J. &amp; Wallace, J. M. W. Issues in dietary intake assessment of children and adolescents. </w:t>
      </w:r>
      <w:r w:rsidRPr="00935615">
        <w:rPr>
          <w:rFonts w:ascii="Arial" w:hAnsi="Arial" w:cs="Arial"/>
          <w:i/>
          <w:iCs/>
          <w:sz w:val="22"/>
          <w:szCs w:val="22"/>
        </w:rPr>
        <w:t>British Journal of Nutrition</w:t>
      </w:r>
      <w:r w:rsidRPr="00935615">
        <w:rPr>
          <w:rFonts w:ascii="Arial" w:hAnsi="Arial" w:cs="Arial"/>
          <w:sz w:val="22"/>
          <w:szCs w:val="22"/>
        </w:rPr>
        <w:t xml:space="preserve"> </w:t>
      </w:r>
      <w:r w:rsidRPr="00935615">
        <w:rPr>
          <w:rFonts w:ascii="Arial" w:hAnsi="Arial" w:cs="Arial"/>
          <w:b/>
          <w:bCs/>
          <w:sz w:val="22"/>
          <w:szCs w:val="22"/>
        </w:rPr>
        <w:t>92</w:t>
      </w:r>
      <w:r w:rsidRPr="00935615">
        <w:rPr>
          <w:rFonts w:ascii="Arial" w:hAnsi="Arial" w:cs="Arial"/>
          <w:sz w:val="22"/>
          <w:szCs w:val="22"/>
        </w:rPr>
        <w:t>, S213–S222 (2004).</w:t>
      </w:r>
    </w:p>
    <w:p w14:paraId="3EDEB3FD"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18.</w:t>
      </w:r>
      <w:r w:rsidRPr="00935615">
        <w:rPr>
          <w:rFonts w:ascii="Arial" w:hAnsi="Arial" w:cs="Arial"/>
          <w:sz w:val="22"/>
          <w:szCs w:val="22"/>
        </w:rPr>
        <w:tab/>
        <w:t xml:space="preserve">Burrows, T. L., Martin, R. J. &amp; Collins, C. E. A Systematic Review of the Validity of Dietary Assessment Methods in Children when Compared with the Method of Doubly </w:t>
      </w:r>
      <w:proofErr w:type="spellStart"/>
      <w:r w:rsidRPr="00935615">
        <w:rPr>
          <w:rFonts w:ascii="Arial" w:hAnsi="Arial" w:cs="Arial"/>
          <w:sz w:val="22"/>
          <w:szCs w:val="22"/>
        </w:rPr>
        <w:t>Labeled</w:t>
      </w:r>
      <w:proofErr w:type="spellEnd"/>
      <w:r w:rsidRPr="00935615">
        <w:rPr>
          <w:rFonts w:ascii="Arial" w:hAnsi="Arial" w:cs="Arial"/>
          <w:sz w:val="22"/>
          <w:szCs w:val="22"/>
        </w:rPr>
        <w:t xml:space="preserve"> Water. </w:t>
      </w:r>
      <w:r w:rsidRPr="00935615">
        <w:rPr>
          <w:rFonts w:ascii="Arial" w:hAnsi="Arial" w:cs="Arial"/>
          <w:i/>
          <w:iCs/>
          <w:sz w:val="22"/>
          <w:szCs w:val="22"/>
        </w:rPr>
        <w:t>Journal of the American Dietetic Association</w:t>
      </w:r>
      <w:r w:rsidRPr="00935615">
        <w:rPr>
          <w:rFonts w:ascii="Arial" w:hAnsi="Arial" w:cs="Arial"/>
          <w:sz w:val="22"/>
          <w:szCs w:val="22"/>
        </w:rPr>
        <w:t xml:space="preserve"> </w:t>
      </w:r>
      <w:r w:rsidRPr="00935615">
        <w:rPr>
          <w:rFonts w:ascii="Arial" w:hAnsi="Arial" w:cs="Arial"/>
          <w:b/>
          <w:bCs/>
          <w:sz w:val="22"/>
          <w:szCs w:val="22"/>
        </w:rPr>
        <w:t>110</w:t>
      </w:r>
      <w:r w:rsidRPr="00935615">
        <w:rPr>
          <w:rFonts w:ascii="Arial" w:hAnsi="Arial" w:cs="Arial"/>
          <w:sz w:val="22"/>
          <w:szCs w:val="22"/>
        </w:rPr>
        <w:t>, 1501–1510 (2010).</w:t>
      </w:r>
    </w:p>
    <w:p w14:paraId="00ABB7B9"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19.</w:t>
      </w:r>
      <w:r w:rsidRPr="00935615">
        <w:rPr>
          <w:rFonts w:ascii="Arial" w:hAnsi="Arial" w:cs="Arial"/>
          <w:sz w:val="22"/>
          <w:szCs w:val="22"/>
        </w:rPr>
        <w:tab/>
      </w:r>
      <w:proofErr w:type="spellStart"/>
      <w:r w:rsidRPr="00935615">
        <w:rPr>
          <w:rFonts w:ascii="Arial" w:hAnsi="Arial" w:cs="Arial"/>
          <w:sz w:val="22"/>
          <w:szCs w:val="22"/>
        </w:rPr>
        <w:t>Subar</w:t>
      </w:r>
      <w:proofErr w:type="spellEnd"/>
      <w:r w:rsidRPr="00935615">
        <w:rPr>
          <w:rFonts w:ascii="Arial" w:hAnsi="Arial" w:cs="Arial"/>
          <w:sz w:val="22"/>
          <w:szCs w:val="22"/>
        </w:rPr>
        <w:t xml:space="preserve">, A. F. </w:t>
      </w:r>
      <w:r w:rsidRPr="00935615">
        <w:rPr>
          <w:rFonts w:ascii="Arial" w:hAnsi="Arial" w:cs="Arial"/>
          <w:i/>
          <w:iCs/>
          <w:sz w:val="22"/>
          <w:szCs w:val="22"/>
        </w:rPr>
        <w:t>et al.</w:t>
      </w:r>
      <w:r w:rsidRPr="00935615">
        <w:rPr>
          <w:rFonts w:ascii="Arial" w:hAnsi="Arial" w:cs="Arial"/>
          <w:sz w:val="22"/>
          <w:szCs w:val="22"/>
        </w:rPr>
        <w:t xml:space="preserve"> Using Intake Biomarkers to Evaluate the Extent of Dietary Misreporting in a Large Sample of Adults: The OPEN Study. </w:t>
      </w:r>
      <w:r w:rsidRPr="00935615">
        <w:rPr>
          <w:rFonts w:ascii="Arial" w:hAnsi="Arial" w:cs="Arial"/>
          <w:i/>
          <w:iCs/>
          <w:sz w:val="22"/>
          <w:szCs w:val="22"/>
        </w:rPr>
        <w:t>American Journal of Epidemiology</w:t>
      </w:r>
      <w:r w:rsidRPr="00935615">
        <w:rPr>
          <w:rFonts w:ascii="Arial" w:hAnsi="Arial" w:cs="Arial"/>
          <w:sz w:val="22"/>
          <w:szCs w:val="22"/>
        </w:rPr>
        <w:t xml:space="preserve"> </w:t>
      </w:r>
      <w:r w:rsidRPr="00935615">
        <w:rPr>
          <w:rFonts w:ascii="Arial" w:hAnsi="Arial" w:cs="Arial"/>
          <w:b/>
          <w:bCs/>
          <w:sz w:val="22"/>
          <w:szCs w:val="22"/>
        </w:rPr>
        <w:t>158</w:t>
      </w:r>
      <w:r w:rsidRPr="00935615">
        <w:rPr>
          <w:rFonts w:ascii="Arial" w:hAnsi="Arial" w:cs="Arial"/>
          <w:sz w:val="22"/>
          <w:szCs w:val="22"/>
        </w:rPr>
        <w:t>, 1–13 (2003).</w:t>
      </w:r>
    </w:p>
    <w:p w14:paraId="56B3DA45"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20.</w:t>
      </w:r>
      <w:r w:rsidRPr="00935615">
        <w:rPr>
          <w:rFonts w:ascii="Arial" w:hAnsi="Arial" w:cs="Arial"/>
          <w:sz w:val="22"/>
          <w:szCs w:val="22"/>
        </w:rPr>
        <w:tab/>
      </w:r>
      <w:proofErr w:type="spellStart"/>
      <w:r w:rsidRPr="00935615">
        <w:rPr>
          <w:rFonts w:ascii="Arial" w:hAnsi="Arial" w:cs="Arial"/>
          <w:sz w:val="22"/>
          <w:szCs w:val="22"/>
        </w:rPr>
        <w:t>Khatibzadeh</w:t>
      </w:r>
      <w:proofErr w:type="spellEnd"/>
      <w:r w:rsidRPr="00935615">
        <w:rPr>
          <w:rFonts w:ascii="Arial" w:hAnsi="Arial" w:cs="Arial"/>
          <w:sz w:val="22"/>
          <w:szCs w:val="22"/>
        </w:rPr>
        <w:t xml:space="preserve">, S. </w:t>
      </w:r>
      <w:r w:rsidRPr="00935615">
        <w:rPr>
          <w:rFonts w:ascii="Arial" w:hAnsi="Arial" w:cs="Arial"/>
          <w:i/>
          <w:iCs/>
          <w:sz w:val="22"/>
          <w:szCs w:val="22"/>
        </w:rPr>
        <w:t>et al.</w:t>
      </w:r>
      <w:r w:rsidRPr="00935615">
        <w:rPr>
          <w:rFonts w:ascii="Arial" w:hAnsi="Arial" w:cs="Arial"/>
          <w:sz w:val="22"/>
          <w:szCs w:val="22"/>
        </w:rPr>
        <w:t xml:space="preserve"> A global database of food and nutrient consumption. </w:t>
      </w:r>
      <w:r w:rsidRPr="00935615">
        <w:rPr>
          <w:rFonts w:ascii="Arial" w:hAnsi="Arial" w:cs="Arial"/>
          <w:i/>
          <w:iCs/>
          <w:sz w:val="22"/>
          <w:szCs w:val="22"/>
        </w:rPr>
        <w:t>Bull World Health Organ</w:t>
      </w:r>
      <w:r w:rsidRPr="00935615">
        <w:rPr>
          <w:rFonts w:ascii="Arial" w:hAnsi="Arial" w:cs="Arial"/>
          <w:sz w:val="22"/>
          <w:szCs w:val="22"/>
        </w:rPr>
        <w:t xml:space="preserve"> </w:t>
      </w:r>
      <w:r w:rsidRPr="00935615">
        <w:rPr>
          <w:rFonts w:ascii="Arial" w:hAnsi="Arial" w:cs="Arial"/>
          <w:b/>
          <w:bCs/>
          <w:sz w:val="22"/>
          <w:szCs w:val="22"/>
        </w:rPr>
        <w:t>94</w:t>
      </w:r>
      <w:r w:rsidRPr="00935615">
        <w:rPr>
          <w:rFonts w:ascii="Arial" w:hAnsi="Arial" w:cs="Arial"/>
          <w:sz w:val="22"/>
          <w:szCs w:val="22"/>
        </w:rPr>
        <w:t>, 931–934 (2016).</w:t>
      </w:r>
    </w:p>
    <w:p w14:paraId="4CC96D65"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21.</w:t>
      </w:r>
      <w:r w:rsidRPr="00935615">
        <w:rPr>
          <w:rFonts w:ascii="Arial" w:hAnsi="Arial" w:cs="Arial"/>
          <w:sz w:val="22"/>
          <w:szCs w:val="22"/>
        </w:rPr>
        <w:tab/>
        <w:t xml:space="preserve">Smith, M. R., Micha, R., Golden, C. D., </w:t>
      </w:r>
      <w:proofErr w:type="spellStart"/>
      <w:r w:rsidRPr="00935615">
        <w:rPr>
          <w:rFonts w:ascii="Arial" w:hAnsi="Arial" w:cs="Arial"/>
          <w:sz w:val="22"/>
          <w:szCs w:val="22"/>
        </w:rPr>
        <w:t>Mozaffarian</w:t>
      </w:r>
      <w:proofErr w:type="spellEnd"/>
      <w:r w:rsidRPr="00935615">
        <w:rPr>
          <w:rFonts w:ascii="Arial" w:hAnsi="Arial" w:cs="Arial"/>
          <w:sz w:val="22"/>
          <w:szCs w:val="22"/>
        </w:rPr>
        <w:t>, D. &amp; Myers, S. S. Global expanded nutrient supply (</w:t>
      </w:r>
      <w:proofErr w:type="spellStart"/>
      <w:r w:rsidRPr="00935615">
        <w:rPr>
          <w:rFonts w:ascii="Arial" w:hAnsi="Arial" w:cs="Arial"/>
          <w:sz w:val="22"/>
          <w:szCs w:val="22"/>
        </w:rPr>
        <w:t>GENuS</w:t>
      </w:r>
      <w:proofErr w:type="spellEnd"/>
      <w:r w:rsidRPr="00935615">
        <w:rPr>
          <w:rFonts w:ascii="Arial" w:hAnsi="Arial" w:cs="Arial"/>
          <w:sz w:val="22"/>
          <w:szCs w:val="22"/>
        </w:rPr>
        <w:t xml:space="preserve">) model: a new method for estimating the global dietary supply of nutrients. </w:t>
      </w:r>
      <w:r w:rsidRPr="00935615">
        <w:rPr>
          <w:rFonts w:ascii="Arial" w:hAnsi="Arial" w:cs="Arial"/>
          <w:i/>
          <w:iCs/>
          <w:sz w:val="22"/>
          <w:szCs w:val="22"/>
        </w:rPr>
        <w:t>PLOS ONE</w:t>
      </w:r>
      <w:r w:rsidRPr="00935615">
        <w:rPr>
          <w:rFonts w:ascii="Arial" w:hAnsi="Arial" w:cs="Arial"/>
          <w:sz w:val="22"/>
          <w:szCs w:val="22"/>
        </w:rPr>
        <w:t xml:space="preserve"> </w:t>
      </w:r>
      <w:r w:rsidRPr="00935615">
        <w:rPr>
          <w:rFonts w:ascii="Arial" w:hAnsi="Arial" w:cs="Arial"/>
          <w:b/>
          <w:bCs/>
          <w:sz w:val="22"/>
          <w:szCs w:val="22"/>
        </w:rPr>
        <w:t>11</w:t>
      </w:r>
      <w:r w:rsidRPr="00935615">
        <w:rPr>
          <w:rFonts w:ascii="Arial" w:hAnsi="Arial" w:cs="Arial"/>
          <w:sz w:val="22"/>
          <w:szCs w:val="22"/>
        </w:rPr>
        <w:t>, e0146976 (2016).</w:t>
      </w:r>
    </w:p>
    <w:p w14:paraId="6676A94F"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22.</w:t>
      </w:r>
      <w:r w:rsidRPr="00935615">
        <w:rPr>
          <w:rFonts w:ascii="Arial" w:hAnsi="Arial" w:cs="Arial"/>
          <w:sz w:val="22"/>
          <w:szCs w:val="22"/>
        </w:rPr>
        <w:tab/>
        <w:t xml:space="preserve">U.S. Department of Agriculture, Agricultural Research Service &amp; Beltsville Human Nutrition Research </w:t>
      </w:r>
      <w:proofErr w:type="spellStart"/>
      <w:r w:rsidRPr="00935615">
        <w:rPr>
          <w:rFonts w:ascii="Arial" w:hAnsi="Arial" w:cs="Arial"/>
          <w:sz w:val="22"/>
          <w:szCs w:val="22"/>
        </w:rPr>
        <w:t>Center</w:t>
      </w:r>
      <w:proofErr w:type="spellEnd"/>
      <w:r w:rsidRPr="00935615">
        <w:rPr>
          <w:rFonts w:ascii="Arial" w:hAnsi="Arial" w:cs="Arial"/>
          <w:sz w:val="22"/>
          <w:szCs w:val="22"/>
        </w:rPr>
        <w:t xml:space="preserve">. </w:t>
      </w:r>
      <w:proofErr w:type="spellStart"/>
      <w:r w:rsidRPr="00935615">
        <w:rPr>
          <w:rFonts w:ascii="Arial" w:hAnsi="Arial" w:cs="Arial"/>
          <w:sz w:val="22"/>
          <w:szCs w:val="22"/>
        </w:rPr>
        <w:t>FoodData</w:t>
      </w:r>
      <w:proofErr w:type="spellEnd"/>
      <w:r w:rsidRPr="00935615">
        <w:rPr>
          <w:rFonts w:ascii="Arial" w:hAnsi="Arial" w:cs="Arial"/>
          <w:sz w:val="22"/>
          <w:szCs w:val="22"/>
        </w:rPr>
        <w:t xml:space="preserve"> Central. https://fdc.nal.usda.gov/ (2024).</w:t>
      </w:r>
    </w:p>
    <w:p w14:paraId="714A31EF"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23.</w:t>
      </w:r>
      <w:r w:rsidRPr="00935615">
        <w:rPr>
          <w:rFonts w:ascii="Arial" w:hAnsi="Arial" w:cs="Arial"/>
          <w:sz w:val="22"/>
          <w:szCs w:val="22"/>
        </w:rPr>
        <w:tab/>
      </w:r>
      <w:proofErr w:type="spellStart"/>
      <w:r w:rsidRPr="00935615">
        <w:rPr>
          <w:rFonts w:ascii="Arial" w:hAnsi="Arial" w:cs="Arial"/>
          <w:sz w:val="22"/>
          <w:szCs w:val="22"/>
        </w:rPr>
        <w:t>Wessells</w:t>
      </w:r>
      <w:proofErr w:type="spellEnd"/>
      <w:r w:rsidRPr="00935615">
        <w:rPr>
          <w:rFonts w:ascii="Arial" w:hAnsi="Arial" w:cs="Arial"/>
          <w:sz w:val="22"/>
          <w:szCs w:val="22"/>
        </w:rPr>
        <w:t xml:space="preserve">, K. R., Singh, G. M. &amp; Brown, K. H. Estimating the Global Prevalence of Inadequate Zinc Intake from National Food Balance Sheets: Effects of Methodological Assumptions. </w:t>
      </w:r>
      <w:r w:rsidRPr="00935615">
        <w:rPr>
          <w:rFonts w:ascii="Arial" w:hAnsi="Arial" w:cs="Arial"/>
          <w:i/>
          <w:iCs/>
          <w:sz w:val="22"/>
          <w:szCs w:val="22"/>
        </w:rPr>
        <w:t>PLOS ONE</w:t>
      </w:r>
      <w:r w:rsidRPr="00935615">
        <w:rPr>
          <w:rFonts w:ascii="Arial" w:hAnsi="Arial" w:cs="Arial"/>
          <w:sz w:val="22"/>
          <w:szCs w:val="22"/>
        </w:rPr>
        <w:t xml:space="preserve"> </w:t>
      </w:r>
      <w:r w:rsidRPr="00935615">
        <w:rPr>
          <w:rFonts w:ascii="Arial" w:hAnsi="Arial" w:cs="Arial"/>
          <w:b/>
          <w:bCs/>
          <w:sz w:val="22"/>
          <w:szCs w:val="22"/>
        </w:rPr>
        <w:t>7</w:t>
      </w:r>
      <w:r w:rsidRPr="00935615">
        <w:rPr>
          <w:rFonts w:ascii="Arial" w:hAnsi="Arial" w:cs="Arial"/>
          <w:sz w:val="22"/>
          <w:szCs w:val="22"/>
        </w:rPr>
        <w:t>, e50565 (2012).</w:t>
      </w:r>
    </w:p>
    <w:p w14:paraId="466A8FCA"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24.</w:t>
      </w:r>
      <w:r w:rsidRPr="00935615">
        <w:rPr>
          <w:rFonts w:ascii="Arial" w:hAnsi="Arial" w:cs="Arial"/>
          <w:sz w:val="22"/>
          <w:szCs w:val="22"/>
        </w:rPr>
        <w:tab/>
        <w:t xml:space="preserve">Watanabe, T. &amp; Kawai, R. Advances in food composition tables in Japan-Standard Tables Of Food Composition in Japan – 2015 – (Seventh Revised Edition)–. </w:t>
      </w:r>
      <w:r w:rsidRPr="00935615">
        <w:rPr>
          <w:rFonts w:ascii="Arial" w:hAnsi="Arial" w:cs="Arial"/>
          <w:i/>
          <w:iCs/>
          <w:sz w:val="22"/>
          <w:szCs w:val="22"/>
        </w:rPr>
        <w:t>Food Chemistry</w:t>
      </w:r>
      <w:r w:rsidRPr="00935615">
        <w:rPr>
          <w:rFonts w:ascii="Arial" w:hAnsi="Arial" w:cs="Arial"/>
          <w:sz w:val="22"/>
          <w:szCs w:val="22"/>
        </w:rPr>
        <w:t xml:space="preserve"> </w:t>
      </w:r>
      <w:r w:rsidRPr="00935615">
        <w:rPr>
          <w:rFonts w:ascii="Arial" w:hAnsi="Arial" w:cs="Arial"/>
          <w:b/>
          <w:bCs/>
          <w:sz w:val="22"/>
          <w:szCs w:val="22"/>
        </w:rPr>
        <w:t>238</w:t>
      </w:r>
      <w:r w:rsidRPr="00935615">
        <w:rPr>
          <w:rFonts w:ascii="Arial" w:hAnsi="Arial" w:cs="Arial"/>
          <w:sz w:val="22"/>
          <w:szCs w:val="22"/>
        </w:rPr>
        <w:t>, 16–21 (2018).</w:t>
      </w:r>
    </w:p>
    <w:p w14:paraId="011B1CDE"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25.</w:t>
      </w:r>
      <w:r w:rsidRPr="00935615">
        <w:rPr>
          <w:rFonts w:ascii="Arial" w:hAnsi="Arial" w:cs="Arial"/>
          <w:sz w:val="22"/>
          <w:szCs w:val="22"/>
        </w:rPr>
        <w:tab/>
        <w:t xml:space="preserve">Allen, L. H., </w:t>
      </w:r>
      <w:proofErr w:type="spellStart"/>
      <w:r w:rsidRPr="00935615">
        <w:rPr>
          <w:rFonts w:ascii="Arial" w:hAnsi="Arial" w:cs="Arial"/>
          <w:sz w:val="22"/>
          <w:szCs w:val="22"/>
        </w:rPr>
        <w:t>Carriquiry</w:t>
      </w:r>
      <w:proofErr w:type="spellEnd"/>
      <w:r w:rsidRPr="00935615">
        <w:rPr>
          <w:rFonts w:ascii="Arial" w:hAnsi="Arial" w:cs="Arial"/>
          <w:sz w:val="22"/>
          <w:szCs w:val="22"/>
        </w:rPr>
        <w:t xml:space="preserve">, A. L. &amp; Murphy, S. P. Perspective: Proposed Harmonized Nutrient Reference Values for Populations. </w:t>
      </w:r>
      <w:r w:rsidRPr="00935615">
        <w:rPr>
          <w:rFonts w:ascii="Arial" w:hAnsi="Arial" w:cs="Arial"/>
          <w:i/>
          <w:iCs/>
          <w:sz w:val="22"/>
          <w:szCs w:val="22"/>
        </w:rPr>
        <w:t>Advances in Nutrition</w:t>
      </w:r>
      <w:r w:rsidRPr="00935615">
        <w:rPr>
          <w:rFonts w:ascii="Arial" w:hAnsi="Arial" w:cs="Arial"/>
          <w:sz w:val="22"/>
          <w:szCs w:val="22"/>
        </w:rPr>
        <w:t xml:space="preserve"> </w:t>
      </w:r>
      <w:r w:rsidRPr="00935615">
        <w:rPr>
          <w:rFonts w:ascii="Arial" w:hAnsi="Arial" w:cs="Arial"/>
          <w:b/>
          <w:bCs/>
          <w:sz w:val="22"/>
          <w:szCs w:val="22"/>
        </w:rPr>
        <w:t>11</w:t>
      </w:r>
      <w:r w:rsidRPr="00935615">
        <w:rPr>
          <w:rFonts w:ascii="Arial" w:hAnsi="Arial" w:cs="Arial"/>
          <w:sz w:val="22"/>
          <w:szCs w:val="22"/>
        </w:rPr>
        <w:t>, 469–483 (2020).</w:t>
      </w:r>
    </w:p>
    <w:p w14:paraId="082F1405"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26.</w:t>
      </w:r>
      <w:r w:rsidRPr="00935615">
        <w:rPr>
          <w:rFonts w:ascii="Arial" w:hAnsi="Arial" w:cs="Arial"/>
          <w:sz w:val="22"/>
          <w:szCs w:val="22"/>
        </w:rPr>
        <w:tab/>
        <w:t xml:space="preserve">Miller, L. V., Krebs, N. F. &amp; Hambidge, K. M. A mathematical model of zinc absorption in humans as a function of dietary zinc and phytate. </w:t>
      </w:r>
      <w:r w:rsidRPr="00935615">
        <w:rPr>
          <w:rFonts w:ascii="Arial" w:hAnsi="Arial" w:cs="Arial"/>
          <w:i/>
          <w:iCs/>
          <w:sz w:val="22"/>
          <w:szCs w:val="22"/>
        </w:rPr>
        <w:t xml:space="preserve">J </w:t>
      </w:r>
      <w:proofErr w:type="spellStart"/>
      <w:r w:rsidRPr="00935615">
        <w:rPr>
          <w:rFonts w:ascii="Arial" w:hAnsi="Arial" w:cs="Arial"/>
          <w:i/>
          <w:iCs/>
          <w:sz w:val="22"/>
          <w:szCs w:val="22"/>
        </w:rPr>
        <w:t>Nutr</w:t>
      </w:r>
      <w:proofErr w:type="spellEnd"/>
      <w:r w:rsidRPr="00935615">
        <w:rPr>
          <w:rFonts w:ascii="Arial" w:hAnsi="Arial" w:cs="Arial"/>
          <w:sz w:val="22"/>
          <w:szCs w:val="22"/>
        </w:rPr>
        <w:t xml:space="preserve"> </w:t>
      </w:r>
      <w:r w:rsidRPr="00935615">
        <w:rPr>
          <w:rFonts w:ascii="Arial" w:hAnsi="Arial" w:cs="Arial"/>
          <w:b/>
          <w:bCs/>
          <w:sz w:val="22"/>
          <w:szCs w:val="22"/>
        </w:rPr>
        <w:t>137</w:t>
      </w:r>
      <w:r w:rsidRPr="00935615">
        <w:rPr>
          <w:rFonts w:ascii="Arial" w:hAnsi="Arial" w:cs="Arial"/>
          <w:sz w:val="22"/>
          <w:szCs w:val="22"/>
        </w:rPr>
        <w:t>, 135–141 (2007).</w:t>
      </w:r>
    </w:p>
    <w:p w14:paraId="111FAD1B"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lastRenderedPageBreak/>
        <w:t>27.</w:t>
      </w:r>
      <w:r w:rsidRPr="00935615">
        <w:rPr>
          <w:rFonts w:ascii="Arial" w:hAnsi="Arial" w:cs="Arial"/>
          <w:sz w:val="22"/>
          <w:szCs w:val="22"/>
        </w:rPr>
        <w:tab/>
        <w:t xml:space="preserve">Hambidge, K. M., Miller, L. V., Westcott, J. E., Sheng, X. &amp; Krebs, N. F. Zinc bioavailability and homeostasis. </w:t>
      </w:r>
      <w:r w:rsidRPr="00935615">
        <w:rPr>
          <w:rFonts w:ascii="Arial" w:hAnsi="Arial" w:cs="Arial"/>
          <w:i/>
          <w:iCs/>
          <w:sz w:val="22"/>
          <w:szCs w:val="22"/>
        </w:rPr>
        <w:t xml:space="preserve">Am J Clin </w:t>
      </w:r>
      <w:proofErr w:type="spellStart"/>
      <w:r w:rsidRPr="00935615">
        <w:rPr>
          <w:rFonts w:ascii="Arial" w:hAnsi="Arial" w:cs="Arial"/>
          <w:i/>
          <w:iCs/>
          <w:sz w:val="22"/>
          <w:szCs w:val="22"/>
        </w:rPr>
        <w:t>Nutr</w:t>
      </w:r>
      <w:proofErr w:type="spellEnd"/>
      <w:r w:rsidRPr="00935615">
        <w:rPr>
          <w:rFonts w:ascii="Arial" w:hAnsi="Arial" w:cs="Arial"/>
          <w:sz w:val="22"/>
          <w:szCs w:val="22"/>
        </w:rPr>
        <w:t xml:space="preserve"> </w:t>
      </w:r>
      <w:r w:rsidRPr="00935615">
        <w:rPr>
          <w:rFonts w:ascii="Arial" w:hAnsi="Arial" w:cs="Arial"/>
          <w:b/>
          <w:bCs/>
          <w:sz w:val="22"/>
          <w:szCs w:val="22"/>
        </w:rPr>
        <w:t>91</w:t>
      </w:r>
      <w:r w:rsidRPr="00935615">
        <w:rPr>
          <w:rFonts w:ascii="Arial" w:hAnsi="Arial" w:cs="Arial"/>
          <w:sz w:val="22"/>
          <w:szCs w:val="22"/>
        </w:rPr>
        <w:t>, 1478S-1483S (2010).</w:t>
      </w:r>
    </w:p>
    <w:p w14:paraId="0740A703"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28.</w:t>
      </w:r>
      <w:r w:rsidRPr="00935615">
        <w:rPr>
          <w:rFonts w:ascii="Arial" w:hAnsi="Arial" w:cs="Arial"/>
          <w:sz w:val="22"/>
          <w:szCs w:val="22"/>
        </w:rPr>
        <w:tab/>
        <w:t xml:space="preserve">Armah, S. M., </w:t>
      </w:r>
      <w:proofErr w:type="spellStart"/>
      <w:r w:rsidRPr="00935615">
        <w:rPr>
          <w:rFonts w:ascii="Arial" w:hAnsi="Arial" w:cs="Arial"/>
          <w:sz w:val="22"/>
          <w:szCs w:val="22"/>
        </w:rPr>
        <w:t>Carriquiry</w:t>
      </w:r>
      <w:proofErr w:type="spellEnd"/>
      <w:r w:rsidRPr="00935615">
        <w:rPr>
          <w:rFonts w:ascii="Arial" w:hAnsi="Arial" w:cs="Arial"/>
          <w:sz w:val="22"/>
          <w:szCs w:val="22"/>
        </w:rPr>
        <w:t xml:space="preserve">, A., Sullivan, D., Cook, J. D. &amp; Reddy, M. B. A complete diet-based algorithm for predicting nonheme iron absorption in adults. </w:t>
      </w:r>
      <w:r w:rsidRPr="00935615">
        <w:rPr>
          <w:rFonts w:ascii="Arial" w:hAnsi="Arial" w:cs="Arial"/>
          <w:i/>
          <w:iCs/>
          <w:sz w:val="22"/>
          <w:szCs w:val="22"/>
        </w:rPr>
        <w:t xml:space="preserve">J </w:t>
      </w:r>
      <w:proofErr w:type="spellStart"/>
      <w:r w:rsidRPr="00935615">
        <w:rPr>
          <w:rFonts w:ascii="Arial" w:hAnsi="Arial" w:cs="Arial"/>
          <w:i/>
          <w:iCs/>
          <w:sz w:val="22"/>
          <w:szCs w:val="22"/>
        </w:rPr>
        <w:t>Nutr</w:t>
      </w:r>
      <w:proofErr w:type="spellEnd"/>
      <w:r w:rsidRPr="00935615">
        <w:rPr>
          <w:rFonts w:ascii="Arial" w:hAnsi="Arial" w:cs="Arial"/>
          <w:sz w:val="22"/>
          <w:szCs w:val="22"/>
        </w:rPr>
        <w:t xml:space="preserve"> </w:t>
      </w:r>
      <w:r w:rsidRPr="00935615">
        <w:rPr>
          <w:rFonts w:ascii="Arial" w:hAnsi="Arial" w:cs="Arial"/>
          <w:b/>
          <w:bCs/>
          <w:sz w:val="22"/>
          <w:szCs w:val="22"/>
        </w:rPr>
        <w:t>143</w:t>
      </w:r>
      <w:r w:rsidRPr="00935615">
        <w:rPr>
          <w:rFonts w:ascii="Arial" w:hAnsi="Arial" w:cs="Arial"/>
          <w:sz w:val="22"/>
          <w:szCs w:val="22"/>
        </w:rPr>
        <w:t>, 1136–1140 (2013).</w:t>
      </w:r>
    </w:p>
    <w:p w14:paraId="5653D0C7"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29.</w:t>
      </w:r>
      <w:r w:rsidRPr="00935615">
        <w:rPr>
          <w:rFonts w:ascii="Arial" w:hAnsi="Arial" w:cs="Arial"/>
          <w:sz w:val="22"/>
          <w:szCs w:val="22"/>
        </w:rPr>
        <w:tab/>
        <w:t>Tufts University. Data4Diets: Building Blocks for Diet-related Food Security Analysis, Version 2.0. (2023).</w:t>
      </w:r>
    </w:p>
    <w:p w14:paraId="687D4AB4"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30.</w:t>
      </w:r>
      <w:r w:rsidRPr="00935615">
        <w:rPr>
          <w:rFonts w:ascii="Arial" w:hAnsi="Arial" w:cs="Arial"/>
          <w:sz w:val="22"/>
          <w:szCs w:val="22"/>
        </w:rPr>
        <w:tab/>
        <w:t xml:space="preserve">Bajaj, S. &amp; Springmann, M. A review of the quality of evidence of nutrient reference values. </w:t>
      </w:r>
      <w:r w:rsidRPr="00935615">
        <w:rPr>
          <w:rFonts w:ascii="Arial" w:hAnsi="Arial" w:cs="Arial"/>
          <w:i/>
          <w:iCs/>
          <w:sz w:val="22"/>
          <w:szCs w:val="22"/>
        </w:rPr>
        <w:t>Lancet Planetary Health</w:t>
      </w:r>
      <w:r w:rsidRPr="00935615">
        <w:rPr>
          <w:rFonts w:ascii="Arial" w:hAnsi="Arial" w:cs="Arial"/>
          <w:sz w:val="22"/>
          <w:szCs w:val="22"/>
        </w:rPr>
        <w:t xml:space="preserve"> (under review).</w:t>
      </w:r>
    </w:p>
    <w:p w14:paraId="29A7CCE9"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31.</w:t>
      </w:r>
      <w:r w:rsidRPr="00935615">
        <w:rPr>
          <w:rFonts w:ascii="Arial" w:hAnsi="Arial" w:cs="Arial"/>
          <w:sz w:val="22"/>
          <w:szCs w:val="22"/>
        </w:rPr>
        <w:tab/>
        <w:t xml:space="preserve">European Food Safety Authority (EFSA). Dietary Reference Values for nutrients Summary report. </w:t>
      </w:r>
      <w:r w:rsidRPr="00935615">
        <w:rPr>
          <w:rFonts w:ascii="Arial" w:hAnsi="Arial" w:cs="Arial"/>
          <w:i/>
          <w:iCs/>
          <w:sz w:val="22"/>
          <w:szCs w:val="22"/>
        </w:rPr>
        <w:t>EFS3</w:t>
      </w:r>
      <w:r w:rsidRPr="00935615">
        <w:rPr>
          <w:rFonts w:ascii="Arial" w:hAnsi="Arial" w:cs="Arial"/>
          <w:sz w:val="22"/>
          <w:szCs w:val="22"/>
        </w:rPr>
        <w:t xml:space="preserve"> </w:t>
      </w:r>
      <w:r w:rsidRPr="00935615">
        <w:rPr>
          <w:rFonts w:ascii="Arial" w:hAnsi="Arial" w:cs="Arial"/>
          <w:b/>
          <w:bCs/>
          <w:sz w:val="22"/>
          <w:szCs w:val="22"/>
        </w:rPr>
        <w:t>14</w:t>
      </w:r>
      <w:r w:rsidRPr="00935615">
        <w:rPr>
          <w:rFonts w:ascii="Arial" w:hAnsi="Arial" w:cs="Arial"/>
          <w:sz w:val="22"/>
          <w:szCs w:val="22"/>
        </w:rPr>
        <w:t>, (2017).</w:t>
      </w:r>
    </w:p>
    <w:p w14:paraId="256CC13E"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32.</w:t>
      </w:r>
      <w:r w:rsidRPr="00935615">
        <w:rPr>
          <w:rFonts w:ascii="Arial" w:hAnsi="Arial" w:cs="Arial"/>
          <w:sz w:val="22"/>
          <w:szCs w:val="22"/>
        </w:rPr>
        <w:tab/>
        <w:t xml:space="preserve">Murray, C. J. L., </w:t>
      </w:r>
      <w:proofErr w:type="spellStart"/>
      <w:r w:rsidRPr="00935615">
        <w:rPr>
          <w:rFonts w:ascii="Arial" w:hAnsi="Arial" w:cs="Arial"/>
          <w:sz w:val="22"/>
          <w:szCs w:val="22"/>
        </w:rPr>
        <w:t>Ezzati</w:t>
      </w:r>
      <w:proofErr w:type="spellEnd"/>
      <w:r w:rsidRPr="00935615">
        <w:rPr>
          <w:rFonts w:ascii="Arial" w:hAnsi="Arial" w:cs="Arial"/>
          <w:sz w:val="22"/>
          <w:szCs w:val="22"/>
        </w:rPr>
        <w:t xml:space="preserve">, M., Lopez, A. D., Rodgers, A. &amp; Vander Hoorn, S. Comparative quantification of health risks: conceptual framework and methodological issues. </w:t>
      </w:r>
      <w:r w:rsidRPr="00935615">
        <w:rPr>
          <w:rFonts w:ascii="Arial" w:hAnsi="Arial" w:cs="Arial"/>
          <w:i/>
          <w:iCs/>
          <w:sz w:val="22"/>
          <w:szCs w:val="22"/>
        </w:rPr>
        <w:t>Population Health Metrics</w:t>
      </w:r>
      <w:r w:rsidRPr="00935615">
        <w:rPr>
          <w:rFonts w:ascii="Arial" w:hAnsi="Arial" w:cs="Arial"/>
          <w:sz w:val="22"/>
          <w:szCs w:val="22"/>
        </w:rPr>
        <w:t xml:space="preserve"> </w:t>
      </w:r>
      <w:r w:rsidRPr="00935615">
        <w:rPr>
          <w:rFonts w:ascii="Arial" w:hAnsi="Arial" w:cs="Arial"/>
          <w:b/>
          <w:bCs/>
          <w:sz w:val="22"/>
          <w:szCs w:val="22"/>
        </w:rPr>
        <w:t>1</w:t>
      </w:r>
      <w:r w:rsidRPr="00935615">
        <w:rPr>
          <w:rFonts w:ascii="Arial" w:hAnsi="Arial" w:cs="Arial"/>
          <w:sz w:val="22"/>
          <w:szCs w:val="22"/>
        </w:rPr>
        <w:t>, 1 (2003).</w:t>
      </w:r>
    </w:p>
    <w:p w14:paraId="583E1CA5"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33.</w:t>
      </w:r>
      <w:r w:rsidRPr="00935615">
        <w:rPr>
          <w:rFonts w:ascii="Arial" w:hAnsi="Arial" w:cs="Arial"/>
          <w:sz w:val="22"/>
          <w:szCs w:val="22"/>
        </w:rPr>
        <w:tab/>
        <w:t xml:space="preserve">Lim, S. S. </w:t>
      </w:r>
      <w:r w:rsidRPr="00935615">
        <w:rPr>
          <w:rFonts w:ascii="Arial" w:hAnsi="Arial" w:cs="Arial"/>
          <w:i/>
          <w:iCs/>
          <w:sz w:val="22"/>
          <w:szCs w:val="22"/>
        </w:rPr>
        <w:t>et al.</w:t>
      </w:r>
      <w:r w:rsidRPr="00935615">
        <w:rPr>
          <w:rFonts w:ascii="Arial" w:hAnsi="Arial" w:cs="Arial"/>
          <w:sz w:val="22"/>
          <w:szCs w:val="22"/>
        </w:rPr>
        <w:t xml:space="preserve"> A comparative risk assessment of burden of disease and injury attributable to 67 risk factors and risk factor clusters in 21 regions, 1990–2010: a systematic analysis for the Global Burden of Disease Study 2010. </w:t>
      </w:r>
      <w:r w:rsidRPr="00935615">
        <w:rPr>
          <w:rFonts w:ascii="Arial" w:hAnsi="Arial" w:cs="Arial"/>
          <w:i/>
          <w:iCs/>
          <w:sz w:val="22"/>
          <w:szCs w:val="22"/>
        </w:rPr>
        <w:t>The Lancet</w:t>
      </w:r>
      <w:r w:rsidRPr="00935615">
        <w:rPr>
          <w:rFonts w:ascii="Arial" w:hAnsi="Arial" w:cs="Arial"/>
          <w:sz w:val="22"/>
          <w:szCs w:val="22"/>
        </w:rPr>
        <w:t xml:space="preserve"> </w:t>
      </w:r>
      <w:r w:rsidRPr="00935615">
        <w:rPr>
          <w:rFonts w:ascii="Arial" w:hAnsi="Arial" w:cs="Arial"/>
          <w:b/>
          <w:bCs/>
          <w:sz w:val="22"/>
          <w:szCs w:val="22"/>
        </w:rPr>
        <w:t>380</w:t>
      </w:r>
      <w:r w:rsidRPr="00935615">
        <w:rPr>
          <w:rFonts w:ascii="Arial" w:hAnsi="Arial" w:cs="Arial"/>
          <w:sz w:val="22"/>
          <w:szCs w:val="22"/>
        </w:rPr>
        <w:t>, 2224–2260 (2012).</w:t>
      </w:r>
    </w:p>
    <w:p w14:paraId="61DDDDD3"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34.</w:t>
      </w:r>
      <w:r w:rsidRPr="00935615">
        <w:rPr>
          <w:rFonts w:ascii="Arial" w:hAnsi="Arial" w:cs="Arial"/>
          <w:sz w:val="22"/>
          <w:szCs w:val="22"/>
        </w:rPr>
        <w:tab/>
      </w:r>
      <w:proofErr w:type="spellStart"/>
      <w:r w:rsidRPr="00935615">
        <w:rPr>
          <w:rFonts w:ascii="Arial" w:hAnsi="Arial" w:cs="Arial"/>
          <w:sz w:val="22"/>
          <w:szCs w:val="22"/>
        </w:rPr>
        <w:t>Forouzanfar</w:t>
      </w:r>
      <w:proofErr w:type="spellEnd"/>
      <w:r w:rsidRPr="00935615">
        <w:rPr>
          <w:rFonts w:ascii="Arial" w:hAnsi="Arial" w:cs="Arial"/>
          <w:sz w:val="22"/>
          <w:szCs w:val="22"/>
        </w:rPr>
        <w:t xml:space="preserve">, M. H. </w:t>
      </w:r>
      <w:r w:rsidRPr="00935615">
        <w:rPr>
          <w:rFonts w:ascii="Arial" w:hAnsi="Arial" w:cs="Arial"/>
          <w:i/>
          <w:iCs/>
          <w:sz w:val="22"/>
          <w:szCs w:val="22"/>
        </w:rPr>
        <w:t>et al.</w:t>
      </w:r>
      <w:r w:rsidRPr="00935615">
        <w:rPr>
          <w:rFonts w:ascii="Arial" w:hAnsi="Arial" w:cs="Arial"/>
          <w:sz w:val="22"/>
          <w:szCs w:val="22"/>
        </w:rPr>
        <w:t xml:space="preserve"> Global, regional, and national comparative risk assessment of 79 behavioural, environmental and occupational, and metabolic risks or clusters of risks in 188 countries, 1990–2013: a systematic analysis for the Global Burden of Disease Study 2013. </w:t>
      </w:r>
      <w:r w:rsidRPr="00935615">
        <w:rPr>
          <w:rFonts w:ascii="Arial" w:hAnsi="Arial" w:cs="Arial"/>
          <w:i/>
          <w:iCs/>
          <w:sz w:val="22"/>
          <w:szCs w:val="22"/>
        </w:rPr>
        <w:t>The Lancet</w:t>
      </w:r>
      <w:r w:rsidRPr="00935615">
        <w:rPr>
          <w:rFonts w:ascii="Arial" w:hAnsi="Arial" w:cs="Arial"/>
          <w:sz w:val="22"/>
          <w:szCs w:val="22"/>
        </w:rPr>
        <w:t xml:space="preserve"> </w:t>
      </w:r>
      <w:r w:rsidRPr="00935615">
        <w:rPr>
          <w:rFonts w:ascii="Arial" w:hAnsi="Arial" w:cs="Arial"/>
          <w:b/>
          <w:bCs/>
          <w:sz w:val="22"/>
          <w:szCs w:val="22"/>
        </w:rPr>
        <w:t>386</w:t>
      </w:r>
      <w:r w:rsidRPr="00935615">
        <w:rPr>
          <w:rFonts w:ascii="Arial" w:hAnsi="Arial" w:cs="Arial"/>
          <w:sz w:val="22"/>
          <w:szCs w:val="22"/>
        </w:rPr>
        <w:t>, 2287–2323 (2015).</w:t>
      </w:r>
    </w:p>
    <w:p w14:paraId="1793D979"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35.</w:t>
      </w:r>
      <w:r w:rsidRPr="00935615">
        <w:rPr>
          <w:rFonts w:ascii="Arial" w:hAnsi="Arial" w:cs="Arial"/>
          <w:sz w:val="22"/>
          <w:szCs w:val="22"/>
        </w:rPr>
        <w:tab/>
        <w:t xml:space="preserve">Murray, C. J. L. </w:t>
      </w:r>
      <w:r w:rsidRPr="00935615">
        <w:rPr>
          <w:rFonts w:ascii="Arial" w:hAnsi="Arial" w:cs="Arial"/>
          <w:i/>
          <w:iCs/>
          <w:sz w:val="22"/>
          <w:szCs w:val="22"/>
        </w:rPr>
        <w:t>et al.</w:t>
      </w:r>
      <w:r w:rsidRPr="00935615">
        <w:rPr>
          <w:rFonts w:ascii="Arial" w:hAnsi="Arial" w:cs="Arial"/>
          <w:sz w:val="22"/>
          <w:szCs w:val="22"/>
        </w:rPr>
        <w:t xml:space="preserve"> GBD 2010: design, definitions, and metrics. </w:t>
      </w:r>
      <w:r w:rsidRPr="00935615">
        <w:rPr>
          <w:rFonts w:ascii="Arial" w:hAnsi="Arial" w:cs="Arial"/>
          <w:i/>
          <w:iCs/>
          <w:sz w:val="22"/>
          <w:szCs w:val="22"/>
        </w:rPr>
        <w:t>Lancet</w:t>
      </w:r>
      <w:r w:rsidRPr="00935615">
        <w:rPr>
          <w:rFonts w:ascii="Arial" w:hAnsi="Arial" w:cs="Arial"/>
          <w:sz w:val="22"/>
          <w:szCs w:val="22"/>
        </w:rPr>
        <w:t xml:space="preserve"> </w:t>
      </w:r>
      <w:r w:rsidRPr="00935615">
        <w:rPr>
          <w:rFonts w:ascii="Arial" w:hAnsi="Arial" w:cs="Arial"/>
          <w:b/>
          <w:bCs/>
          <w:sz w:val="22"/>
          <w:szCs w:val="22"/>
        </w:rPr>
        <w:t>380</w:t>
      </w:r>
      <w:r w:rsidRPr="00935615">
        <w:rPr>
          <w:rFonts w:ascii="Arial" w:hAnsi="Arial" w:cs="Arial"/>
          <w:sz w:val="22"/>
          <w:szCs w:val="22"/>
        </w:rPr>
        <w:t>, 2063–2066 (2012).</w:t>
      </w:r>
    </w:p>
    <w:p w14:paraId="1E0AA710"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36.</w:t>
      </w:r>
      <w:r w:rsidRPr="00935615">
        <w:rPr>
          <w:rFonts w:ascii="Arial" w:hAnsi="Arial" w:cs="Arial"/>
          <w:sz w:val="22"/>
          <w:szCs w:val="22"/>
        </w:rPr>
        <w:tab/>
        <w:t xml:space="preserve">Wang, H. </w:t>
      </w:r>
      <w:r w:rsidRPr="00935615">
        <w:rPr>
          <w:rFonts w:ascii="Arial" w:hAnsi="Arial" w:cs="Arial"/>
          <w:i/>
          <w:iCs/>
          <w:sz w:val="22"/>
          <w:szCs w:val="22"/>
        </w:rPr>
        <w:t>et al.</w:t>
      </w:r>
      <w:r w:rsidRPr="00935615">
        <w:rPr>
          <w:rFonts w:ascii="Arial" w:hAnsi="Arial" w:cs="Arial"/>
          <w:sz w:val="22"/>
          <w:szCs w:val="22"/>
        </w:rPr>
        <w:t xml:space="preserve"> Global age-sex-specific fertility, mortality, healthy life expectancy (HALE), and population estimates in 204 countries and territories, 1950–2019: a comprehensive demographic analysis for the Global Burden of Disease Study 2019. </w:t>
      </w:r>
      <w:r w:rsidRPr="00935615">
        <w:rPr>
          <w:rFonts w:ascii="Arial" w:hAnsi="Arial" w:cs="Arial"/>
          <w:i/>
          <w:iCs/>
          <w:sz w:val="22"/>
          <w:szCs w:val="22"/>
        </w:rPr>
        <w:t>The Lancet</w:t>
      </w:r>
      <w:r w:rsidRPr="00935615">
        <w:rPr>
          <w:rFonts w:ascii="Arial" w:hAnsi="Arial" w:cs="Arial"/>
          <w:sz w:val="22"/>
          <w:szCs w:val="22"/>
        </w:rPr>
        <w:t xml:space="preserve"> </w:t>
      </w:r>
      <w:r w:rsidRPr="00935615">
        <w:rPr>
          <w:rFonts w:ascii="Arial" w:hAnsi="Arial" w:cs="Arial"/>
          <w:b/>
          <w:bCs/>
          <w:sz w:val="22"/>
          <w:szCs w:val="22"/>
        </w:rPr>
        <w:t>396</w:t>
      </w:r>
      <w:r w:rsidRPr="00935615">
        <w:rPr>
          <w:rFonts w:ascii="Arial" w:hAnsi="Arial" w:cs="Arial"/>
          <w:sz w:val="22"/>
          <w:szCs w:val="22"/>
        </w:rPr>
        <w:t>, 1160–1203 (2020).</w:t>
      </w:r>
    </w:p>
    <w:p w14:paraId="19B7DBD2"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37.</w:t>
      </w:r>
      <w:r w:rsidRPr="00935615">
        <w:rPr>
          <w:rFonts w:ascii="Arial" w:hAnsi="Arial" w:cs="Arial"/>
          <w:sz w:val="22"/>
          <w:szCs w:val="22"/>
        </w:rPr>
        <w:tab/>
        <w:t>NCD Risk Factor Collaboration (NCD-</w:t>
      </w:r>
      <w:proofErr w:type="spellStart"/>
      <w:r w:rsidRPr="00935615">
        <w:rPr>
          <w:rFonts w:ascii="Arial" w:hAnsi="Arial" w:cs="Arial"/>
          <w:sz w:val="22"/>
          <w:szCs w:val="22"/>
        </w:rPr>
        <w:t>RisC</w:t>
      </w:r>
      <w:proofErr w:type="spellEnd"/>
      <w:r w:rsidRPr="00935615">
        <w:rPr>
          <w:rFonts w:ascii="Arial" w:hAnsi="Arial" w:cs="Arial"/>
          <w:sz w:val="22"/>
          <w:szCs w:val="22"/>
        </w:rPr>
        <w:t xml:space="preserve">). Trends in adult body-mass index in 200 countries from 1975 to 2014: a pooled analysis of 1698 population-based measurement studies with 19·2 million participants. </w:t>
      </w:r>
      <w:r w:rsidRPr="00935615">
        <w:rPr>
          <w:rFonts w:ascii="Arial" w:hAnsi="Arial" w:cs="Arial"/>
          <w:i/>
          <w:iCs/>
          <w:sz w:val="22"/>
          <w:szCs w:val="22"/>
        </w:rPr>
        <w:t>The Lancet</w:t>
      </w:r>
      <w:r w:rsidRPr="00935615">
        <w:rPr>
          <w:rFonts w:ascii="Arial" w:hAnsi="Arial" w:cs="Arial"/>
          <w:sz w:val="22"/>
          <w:szCs w:val="22"/>
        </w:rPr>
        <w:t xml:space="preserve"> </w:t>
      </w:r>
      <w:r w:rsidRPr="00935615">
        <w:rPr>
          <w:rFonts w:ascii="Arial" w:hAnsi="Arial" w:cs="Arial"/>
          <w:b/>
          <w:bCs/>
          <w:sz w:val="22"/>
          <w:szCs w:val="22"/>
        </w:rPr>
        <w:t>387</w:t>
      </w:r>
      <w:r w:rsidRPr="00935615">
        <w:rPr>
          <w:rFonts w:ascii="Arial" w:hAnsi="Arial" w:cs="Arial"/>
          <w:sz w:val="22"/>
          <w:szCs w:val="22"/>
        </w:rPr>
        <w:t>, 1377–1396 (2016).</w:t>
      </w:r>
    </w:p>
    <w:p w14:paraId="3D78B3F2"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38.</w:t>
      </w:r>
      <w:r w:rsidRPr="00935615">
        <w:rPr>
          <w:rFonts w:ascii="Arial" w:hAnsi="Arial" w:cs="Arial"/>
          <w:sz w:val="22"/>
          <w:szCs w:val="22"/>
        </w:rPr>
        <w:tab/>
        <w:t xml:space="preserve">Afshin, A., Micha, R., </w:t>
      </w:r>
      <w:proofErr w:type="spellStart"/>
      <w:r w:rsidRPr="00935615">
        <w:rPr>
          <w:rFonts w:ascii="Arial" w:hAnsi="Arial" w:cs="Arial"/>
          <w:sz w:val="22"/>
          <w:szCs w:val="22"/>
        </w:rPr>
        <w:t>Khatibzadeh</w:t>
      </w:r>
      <w:proofErr w:type="spellEnd"/>
      <w:r w:rsidRPr="00935615">
        <w:rPr>
          <w:rFonts w:ascii="Arial" w:hAnsi="Arial" w:cs="Arial"/>
          <w:sz w:val="22"/>
          <w:szCs w:val="22"/>
        </w:rPr>
        <w:t xml:space="preserve">, S. &amp; </w:t>
      </w:r>
      <w:proofErr w:type="spellStart"/>
      <w:r w:rsidRPr="00935615">
        <w:rPr>
          <w:rFonts w:ascii="Arial" w:hAnsi="Arial" w:cs="Arial"/>
          <w:sz w:val="22"/>
          <w:szCs w:val="22"/>
        </w:rPr>
        <w:t>Mozaffarian</w:t>
      </w:r>
      <w:proofErr w:type="spellEnd"/>
      <w:r w:rsidRPr="00935615">
        <w:rPr>
          <w:rFonts w:ascii="Arial" w:hAnsi="Arial" w:cs="Arial"/>
          <w:sz w:val="22"/>
          <w:szCs w:val="22"/>
        </w:rPr>
        <w:t xml:space="preserve">, D. Consumption of nuts and legumes and risk of incident ischemic heart disease, stroke, and diabetes: a systematic review and meta-analysis. </w:t>
      </w:r>
      <w:r w:rsidRPr="00935615">
        <w:rPr>
          <w:rFonts w:ascii="Arial" w:hAnsi="Arial" w:cs="Arial"/>
          <w:i/>
          <w:iCs/>
          <w:sz w:val="22"/>
          <w:szCs w:val="22"/>
        </w:rPr>
        <w:t>The American Journal of Clinical Nutrition</w:t>
      </w:r>
      <w:r w:rsidRPr="00935615">
        <w:rPr>
          <w:rFonts w:ascii="Arial" w:hAnsi="Arial" w:cs="Arial"/>
          <w:sz w:val="22"/>
          <w:szCs w:val="22"/>
        </w:rPr>
        <w:t xml:space="preserve"> ajcn.076901 (2014) doi:10.3945/ajcn.113.076901.</w:t>
      </w:r>
    </w:p>
    <w:p w14:paraId="5A9C2EA4"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lastRenderedPageBreak/>
        <w:t>39.</w:t>
      </w:r>
      <w:r w:rsidRPr="00935615">
        <w:rPr>
          <w:rFonts w:ascii="Arial" w:hAnsi="Arial" w:cs="Arial"/>
          <w:sz w:val="22"/>
          <w:szCs w:val="22"/>
        </w:rPr>
        <w:tab/>
        <w:t xml:space="preserve">Aune, D. </w:t>
      </w:r>
      <w:r w:rsidRPr="00935615">
        <w:rPr>
          <w:rFonts w:ascii="Arial" w:hAnsi="Arial" w:cs="Arial"/>
          <w:i/>
          <w:iCs/>
          <w:sz w:val="22"/>
          <w:szCs w:val="22"/>
        </w:rPr>
        <w:t>et al.</w:t>
      </w:r>
      <w:r w:rsidRPr="00935615">
        <w:rPr>
          <w:rFonts w:ascii="Arial" w:hAnsi="Arial" w:cs="Arial"/>
          <w:sz w:val="22"/>
          <w:szCs w:val="22"/>
        </w:rPr>
        <w:t xml:space="preserve"> Nut consumption and risk of cardiovascular disease, total cancer, all-cause and cause-specific mortality: a systematic review and dose-response meta-analysis of prospective studies. </w:t>
      </w:r>
      <w:r w:rsidRPr="00935615">
        <w:rPr>
          <w:rFonts w:ascii="Arial" w:hAnsi="Arial" w:cs="Arial"/>
          <w:i/>
          <w:iCs/>
          <w:sz w:val="22"/>
          <w:szCs w:val="22"/>
        </w:rPr>
        <w:t>BMC medicine</w:t>
      </w:r>
      <w:r w:rsidRPr="00935615">
        <w:rPr>
          <w:rFonts w:ascii="Arial" w:hAnsi="Arial" w:cs="Arial"/>
          <w:sz w:val="22"/>
          <w:szCs w:val="22"/>
        </w:rPr>
        <w:t xml:space="preserve"> </w:t>
      </w:r>
      <w:r w:rsidRPr="00935615">
        <w:rPr>
          <w:rFonts w:ascii="Arial" w:hAnsi="Arial" w:cs="Arial"/>
          <w:b/>
          <w:bCs/>
          <w:sz w:val="22"/>
          <w:szCs w:val="22"/>
        </w:rPr>
        <w:t>14</w:t>
      </w:r>
      <w:r w:rsidRPr="00935615">
        <w:rPr>
          <w:rFonts w:ascii="Arial" w:hAnsi="Arial" w:cs="Arial"/>
          <w:sz w:val="22"/>
          <w:szCs w:val="22"/>
        </w:rPr>
        <w:t>, 207 (2016).</w:t>
      </w:r>
    </w:p>
    <w:p w14:paraId="34B640B7"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40.</w:t>
      </w:r>
      <w:r w:rsidRPr="00935615">
        <w:rPr>
          <w:rFonts w:ascii="Arial" w:hAnsi="Arial" w:cs="Arial"/>
          <w:sz w:val="22"/>
          <w:szCs w:val="22"/>
        </w:rPr>
        <w:tab/>
        <w:t xml:space="preserve">Aune, D. </w:t>
      </w:r>
      <w:r w:rsidRPr="00935615">
        <w:rPr>
          <w:rFonts w:ascii="Arial" w:hAnsi="Arial" w:cs="Arial"/>
          <w:i/>
          <w:iCs/>
          <w:sz w:val="22"/>
          <w:szCs w:val="22"/>
        </w:rPr>
        <w:t>et al.</w:t>
      </w:r>
      <w:r w:rsidRPr="00935615">
        <w:rPr>
          <w:rFonts w:ascii="Arial" w:hAnsi="Arial" w:cs="Arial"/>
          <w:sz w:val="22"/>
          <w:szCs w:val="22"/>
        </w:rPr>
        <w:t xml:space="preserve"> Fruit and vegetable intake and the risk of cardiovascular disease, total cancer and all-cause mortality–a systematic review and dose-response meta-analysis of prospective studies. </w:t>
      </w:r>
      <w:r w:rsidRPr="00935615">
        <w:rPr>
          <w:rFonts w:ascii="Arial" w:hAnsi="Arial" w:cs="Arial"/>
          <w:i/>
          <w:iCs/>
          <w:sz w:val="22"/>
          <w:szCs w:val="22"/>
        </w:rPr>
        <w:t>International Journal of Epidemiology</w:t>
      </w:r>
      <w:r w:rsidRPr="00935615">
        <w:rPr>
          <w:rFonts w:ascii="Arial" w:hAnsi="Arial" w:cs="Arial"/>
          <w:sz w:val="22"/>
          <w:szCs w:val="22"/>
        </w:rPr>
        <w:t xml:space="preserve"> (2016).</w:t>
      </w:r>
    </w:p>
    <w:p w14:paraId="4EDD7EFA"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41.</w:t>
      </w:r>
      <w:r w:rsidRPr="00935615">
        <w:rPr>
          <w:rFonts w:ascii="Arial" w:hAnsi="Arial" w:cs="Arial"/>
          <w:sz w:val="22"/>
          <w:szCs w:val="22"/>
        </w:rPr>
        <w:tab/>
      </w:r>
      <w:proofErr w:type="spellStart"/>
      <w:r w:rsidRPr="00935615">
        <w:rPr>
          <w:rFonts w:ascii="Arial" w:hAnsi="Arial" w:cs="Arial"/>
          <w:sz w:val="22"/>
          <w:szCs w:val="22"/>
        </w:rPr>
        <w:t>Bechthold</w:t>
      </w:r>
      <w:proofErr w:type="spellEnd"/>
      <w:r w:rsidRPr="00935615">
        <w:rPr>
          <w:rFonts w:ascii="Arial" w:hAnsi="Arial" w:cs="Arial"/>
          <w:sz w:val="22"/>
          <w:szCs w:val="22"/>
        </w:rPr>
        <w:t xml:space="preserve">, A. </w:t>
      </w:r>
      <w:r w:rsidRPr="00935615">
        <w:rPr>
          <w:rFonts w:ascii="Arial" w:hAnsi="Arial" w:cs="Arial"/>
          <w:i/>
          <w:iCs/>
          <w:sz w:val="22"/>
          <w:szCs w:val="22"/>
        </w:rPr>
        <w:t>et al.</w:t>
      </w:r>
      <w:r w:rsidRPr="00935615">
        <w:rPr>
          <w:rFonts w:ascii="Arial" w:hAnsi="Arial" w:cs="Arial"/>
          <w:sz w:val="22"/>
          <w:szCs w:val="22"/>
        </w:rPr>
        <w:t xml:space="preserve"> Food groups and risk of coronary heart disease, stroke and heart failure: A systematic review and dose-response meta-analysis of prospective studies. </w:t>
      </w:r>
      <w:r w:rsidRPr="00935615">
        <w:rPr>
          <w:rFonts w:ascii="Arial" w:hAnsi="Arial" w:cs="Arial"/>
          <w:i/>
          <w:iCs/>
          <w:sz w:val="22"/>
          <w:szCs w:val="22"/>
        </w:rPr>
        <w:t>Critical Reviews in Food Science and Nutrition</w:t>
      </w:r>
      <w:r w:rsidRPr="00935615">
        <w:rPr>
          <w:rFonts w:ascii="Arial" w:hAnsi="Arial" w:cs="Arial"/>
          <w:sz w:val="22"/>
          <w:szCs w:val="22"/>
        </w:rPr>
        <w:t xml:space="preserve"> </w:t>
      </w:r>
      <w:r w:rsidRPr="00935615">
        <w:rPr>
          <w:rFonts w:ascii="Arial" w:hAnsi="Arial" w:cs="Arial"/>
          <w:b/>
          <w:bCs/>
          <w:sz w:val="22"/>
          <w:szCs w:val="22"/>
        </w:rPr>
        <w:t>59</w:t>
      </w:r>
      <w:r w:rsidRPr="00935615">
        <w:rPr>
          <w:rFonts w:ascii="Arial" w:hAnsi="Arial" w:cs="Arial"/>
          <w:sz w:val="22"/>
          <w:szCs w:val="22"/>
        </w:rPr>
        <w:t>, 1071–1090 (2019).</w:t>
      </w:r>
    </w:p>
    <w:p w14:paraId="225D1623"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42.</w:t>
      </w:r>
      <w:r w:rsidRPr="00935615">
        <w:rPr>
          <w:rFonts w:ascii="Arial" w:hAnsi="Arial" w:cs="Arial"/>
          <w:sz w:val="22"/>
          <w:szCs w:val="22"/>
        </w:rPr>
        <w:tab/>
      </w:r>
      <w:proofErr w:type="spellStart"/>
      <w:r w:rsidRPr="00935615">
        <w:rPr>
          <w:rFonts w:ascii="Arial" w:hAnsi="Arial" w:cs="Arial"/>
          <w:sz w:val="22"/>
          <w:szCs w:val="22"/>
        </w:rPr>
        <w:t>Schwingshackl</w:t>
      </w:r>
      <w:proofErr w:type="spellEnd"/>
      <w:r w:rsidRPr="00935615">
        <w:rPr>
          <w:rFonts w:ascii="Arial" w:hAnsi="Arial" w:cs="Arial"/>
          <w:sz w:val="22"/>
          <w:szCs w:val="22"/>
        </w:rPr>
        <w:t xml:space="preserve">, L. </w:t>
      </w:r>
      <w:r w:rsidRPr="00935615">
        <w:rPr>
          <w:rFonts w:ascii="Arial" w:hAnsi="Arial" w:cs="Arial"/>
          <w:i/>
          <w:iCs/>
          <w:sz w:val="22"/>
          <w:szCs w:val="22"/>
        </w:rPr>
        <w:t>et al.</w:t>
      </w:r>
      <w:r w:rsidRPr="00935615">
        <w:rPr>
          <w:rFonts w:ascii="Arial" w:hAnsi="Arial" w:cs="Arial"/>
          <w:sz w:val="22"/>
          <w:szCs w:val="22"/>
        </w:rPr>
        <w:t xml:space="preserve"> Food groups and risk of type 2 diabetes mellitus: a systematic review and meta-analysis of prospective studies. </w:t>
      </w:r>
      <w:r w:rsidRPr="00935615">
        <w:rPr>
          <w:rFonts w:ascii="Arial" w:hAnsi="Arial" w:cs="Arial"/>
          <w:i/>
          <w:iCs/>
          <w:sz w:val="22"/>
          <w:szCs w:val="22"/>
        </w:rPr>
        <w:t>European Journal of Epidemiology</w:t>
      </w:r>
      <w:r w:rsidRPr="00935615">
        <w:rPr>
          <w:rFonts w:ascii="Arial" w:hAnsi="Arial" w:cs="Arial"/>
          <w:sz w:val="22"/>
          <w:szCs w:val="22"/>
        </w:rPr>
        <w:t xml:space="preserve"> </w:t>
      </w:r>
      <w:r w:rsidRPr="00935615">
        <w:rPr>
          <w:rFonts w:ascii="Arial" w:hAnsi="Arial" w:cs="Arial"/>
          <w:b/>
          <w:bCs/>
          <w:sz w:val="22"/>
          <w:szCs w:val="22"/>
        </w:rPr>
        <w:t>32</w:t>
      </w:r>
      <w:r w:rsidRPr="00935615">
        <w:rPr>
          <w:rFonts w:ascii="Arial" w:hAnsi="Arial" w:cs="Arial"/>
          <w:sz w:val="22"/>
          <w:szCs w:val="22"/>
        </w:rPr>
        <w:t>, 363–375 (2017).</w:t>
      </w:r>
    </w:p>
    <w:p w14:paraId="682703F8"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43.</w:t>
      </w:r>
      <w:r w:rsidRPr="00935615">
        <w:rPr>
          <w:rFonts w:ascii="Arial" w:hAnsi="Arial" w:cs="Arial"/>
          <w:sz w:val="22"/>
          <w:szCs w:val="22"/>
        </w:rPr>
        <w:tab/>
      </w:r>
      <w:proofErr w:type="spellStart"/>
      <w:r w:rsidRPr="00935615">
        <w:rPr>
          <w:rFonts w:ascii="Arial" w:hAnsi="Arial" w:cs="Arial"/>
          <w:sz w:val="22"/>
          <w:szCs w:val="22"/>
        </w:rPr>
        <w:t>Schwingshackl</w:t>
      </w:r>
      <w:proofErr w:type="spellEnd"/>
      <w:r w:rsidRPr="00935615">
        <w:rPr>
          <w:rFonts w:ascii="Arial" w:hAnsi="Arial" w:cs="Arial"/>
          <w:sz w:val="22"/>
          <w:szCs w:val="22"/>
        </w:rPr>
        <w:t xml:space="preserve">, L. </w:t>
      </w:r>
      <w:r w:rsidRPr="00935615">
        <w:rPr>
          <w:rFonts w:ascii="Arial" w:hAnsi="Arial" w:cs="Arial"/>
          <w:i/>
          <w:iCs/>
          <w:sz w:val="22"/>
          <w:szCs w:val="22"/>
        </w:rPr>
        <w:t>et al.</w:t>
      </w:r>
      <w:r w:rsidRPr="00935615">
        <w:rPr>
          <w:rFonts w:ascii="Arial" w:hAnsi="Arial" w:cs="Arial"/>
          <w:sz w:val="22"/>
          <w:szCs w:val="22"/>
        </w:rPr>
        <w:t xml:space="preserve"> Food groups and risk of colorectal cancer. </w:t>
      </w:r>
      <w:r w:rsidRPr="00935615">
        <w:rPr>
          <w:rFonts w:ascii="Arial" w:hAnsi="Arial" w:cs="Arial"/>
          <w:i/>
          <w:iCs/>
          <w:sz w:val="22"/>
          <w:szCs w:val="22"/>
        </w:rPr>
        <w:t>International Journal of Cancer</w:t>
      </w:r>
      <w:r w:rsidRPr="00935615">
        <w:rPr>
          <w:rFonts w:ascii="Arial" w:hAnsi="Arial" w:cs="Arial"/>
          <w:sz w:val="22"/>
          <w:szCs w:val="22"/>
        </w:rPr>
        <w:t xml:space="preserve"> </w:t>
      </w:r>
      <w:r w:rsidRPr="00935615">
        <w:rPr>
          <w:rFonts w:ascii="Arial" w:hAnsi="Arial" w:cs="Arial"/>
          <w:b/>
          <w:bCs/>
          <w:sz w:val="22"/>
          <w:szCs w:val="22"/>
        </w:rPr>
        <w:t>142</w:t>
      </w:r>
      <w:r w:rsidRPr="00935615">
        <w:rPr>
          <w:rFonts w:ascii="Arial" w:hAnsi="Arial" w:cs="Arial"/>
          <w:sz w:val="22"/>
          <w:szCs w:val="22"/>
        </w:rPr>
        <w:t>, 1748–1758 (2018).</w:t>
      </w:r>
    </w:p>
    <w:p w14:paraId="3BD03755"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44.</w:t>
      </w:r>
      <w:r w:rsidRPr="00935615">
        <w:rPr>
          <w:rFonts w:ascii="Arial" w:hAnsi="Arial" w:cs="Arial"/>
          <w:sz w:val="22"/>
          <w:szCs w:val="22"/>
        </w:rPr>
        <w:tab/>
        <w:t xml:space="preserve">Global BMI Mortality Collaboration, E. Di </w:t>
      </w:r>
      <w:r w:rsidRPr="00935615">
        <w:rPr>
          <w:rFonts w:ascii="Arial" w:hAnsi="Arial" w:cs="Arial"/>
          <w:i/>
          <w:iCs/>
          <w:sz w:val="22"/>
          <w:szCs w:val="22"/>
        </w:rPr>
        <w:t>et al.</w:t>
      </w:r>
      <w:r w:rsidRPr="00935615">
        <w:rPr>
          <w:rFonts w:ascii="Arial" w:hAnsi="Arial" w:cs="Arial"/>
          <w:sz w:val="22"/>
          <w:szCs w:val="22"/>
        </w:rPr>
        <w:t xml:space="preserve"> Body-mass index and all-cause mortality: individual-participant-data meta-analysis of 239 prospective studies in four continents. </w:t>
      </w:r>
      <w:r w:rsidRPr="00935615">
        <w:rPr>
          <w:rFonts w:ascii="Arial" w:hAnsi="Arial" w:cs="Arial"/>
          <w:i/>
          <w:iCs/>
          <w:sz w:val="22"/>
          <w:szCs w:val="22"/>
        </w:rPr>
        <w:t>Lancet (London, England)</w:t>
      </w:r>
      <w:r w:rsidRPr="00935615">
        <w:rPr>
          <w:rFonts w:ascii="Arial" w:hAnsi="Arial" w:cs="Arial"/>
          <w:sz w:val="22"/>
          <w:szCs w:val="22"/>
        </w:rPr>
        <w:t xml:space="preserve"> </w:t>
      </w:r>
      <w:r w:rsidRPr="00935615">
        <w:rPr>
          <w:rFonts w:ascii="Arial" w:hAnsi="Arial" w:cs="Arial"/>
          <w:b/>
          <w:bCs/>
          <w:sz w:val="22"/>
          <w:szCs w:val="22"/>
        </w:rPr>
        <w:t>388</w:t>
      </w:r>
      <w:r w:rsidRPr="00935615">
        <w:rPr>
          <w:rFonts w:ascii="Arial" w:hAnsi="Arial" w:cs="Arial"/>
          <w:sz w:val="22"/>
          <w:szCs w:val="22"/>
        </w:rPr>
        <w:t>, 776–86 (2016).</w:t>
      </w:r>
    </w:p>
    <w:p w14:paraId="3DE7837B"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45.</w:t>
      </w:r>
      <w:r w:rsidRPr="00935615">
        <w:rPr>
          <w:rFonts w:ascii="Arial" w:hAnsi="Arial" w:cs="Arial"/>
          <w:sz w:val="22"/>
          <w:szCs w:val="22"/>
        </w:rPr>
        <w:tab/>
        <w:t xml:space="preserve">Singh, G. M. </w:t>
      </w:r>
      <w:r w:rsidRPr="00935615">
        <w:rPr>
          <w:rFonts w:ascii="Arial" w:hAnsi="Arial" w:cs="Arial"/>
          <w:i/>
          <w:iCs/>
          <w:sz w:val="22"/>
          <w:szCs w:val="22"/>
        </w:rPr>
        <w:t>et al.</w:t>
      </w:r>
      <w:r w:rsidRPr="00935615">
        <w:rPr>
          <w:rFonts w:ascii="Arial" w:hAnsi="Arial" w:cs="Arial"/>
          <w:sz w:val="22"/>
          <w:szCs w:val="22"/>
        </w:rPr>
        <w:t xml:space="preserve"> The Age-Specific Quantitative Effects of Metabolic Risk Factors on Cardiovascular Diseases and Diabetes: A Pooled Analysis. </w:t>
      </w:r>
      <w:r w:rsidRPr="00935615">
        <w:rPr>
          <w:rFonts w:ascii="Arial" w:hAnsi="Arial" w:cs="Arial"/>
          <w:i/>
          <w:iCs/>
          <w:sz w:val="22"/>
          <w:szCs w:val="22"/>
        </w:rPr>
        <w:t>PLOS ONE</w:t>
      </w:r>
      <w:r w:rsidRPr="00935615">
        <w:rPr>
          <w:rFonts w:ascii="Arial" w:hAnsi="Arial" w:cs="Arial"/>
          <w:sz w:val="22"/>
          <w:szCs w:val="22"/>
        </w:rPr>
        <w:t xml:space="preserve"> </w:t>
      </w:r>
      <w:r w:rsidRPr="00935615">
        <w:rPr>
          <w:rFonts w:ascii="Arial" w:hAnsi="Arial" w:cs="Arial"/>
          <w:b/>
          <w:bCs/>
          <w:sz w:val="22"/>
          <w:szCs w:val="22"/>
        </w:rPr>
        <w:t>8</w:t>
      </w:r>
      <w:r w:rsidRPr="00935615">
        <w:rPr>
          <w:rFonts w:ascii="Arial" w:hAnsi="Arial" w:cs="Arial"/>
          <w:sz w:val="22"/>
          <w:szCs w:val="22"/>
        </w:rPr>
        <w:t>, e65174 (2013).</w:t>
      </w:r>
    </w:p>
    <w:p w14:paraId="75ABEA16"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46.</w:t>
      </w:r>
      <w:r w:rsidRPr="00935615">
        <w:rPr>
          <w:rFonts w:ascii="Arial" w:hAnsi="Arial" w:cs="Arial"/>
          <w:sz w:val="22"/>
          <w:szCs w:val="22"/>
        </w:rPr>
        <w:tab/>
        <w:t xml:space="preserve">Micha, R. </w:t>
      </w:r>
      <w:r w:rsidRPr="00935615">
        <w:rPr>
          <w:rFonts w:ascii="Arial" w:hAnsi="Arial" w:cs="Arial"/>
          <w:i/>
          <w:iCs/>
          <w:sz w:val="22"/>
          <w:szCs w:val="22"/>
        </w:rPr>
        <w:t>et al.</w:t>
      </w:r>
      <w:r w:rsidRPr="00935615">
        <w:rPr>
          <w:rFonts w:ascii="Arial" w:hAnsi="Arial" w:cs="Arial"/>
          <w:sz w:val="22"/>
          <w:szCs w:val="22"/>
        </w:rPr>
        <w:t xml:space="preserve"> Etiologic effects and optimal intakes of foods and nutrients for risk of cardiovascular diseases and diabetes: Systematic reviews and meta-analyses from the Nutrition and Chronic Diseases Expert Group (</w:t>
      </w:r>
      <w:proofErr w:type="spellStart"/>
      <w:r w:rsidRPr="00935615">
        <w:rPr>
          <w:rFonts w:ascii="Arial" w:hAnsi="Arial" w:cs="Arial"/>
          <w:sz w:val="22"/>
          <w:szCs w:val="22"/>
        </w:rPr>
        <w:t>NutriCoDE</w:t>
      </w:r>
      <w:proofErr w:type="spellEnd"/>
      <w:r w:rsidRPr="00935615">
        <w:rPr>
          <w:rFonts w:ascii="Arial" w:hAnsi="Arial" w:cs="Arial"/>
          <w:sz w:val="22"/>
          <w:szCs w:val="22"/>
        </w:rPr>
        <w:t xml:space="preserve">). </w:t>
      </w:r>
      <w:r w:rsidRPr="00935615">
        <w:rPr>
          <w:rFonts w:ascii="Arial" w:hAnsi="Arial" w:cs="Arial"/>
          <w:i/>
          <w:iCs/>
          <w:sz w:val="22"/>
          <w:szCs w:val="22"/>
        </w:rPr>
        <w:t>PLOS ONE</w:t>
      </w:r>
      <w:r w:rsidRPr="00935615">
        <w:rPr>
          <w:rFonts w:ascii="Arial" w:hAnsi="Arial" w:cs="Arial"/>
          <w:sz w:val="22"/>
          <w:szCs w:val="22"/>
        </w:rPr>
        <w:t xml:space="preserve"> </w:t>
      </w:r>
      <w:r w:rsidRPr="00935615">
        <w:rPr>
          <w:rFonts w:ascii="Arial" w:hAnsi="Arial" w:cs="Arial"/>
          <w:b/>
          <w:bCs/>
          <w:sz w:val="22"/>
          <w:szCs w:val="22"/>
        </w:rPr>
        <w:t>12</w:t>
      </w:r>
      <w:r w:rsidRPr="00935615">
        <w:rPr>
          <w:rFonts w:ascii="Arial" w:hAnsi="Arial" w:cs="Arial"/>
          <w:sz w:val="22"/>
          <w:szCs w:val="22"/>
        </w:rPr>
        <w:t>, e0175149 (2017).</w:t>
      </w:r>
    </w:p>
    <w:p w14:paraId="5F40371D"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47.</w:t>
      </w:r>
      <w:r w:rsidRPr="00935615">
        <w:rPr>
          <w:rFonts w:ascii="Arial" w:hAnsi="Arial" w:cs="Arial"/>
          <w:sz w:val="22"/>
          <w:szCs w:val="22"/>
        </w:rPr>
        <w:tab/>
        <w:t xml:space="preserve">GBD 2017 Diet Collaborators, A. </w:t>
      </w:r>
      <w:r w:rsidRPr="00935615">
        <w:rPr>
          <w:rFonts w:ascii="Arial" w:hAnsi="Arial" w:cs="Arial"/>
          <w:i/>
          <w:iCs/>
          <w:sz w:val="22"/>
          <w:szCs w:val="22"/>
        </w:rPr>
        <w:t>et al.</w:t>
      </w:r>
      <w:r w:rsidRPr="00935615">
        <w:rPr>
          <w:rFonts w:ascii="Arial" w:hAnsi="Arial" w:cs="Arial"/>
          <w:sz w:val="22"/>
          <w:szCs w:val="22"/>
        </w:rPr>
        <w:t xml:space="preserve"> Health effects of dietary risks in 195 countries, 1990-2017: a systematic analysis for the Global Burden of Disease Study 2017. </w:t>
      </w:r>
      <w:r w:rsidRPr="00935615">
        <w:rPr>
          <w:rFonts w:ascii="Arial" w:hAnsi="Arial" w:cs="Arial"/>
          <w:i/>
          <w:iCs/>
          <w:sz w:val="22"/>
          <w:szCs w:val="22"/>
        </w:rPr>
        <w:t>Lancet (London, England)</w:t>
      </w:r>
      <w:r w:rsidRPr="00935615">
        <w:rPr>
          <w:rFonts w:ascii="Arial" w:hAnsi="Arial" w:cs="Arial"/>
          <w:sz w:val="22"/>
          <w:szCs w:val="22"/>
        </w:rPr>
        <w:t xml:space="preserve"> </w:t>
      </w:r>
      <w:r w:rsidRPr="00935615">
        <w:rPr>
          <w:rFonts w:ascii="Arial" w:hAnsi="Arial" w:cs="Arial"/>
          <w:b/>
          <w:bCs/>
          <w:sz w:val="22"/>
          <w:szCs w:val="22"/>
        </w:rPr>
        <w:t>0</w:t>
      </w:r>
      <w:r w:rsidRPr="00935615">
        <w:rPr>
          <w:rFonts w:ascii="Arial" w:hAnsi="Arial" w:cs="Arial"/>
          <w:sz w:val="22"/>
          <w:szCs w:val="22"/>
        </w:rPr>
        <w:t>, (2019).</w:t>
      </w:r>
    </w:p>
    <w:p w14:paraId="3D8F4DBE"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48.</w:t>
      </w:r>
      <w:r w:rsidRPr="00935615">
        <w:rPr>
          <w:rFonts w:ascii="Arial" w:hAnsi="Arial" w:cs="Arial"/>
          <w:sz w:val="22"/>
          <w:szCs w:val="22"/>
        </w:rPr>
        <w:tab/>
      </w:r>
      <w:proofErr w:type="spellStart"/>
      <w:r w:rsidRPr="00935615">
        <w:rPr>
          <w:rFonts w:ascii="Arial" w:hAnsi="Arial" w:cs="Arial"/>
          <w:sz w:val="22"/>
          <w:szCs w:val="22"/>
        </w:rPr>
        <w:t>Schwingshackl</w:t>
      </w:r>
      <w:proofErr w:type="spellEnd"/>
      <w:r w:rsidRPr="00935615">
        <w:rPr>
          <w:rFonts w:ascii="Arial" w:hAnsi="Arial" w:cs="Arial"/>
          <w:sz w:val="22"/>
          <w:szCs w:val="22"/>
        </w:rPr>
        <w:t xml:space="preserve">, L. </w:t>
      </w:r>
      <w:r w:rsidRPr="00935615">
        <w:rPr>
          <w:rFonts w:ascii="Arial" w:hAnsi="Arial" w:cs="Arial"/>
          <w:i/>
          <w:iCs/>
          <w:sz w:val="22"/>
          <w:szCs w:val="22"/>
        </w:rPr>
        <w:t>et al.</w:t>
      </w:r>
      <w:r w:rsidRPr="00935615">
        <w:rPr>
          <w:rFonts w:ascii="Arial" w:hAnsi="Arial" w:cs="Arial"/>
          <w:sz w:val="22"/>
          <w:szCs w:val="22"/>
        </w:rPr>
        <w:t xml:space="preserve"> Perspective: </w:t>
      </w:r>
      <w:proofErr w:type="spellStart"/>
      <w:r w:rsidRPr="00935615">
        <w:rPr>
          <w:rFonts w:ascii="Arial" w:hAnsi="Arial" w:cs="Arial"/>
          <w:sz w:val="22"/>
          <w:szCs w:val="22"/>
        </w:rPr>
        <w:t>NutriGrade</w:t>
      </w:r>
      <w:proofErr w:type="spellEnd"/>
      <w:r w:rsidRPr="00935615">
        <w:rPr>
          <w:rFonts w:ascii="Arial" w:hAnsi="Arial" w:cs="Arial"/>
          <w:sz w:val="22"/>
          <w:szCs w:val="22"/>
        </w:rPr>
        <w:t xml:space="preserve">: A Scoring System to Assess and Judge the Meta-Evidence of Randomized Controlled Trials and Cohort Studies in Nutrition Research. </w:t>
      </w:r>
      <w:r w:rsidRPr="00935615">
        <w:rPr>
          <w:rFonts w:ascii="Arial" w:hAnsi="Arial" w:cs="Arial"/>
          <w:i/>
          <w:iCs/>
          <w:sz w:val="22"/>
          <w:szCs w:val="22"/>
        </w:rPr>
        <w:t>Advances in Nutrition: An International Review Journal</w:t>
      </w:r>
      <w:r w:rsidRPr="00935615">
        <w:rPr>
          <w:rFonts w:ascii="Arial" w:hAnsi="Arial" w:cs="Arial"/>
          <w:sz w:val="22"/>
          <w:szCs w:val="22"/>
        </w:rPr>
        <w:t xml:space="preserve"> </w:t>
      </w:r>
      <w:r w:rsidRPr="00935615">
        <w:rPr>
          <w:rFonts w:ascii="Arial" w:hAnsi="Arial" w:cs="Arial"/>
          <w:b/>
          <w:bCs/>
          <w:sz w:val="22"/>
          <w:szCs w:val="22"/>
        </w:rPr>
        <w:t>7</w:t>
      </w:r>
      <w:r w:rsidRPr="00935615">
        <w:rPr>
          <w:rFonts w:ascii="Arial" w:hAnsi="Arial" w:cs="Arial"/>
          <w:sz w:val="22"/>
          <w:szCs w:val="22"/>
        </w:rPr>
        <w:t>, 994–1004 (2016).</w:t>
      </w:r>
    </w:p>
    <w:p w14:paraId="3DA655AE"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49.</w:t>
      </w:r>
      <w:r w:rsidRPr="00935615">
        <w:rPr>
          <w:rFonts w:ascii="Arial" w:hAnsi="Arial" w:cs="Arial"/>
          <w:sz w:val="22"/>
          <w:szCs w:val="22"/>
        </w:rPr>
        <w:tab/>
        <w:t>World Cancer Research Fund/American Institute for Cancer Research. Diet, Nutrition, Physical Activity and Cancer: A Global Perspective. Continuous Update Project Expert Report. (2018).</w:t>
      </w:r>
    </w:p>
    <w:p w14:paraId="3131BE04"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50.</w:t>
      </w:r>
      <w:r w:rsidRPr="00935615">
        <w:rPr>
          <w:rFonts w:ascii="Arial" w:hAnsi="Arial" w:cs="Arial"/>
          <w:sz w:val="22"/>
          <w:szCs w:val="22"/>
        </w:rPr>
        <w:tab/>
        <w:t xml:space="preserve">Aune, D., </w:t>
      </w:r>
      <w:proofErr w:type="spellStart"/>
      <w:r w:rsidRPr="00935615">
        <w:rPr>
          <w:rFonts w:ascii="Arial" w:hAnsi="Arial" w:cs="Arial"/>
          <w:sz w:val="22"/>
          <w:szCs w:val="22"/>
        </w:rPr>
        <w:t>Norat</w:t>
      </w:r>
      <w:proofErr w:type="spellEnd"/>
      <w:r w:rsidRPr="00935615">
        <w:rPr>
          <w:rFonts w:ascii="Arial" w:hAnsi="Arial" w:cs="Arial"/>
          <w:sz w:val="22"/>
          <w:szCs w:val="22"/>
        </w:rPr>
        <w:t xml:space="preserve">, T., </w:t>
      </w:r>
      <w:proofErr w:type="spellStart"/>
      <w:r w:rsidRPr="00935615">
        <w:rPr>
          <w:rFonts w:ascii="Arial" w:hAnsi="Arial" w:cs="Arial"/>
          <w:sz w:val="22"/>
          <w:szCs w:val="22"/>
        </w:rPr>
        <w:t>Romundstad</w:t>
      </w:r>
      <w:proofErr w:type="spellEnd"/>
      <w:r w:rsidRPr="00935615">
        <w:rPr>
          <w:rFonts w:ascii="Arial" w:hAnsi="Arial" w:cs="Arial"/>
          <w:sz w:val="22"/>
          <w:szCs w:val="22"/>
        </w:rPr>
        <w:t xml:space="preserve">, P. &amp; </w:t>
      </w:r>
      <w:proofErr w:type="spellStart"/>
      <w:r w:rsidRPr="00935615">
        <w:rPr>
          <w:rFonts w:ascii="Arial" w:hAnsi="Arial" w:cs="Arial"/>
          <w:sz w:val="22"/>
          <w:szCs w:val="22"/>
        </w:rPr>
        <w:t>Vatten</w:t>
      </w:r>
      <w:proofErr w:type="spellEnd"/>
      <w:r w:rsidRPr="00935615">
        <w:rPr>
          <w:rFonts w:ascii="Arial" w:hAnsi="Arial" w:cs="Arial"/>
          <w:sz w:val="22"/>
          <w:szCs w:val="22"/>
        </w:rPr>
        <w:t xml:space="preserve">, L. J. Dairy products and the risk of type 2 diabetes: a systematic review and dose-response meta-analysis of cohort studies. </w:t>
      </w:r>
      <w:r w:rsidRPr="00935615">
        <w:rPr>
          <w:rFonts w:ascii="Arial" w:hAnsi="Arial" w:cs="Arial"/>
          <w:i/>
          <w:iCs/>
          <w:sz w:val="22"/>
          <w:szCs w:val="22"/>
        </w:rPr>
        <w:t>The American Journal of Clinical Nutrition</w:t>
      </w:r>
      <w:r w:rsidRPr="00935615">
        <w:rPr>
          <w:rFonts w:ascii="Arial" w:hAnsi="Arial" w:cs="Arial"/>
          <w:sz w:val="22"/>
          <w:szCs w:val="22"/>
        </w:rPr>
        <w:t xml:space="preserve"> </w:t>
      </w:r>
      <w:r w:rsidRPr="00935615">
        <w:rPr>
          <w:rFonts w:ascii="Arial" w:hAnsi="Arial" w:cs="Arial"/>
          <w:b/>
          <w:bCs/>
          <w:sz w:val="22"/>
          <w:szCs w:val="22"/>
        </w:rPr>
        <w:t>98</w:t>
      </w:r>
      <w:r w:rsidRPr="00935615">
        <w:rPr>
          <w:rFonts w:ascii="Arial" w:hAnsi="Arial" w:cs="Arial"/>
          <w:sz w:val="22"/>
          <w:szCs w:val="22"/>
        </w:rPr>
        <w:t>, 1066–1083 (2013).</w:t>
      </w:r>
    </w:p>
    <w:p w14:paraId="5C537612"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lastRenderedPageBreak/>
        <w:t>51.</w:t>
      </w:r>
      <w:r w:rsidRPr="00935615">
        <w:rPr>
          <w:rFonts w:ascii="Arial" w:hAnsi="Arial" w:cs="Arial"/>
          <w:sz w:val="22"/>
          <w:szCs w:val="22"/>
        </w:rPr>
        <w:tab/>
        <w:t xml:space="preserve">Aune, D. </w:t>
      </w:r>
      <w:r w:rsidRPr="00935615">
        <w:rPr>
          <w:rFonts w:ascii="Arial" w:hAnsi="Arial" w:cs="Arial"/>
          <w:i/>
          <w:iCs/>
          <w:sz w:val="22"/>
          <w:szCs w:val="22"/>
        </w:rPr>
        <w:t>et al.</w:t>
      </w:r>
      <w:r w:rsidRPr="00935615">
        <w:rPr>
          <w:rFonts w:ascii="Arial" w:hAnsi="Arial" w:cs="Arial"/>
          <w:sz w:val="22"/>
          <w:szCs w:val="22"/>
        </w:rPr>
        <w:t xml:space="preserve"> Dairy products and colorectal cancer risk: a systematic review and meta-analysis of cohort studies. </w:t>
      </w:r>
      <w:r w:rsidRPr="00935615">
        <w:rPr>
          <w:rFonts w:ascii="Arial" w:hAnsi="Arial" w:cs="Arial"/>
          <w:i/>
          <w:iCs/>
          <w:sz w:val="22"/>
          <w:szCs w:val="22"/>
        </w:rPr>
        <w:t>Annals of Oncology: Official Journal of the European Society for Medical Oncology</w:t>
      </w:r>
      <w:r w:rsidRPr="00935615">
        <w:rPr>
          <w:rFonts w:ascii="Arial" w:hAnsi="Arial" w:cs="Arial"/>
          <w:sz w:val="22"/>
          <w:szCs w:val="22"/>
        </w:rPr>
        <w:t xml:space="preserve"> </w:t>
      </w:r>
      <w:r w:rsidRPr="00935615">
        <w:rPr>
          <w:rFonts w:ascii="Arial" w:hAnsi="Arial" w:cs="Arial"/>
          <w:b/>
          <w:bCs/>
          <w:sz w:val="22"/>
          <w:szCs w:val="22"/>
        </w:rPr>
        <w:t>23</w:t>
      </w:r>
      <w:r w:rsidRPr="00935615">
        <w:rPr>
          <w:rFonts w:ascii="Arial" w:hAnsi="Arial" w:cs="Arial"/>
          <w:sz w:val="22"/>
          <w:szCs w:val="22"/>
        </w:rPr>
        <w:t>, 37–45 (2012).</w:t>
      </w:r>
    </w:p>
    <w:p w14:paraId="08E5697C"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52.</w:t>
      </w:r>
      <w:r w:rsidRPr="00935615">
        <w:rPr>
          <w:rFonts w:ascii="Arial" w:hAnsi="Arial" w:cs="Arial"/>
          <w:sz w:val="22"/>
          <w:szCs w:val="22"/>
        </w:rPr>
        <w:tab/>
        <w:t xml:space="preserve">Mohan, D. </w:t>
      </w:r>
      <w:r w:rsidRPr="00935615">
        <w:rPr>
          <w:rFonts w:ascii="Arial" w:hAnsi="Arial" w:cs="Arial"/>
          <w:i/>
          <w:iCs/>
          <w:sz w:val="22"/>
          <w:szCs w:val="22"/>
        </w:rPr>
        <w:t>et al.</w:t>
      </w:r>
      <w:r w:rsidRPr="00935615">
        <w:rPr>
          <w:rFonts w:ascii="Arial" w:hAnsi="Arial" w:cs="Arial"/>
          <w:sz w:val="22"/>
          <w:szCs w:val="22"/>
        </w:rPr>
        <w:t xml:space="preserve"> Associations of Fish Consumption With Risk of Cardiovascular Disease and Mortality Among Individuals With or Without Vascular Disease From 58 Countries. </w:t>
      </w:r>
      <w:r w:rsidRPr="00935615">
        <w:rPr>
          <w:rFonts w:ascii="Arial" w:hAnsi="Arial" w:cs="Arial"/>
          <w:i/>
          <w:iCs/>
          <w:sz w:val="22"/>
          <w:szCs w:val="22"/>
        </w:rPr>
        <w:t>JAMA Internal Medicine</w:t>
      </w:r>
      <w:r w:rsidRPr="00935615">
        <w:rPr>
          <w:rFonts w:ascii="Arial" w:hAnsi="Arial" w:cs="Arial"/>
          <w:sz w:val="22"/>
          <w:szCs w:val="22"/>
        </w:rPr>
        <w:t xml:space="preserve"> (2021) doi:10.1001/jamainternmed.2021.0036.</w:t>
      </w:r>
    </w:p>
    <w:p w14:paraId="640C5E76"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53.</w:t>
      </w:r>
      <w:r w:rsidRPr="00935615">
        <w:rPr>
          <w:rFonts w:ascii="Arial" w:hAnsi="Arial" w:cs="Arial"/>
          <w:sz w:val="22"/>
          <w:szCs w:val="22"/>
        </w:rPr>
        <w:tab/>
        <w:t xml:space="preserve">Aune, D. </w:t>
      </w:r>
      <w:r w:rsidRPr="00935615">
        <w:rPr>
          <w:rFonts w:ascii="Arial" w:hAnsi="Arial" w:cs="Arial"/>
          <w:i/>
          <w:iCs/>
          <w:sz w:val="22"/>
          <w:szCs w:val="22"/>
        </w:rPr>
        <w:t>et al.</w:t>
      </w:r>
      <w:r w:rsidRPr="00935615">
        <w:rPr>
          <w:rFonts w:ascii="Arial" w:hAnsi="Arial" w:cs="Arial"/>
          <w:sz w:val="22"/>
          <w:szCs w:val="22"/>
        </w:rPr>
        <w:t xml:space="preserve"> Fruit and vegetable intake and the risk of cardiovascular disease, total cancer and all-cause mortality—a systematic review and dose-response meta-analysis of prospective studies. </w:t>
      </w:r>
      <w:r w:rsidRPr="00935615">
        <w:rPr>
          <w:rFonts w:ascii="Arial" w:hAnsi="Arial" w:cs="Arial"/>
          <w:i/>
          <w:iCs/>
          <w:sz w:val="22"/>
          <w:szCs w:val="22"/>
        </w:rPr>
        <w:t>International Journal of Epidemiology</w:t>
      </w:r>
      <w:r w:rsidRPr="00935615">
        <w:rPr>
          <w:rFonts w:ascii="Arial" w:hAnsi="Arial" w:cs="Arial"/>
          <w:sz w:val="22"/>
          <w:szCs w:val="22"/>
        </w:rPr>
        <w:t xml:space="preserve"> </w:t>
      </w:r>
      <w:r w:rsidRPr="00935615">
        <w:rPr>
          <w:rFonts w:ascii="Arial" w:hAnsi="Arial" w:cs="Arial"/>
          <w:b/>
          <w:bCs/>
          <w:sz w:val="22"/>
          <w:szCs w:val="22"/>
        </w:rPr>
        <w:t>46</w:t>
      </w:r>
      <w:r w:rsidRPr="00935615">
        <w:rPr>
          <w:rFonts w:ascii="Arial" w:hAnsi="Arial" w:cs="Arial"/>
          <w:sz w:val="22"/>
          <w:szCs w:val="22"/>
        </w:rPr>
        <w:t>, 1029–1056 (2017).</w:t>
      </w:r>
    </w:p>
    <w:p w14:paraId="4990B959"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54.</w:t>
      </w:r>
      <w:r w:rsidRPr="00935615">
        <w:rPr>
          <w:rFonts w:ascii="Arial" w:hAnsi="Arial" w:cs="Arial"/>
          <w:sz w:val="22"/>
          <w:szCs w:val="22"/>
        </w:rPr>
        <w:tab/>
        <w:t xml:space="preserve">Poore, J. &amp; </w:t>
      </w:r>
      <w:proofErr w:type="spellStart"/>
      <w:r w:rsidRPr="00935615">
        <w:rPr>
          <w:rFonts w:ascii="Arial" w:hAnsi="Arial" w:cs="Arial"/>
          <w:sz w:val="22"/>
          <w:szCs w:val="22"/>
        </w:rPr>
        <w:t>Nemecek</w:t>
      </w:r>
      <w:proofErr w:type="spellEnd"/>
      <w:r w:rsidRPr="00935615">
        <w:rPr>
          <w:rFonts w:ascii="Arial" w:hAnsi="Arial" w:cs="Arial"/>
          <w:sz w:val="22"/>
          <w:szCs w:val="22"/>
        </w:rPr>
        <w:t xml:space="preserve">, T. Reducing food’s environmental impacts through producers and consumers. </w:t>
      </w:r>
      <w:r w:rsidRPr="00935615">
        <w:rPr>
          <w:rFonts w:ascii="Arial" w:hAnsi="Arial" w:cs="Arial"/>
          <w:i/>
          <w:iCs/>
          <w:sz w:val="22"/>
          <w:szCs w:val="22"/>
        </w:rPr>
        <w:t>Science</w:t>
      </w:r>
      <w:r w:rsidRPr="00935615">
        <w:rPr>
          <w:rFonts w:ascii="Arial" w:hAnsi="Arial" w:cs="Arial"/>
          <w:sz w:val="22"/>
          <w:szCs w:val="22"/>
        </w:rPr>
        <w:t xml:space="preserve"> </w:t>
      </w:r>
      <w:r w:rsidRPr="00935615">
        <w:rPr>
          <w:rFonts w:ascii="Arial" w:hAnsi="Arial" w:cs="Arial"/>
          <w:b/>
          <w:bCs/>
          <w:sz w:val="22"/>
          <w:szCs w:val="22"/>
        </w:rPr>
        <w:t>360</w:t>
      </w:r>
      <w:r w:rsidRPr="00935615">
        <w:rPr>
          <w:rFonts w:ascii="Arial" w:hAnsi="Arial" w:cs="Arial"/>
          <w:sz w:val="22"/>
          <w:szCs w:val="22"/>
        </w:rPr>
        <w:t>, 987–992 (2018).</w:t>
      </w:r>
    </w:p>
    <w:p w14:paraId="50235510" w14:textId="77777777" w:rsidR="00935615" w:rsidRPr="00935615" w:rsidRDefault="00935615" w:rsidP="00FC0B1B">
      <w:pPr>
        <w:pStyle w:val="Bibliography"/>
        <w:spacing w:line="360" w:lineRule="auto"/>
        <w:rPr>
          <w:rFonts w:ascii="Arial" w:hAnsi="Arial" w:cs="Arial"/>
          <w:sz w:val="22"/>
          <w:szCs w:val="22"/>
        </w:rPr>
      </w:pPr>
      <w:r w:rsidRPr="00935615">
        <w:rPr>
          <w:rFonts w:ascii="Arial" w:hAnsi="Arial" w:cs="Arial"/>
          <w:sz w:val="22"/>
          <w:szCs w:val="22"/>
        </w:rPr>
        <w:t>55.</w:t>
      </w:r>
      <w:r w:rsidRPr="00935615">
        <w:rPr>
          <w:rFonts w:ascii="Arial" w:hAnsi="Arial" w:cs="Arial"/>
          <w:sz w:val="22"/>
          <w:szCs w:val="22"/>
        </w:rPr>
        <w:tab/>
        <w:t xml:space="preserve">Springmann, M. </w:t>
      </w:r>
      <w:r w:rsidRPr="00935615">
        <w:rPr>
          <w:rFonts w:ascii="Arial" w:hAnsi="Arial" w:cs="Arial"/>
          <w:i/>
          <w:iCs/>
          <w:sz w:val="22"/>
          <w:szCs w:val="22"/>
        </w:rPr>
        <w:t>et al.</w:t>
      </w:r>
      <w:r w:rsidRPr="00935615">
        <w:rPr>
          <w:rFonts w:ascii="Arial" w:hAnsi="Arial" w:cs="Arial"/>
          <w:sz w:val="22"/>
          <w:szCs w:val="22"/>
        </w:rPr>
        <w:t xml:space="preserve"> Options for keeping the food system within environmental limits. </w:t>
      </w:r>
      <w:r w:rsidRPr="00935615">
        <w:rPr>
          <w:rFonts w:ascii="Arial" w:hAnsi="Arial" w:cs="Arial"/>
          <w:i/>
          <w:iCs/>
          <w:sz w:val="22"/>
          <w:szCs w:val="22"/>
        </w:rPr>
        <w:t>Nature</w:t>
      </w:r>
      <w:r w:rsidRPr="00935615">
        <w:rPr>
          <w:rFonts w:ascii="Arial" w:hAnsi="Arial" w:cs="Arial"/>
          <w:sz w:val="22"/>
          <w:szCs w:val="22"/>
        </w:rPr>
        <w:t xml:space="preserve"> </w:t>
      </w:r>
      <w:r w:rsidRPr="00935615">
        <w:rPr>
          <w:rFonts w:ascii="Arial" w:hAnsi="Arial" w:cs="Arial"/>
          <w:b/>
          <w:bCs/>
          <w:sz w:val="22"/>
          <w:szCs w:val="22"/>
        </w:rPr>
        <w:t>562</w:t>
      </w:r>
      <w:r w:rsidRPr="00935615">
        <w:rPr>
          <w:rFonts w:ascii="Arial" w:hAnsi="Arial" w:cs="Arial"/>
          <w:sz w:val="22"/>
          <w:szCs w:val="22"/>
        </w:rPr>
        <w:t>, 519–525 (2018).</w:t>
      </w:r>
    </w:p>
    <w:p w14:paraId="2D79D516" w14:textId="1E0189EE" w:rsidR="002B6A64" w:rsidRPr="009664B1" w:rsidRDefault="002B6A64" w:rsidP="00FC0B1B">
      <w:pPr>
        <w:spacing w:line="360" w:lineRule="auto"/>
        <w:rPr>
          <w:rFonts w:ascii="Arial" w:hAnsi="Arial" w:cs="Arial"/>
          <w:sz w:val="22"/>
          <w:szCs w:val="22"/>
        </w:rPr>
      </w:pPr>
      <w:r w:rsidRPr="00CB2ACA">
        <w:rPr>
          <w:rFonts w:ascii="Arial" w:hAnsi="Arial" w:cs="Arial"/>
          <w:sz w:val="22"/>
          <w:szCs w:val="22"/>
        </w:rPr>
        <w:fldChar w:fldCharType="end"/>
      </w:r>
    </w:p>
    <w:sectPr w:rsidR="002B6A64" w:rsidRPr="009664B1">
      <w:footerReference w:type="even"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743F0" w14:textId="77777777" w:rsidR="003E0162" w:rsidRDefault="003E0162" w:rsidP="00FC0B1B">
      <w:r>
        <w:separator/>
      </w:r>
    </w:p>
  </w:endnote>
  <w:endnote w:type="continuationSeparator" w:id="0">
    <w:p w14:paraId="060CF98C" w14:textId="77777777" w:rsidR="003E0162" w:rsidRDefault="003E0162" w:rsidP="00FC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7328881"/>
      <w:docPartObj>
        <w:docPartGallery w:val="Page Numbers (Bottom of Page)"/>
        <w:docPartUnique/>
      </w:docPartObj>
    </w:sdtPr>
    <w:sdtContent>
      <w:p w14:paraId="77C3E3C8" w14:textId="5F3A79E0" w:rsidR="00FC0B1B" w:rsidRDefault="00FC0B1B" w:rsidP="004E22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C0C7F5" w14:textId="77777777" w:rsidR="00FC0B1B" w:rsidRDefault="00FC0B1B" w:rsidP="00FC0B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22"/>
        <w:szCs w:val="22"/>
      </w:rPr>
      <w:id w:val="575861909"/>
      <w:docPartObj>
        <w:docPartGallery w:val="Page Numbers (Bottom of Page)"/>
        <w:docPartUnique/>
      </w:docPartObj>
    </w:sdtPr>
    <w:sdtContent>
      <w:p w14:paraId="365677F9" w14:textId="0D3057C7" w:rsidR="00FC0B1B" w:rsidRPr="00FC0B1B" w:rsidRDefault="00FC0B1B" w:rsidP="004E22B2">
        <w:pPr>
          <w:pStyle w:val="Footer"/>
          <w:framePr w:wrap="none" w:vAnchor="text" w:hAnchor="margin" w:xAlign="right" w:y="1"/>
          <w:rPr>
            <w:rStyle w:val="PageNumber"/>
            <w:rFonts w:ascii="Arial" w:hAnsi="Arial" w:cs="Arial"/>
            <w:sz w:val="22"/>
            <w:szCs w:val="22"/>
          </w:rPr>
        </w:pPr>
        <w:r w:rsidRPr="00FC0B1B">
          <w:rPr>
            <w:rStyle w:val="PageNumber"/>
            <w:rFonts w:ascii="Arial" w:hAnsi="Arial" w:cs="Arial"/>
            <w:sz w:val="22"/>
            <w:szCs w:val="22"/>
          </w:rPr>
          <w:fldChar w:fldCharType="begin"/>
        </w:r>
        <w:r w:rsidRPr="00FC0B1B">
          <w:rPr>
            <w:rStyle w:val="PageNumber"/>
            <w:rFonts w:ascii="Arial" w:hAnsi="Arial" w:cs="Arial"/>
            <w:sz w:val="22"/>
            <w:szCs w:val="22"/>
          </w:rPr>
          <w:instrText xml:space="preserve"> PAGE </w:instrText>
        </w:r>
        <w:r w:rsidRPr="00FC0B1B">
          <w:rPr>
            <w:rStyle w:val="PageNumber"/>
            <w:rFonts w:ascii="Arial" w:hAnsi="Arial" w:cs="Arial"/>
            <w:sz w:val="22"/>
            <w:szCs w:val="22"/>
          </w:rPr>
          <w:fldChar w:fldCharType="separate"/>
        </w:r>
        <w:r w:rsidRPr="00FC0B1B">
          <w:rPr>
            <w:rStyle w:val="PageNumber"/>
            <w:rFonts w:ascii="Arial" w:hAnsi="Arial" w:cs="Arial"/>
            <w:noProof/>
            <w:sz w:val="22"/>
            <w:szCs w:val="22"/>
          </w:rPr>
          <w:t>1</w:t>
        </w:r>
        <w:r w:rsidRPr="00FC0B1B">
          <w:rPr>
            <w:rStyle w:val="PageNumber"/>
            <w:rFonts w:ascii="Arial" w:hAnsi="Arial" w:cs="Arial"/>
            <w:sz w:val="22"/>
            <w:szCs w:val="22"/>
          </w:rPr>
          <w:fldChar w:fldCharType="end"/>
        </w:r>
      </w:p>
    </w:sdtContent>
  </w:sdt>
  <w:p w14:paraId="4E6290B6" w14:textId="77777777" w:rsidR="00FC0B1B" w:rsidRPr="00FC0B1B" w:rsidRDefault="00FC0B1B" w:rsidP="00FC0B1B">
    <w:pPr>
      <w:pStyle w:val="Footer"/>
      <w:ind w:right="360"/>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5705B" w14:textId="77777777" w:rsidR="003E0162" w:rsidRDefault="003E0162" w:rsidP="00FC0B1B">
      <w:r>
        <w:separator/>
      </w:r>
    </w:p>
  </w:footnote>
  <w:footnote w:type="continuationSeparator" w:id="0">
    <w:p w14:paraId="165F1EF5" w14:textId="77777777" w:rsidR="003E0162" w:rsidRDefault="003E0162" w:rsidP="00FC0B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C39CE"/>
    <w:multiLevelType w:val="hybridMultilevel"/>
    <w:tmpl w:val="CB169E5C"/>
    <w:lvl w:ilvl="0" w:tplc="D99CD0FA">
      <w:start w:val="1"/>
      <w:numFmt w:val="bullet"/>
      <w:lvlText w:val="•"/>
      <w:lvlJc w:val="left"/>
      <w:pPr>
        <w:tabs>
          <w:tab w:val="num" w:pos="720"/>
        </w:tabs>
        <w:ind w:left="720" w:hanging="360"/>
      </w:pPr>
      <w:rPr>
        <w:rFonts w:ascii="Arial" w:hAnsi="Arial" w:hint="default"/>
      </w:rPr>
    </w:lvl>
    <w:lvl w:ilvl="1" w:tplc="BB401A8E" w:tentative="1">
      <w:start w:val="1"/>
      <w:numFmt w:val="bullet"/>
      <w:lvlText w:val="•"/>
      <w:lvlJc w:val="left"/>
      <w:pPr>
        <w:tabs>
          <w:tab w:val="num" w:pos="1440"/>
        </w:tabs>
        <w:ind w:left="1440" w:hanging="360"/>
      </w:pPr>
      <w:rPr>
        <w:rFonts w:ascii="Arial" w:hAnsi="Arial" w:hint="default"/>
      </w:rPr>
    </w:lvl>
    <w:lvl w:ilvl="2" w:tplc="2182D9B6" w:tentative="1">
      <w:start w:val="1"/>
      <w:numFmt w:val="bullet"/>
      <w:lvlText w:val="•"/>
      <w:lvlJc w:val="left"/>
      <w:pPr>
        <w:tabs>
          <w:tab w:val="num" w:pos="2160"/>
        </w:tabs>
        <w:ind w:left="2160" w:hanging="360"/>
      </w:pPr>
      <w:rPr>
        <w:rFonts w:ascii="Arial" w:hAnsi="Arial" w:hint="default"/>
      </w:rPr>
    </w:lvl>
    <w:lvl w:ilvl="3" w:tplc="AE6849F6" w:tentative="1">
      <w:start w:val="1"/>
      <w:numFmt w:val="bullet"/>
      <w:lvlText w:val="•"/>
      <w:lvlJc w:val="left"/>
      <w:pPr>
        <w:tabs>
          <w:tab w:val="num" w:pos="2880"/>
        </w:tabs>
        <w:ind w:left="2880" w:hanging="360"/>
      </w:pPr>
      <w:rPr>
        <w:rFonts w:ascii="Arial" w:hAnsi="Arial" w:hint="default"/>
      </w:rPr>
    </w:lvl>
    <w:lvl w:ilvl="4" w:tplc="B0FA1232" w:tentative="1">
      <w:start w:val="1"/>
      <w:numFmt w:val="bullet"/>
      <w:lvlText w:val="•"/>
      <w:lvlJc w:val="left"/>
      <w:pPr>
        <w:tabs>
          <w:tab w:val="num" w:pos="3600"/>
        </w:tabs>
        <w:ind w:left="3600" w:hanging="360"/>
      </w:pPr>
      <w:rPr>
        <w:rFonts w:ascii="Arial" w:hAnsi="Arial" w:hint="default"/>
      </w:rPr>
    </w:lvl>
    <w:lvl w:ilvl="5" w:tplc="7050222C" w:tentative="1">
      <w:start w:val="1"/>
      <w:numFmt w:val="bullet"/>
      <w:lvlText w:val="•"/>
      <w:lvlJc w:val="left"/>
      <w:pPr>
        <w:tabs>
          <w:tab w:val="num" w:pos="4320"/>
        </w:tabs>
        <w:ind w:left="4320" w:hanging="360"/>
      </w:pPr>
      <w:rPr>
        <w:rFonts w:ascii="Arial" w:hAnsi="Arial" w:hint="default"/>
      </w:rPr>
    </w:lvl>
    <w:lvl w:ilvl="6" w:tplc="4282EDC6" w:tentative="1">
      <w:start w:val="1"/>
      <w:numFmt w:val="bullet"/>
      <w:lvlText w:val="•"/>
      <w:lvlJc w:val="left"/>
      <w:pPr>
        <w:tabs>
          <w:tab w:val="num" w:pos="5040"/>
        </w:tabs>
        <w:ind w:left="5040" w:hanging="360"/>
      </w:pPr>
      <w:rPr>
        <w:rFonts w:ascii="Arial" w:hAnsi="Arial" w:hint="default"/>
      </w:rPr>
    </w:lvl>
    <w:lvl w:ilvl="7" w:tplc="687E4464" w:tentative="1">
      <w:start w:val="1"/>
      <w:numFmt w:val="bullet"/>
      <w:lvlText w:val="•"/>
      <w:lvlJc w:val="left"/>
      <w:pPr>
        <w:tabs>
          <w:tab w:val="num" w:pos="5760"/>
        </w:tabs>
        <w:ind w:left="5760" w:hanging="360"/>
      </w:pPr>
      <w:rPr>
        <w:rFonts w:ascii="Arial" w:hAnsi="Arial" w:hint="default"/>
      </w:rPr>
    </w:lvl>
    <w:lvl w:ilvl="8" w:tplc="244866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B7A6E3D"/>
    <w:multiLevelType w:val="hybridMultilevel"/>
    <w:tmpl w:val="F176EAC0"/>
    <w:lvl w:ilvl="0" w:tplc="4618913C">
      <w:start w:val="1"/>
      <w:numFmt w:val="bullet"/>
      <w:lvlText w:val="•"/>
      <w:lvlJc w:val="left"/>
      <w:pPr>
        <w:tabs>
          <w:tab w:val="num" w:pos="720"/>
        </w:tabs>
        <w:ind w:left="720" w:hanging="360"/>
      </w:pPr>
      <w:rPr>
        <w:rFonts w:ascii="Arial" w:hAnsi="Arial" w:hint="default"/>
      </w:rPr>
    </w:lvl>
    <w:lvl w:ilvl="1" w:tplc="28AA6758" w:tentative="1">
      <w:start w:val="1"/>
      <w:numFmt w:val="bullet"/>
      <w:lvlText w:val="•"/>
      <w:lvlJc w:val="left"/>
      <w:pPr>
        <w:tabs>
          <w:tab w:val="num" w:pos="1440"/>
        </w:tabs>
        <w:ind w:left="1440" w:hanging="360"/>
      </w:pPr>
      <w:rPr>
        <w:rFonts w:ascii="Arial" w:hAnsi="Arial" w:hint="default"/>
      </w:rPr>
    </w:lvl>
    <w:lvl w:ilvl="2" w:tplc="2B56F08C" w:tentative="1">
      <w:start w:val="1"/>
      <w:numFmt w:val="bullet"/>
      <w:lvlText w:val="•"/>
      <w:lvlJc w:val="left"/>
      <w:pPr>
        <w:tabs>
          <w:tab w:val="num" w:pos="2160"/>
        </w:tabs>
        <w:ind w:left="2160" w:hanging="360"/>
      </w:pPr>
      <w:rPr>
        <w:rFonts w:ascii="Arial" w:hAnsi="Arial" w:hint="default"/>
      </w:rPr>
    </w:lvl>
    <w:lvl w:ilvl="3" w:tplc="D9AC4B56" w:tentative="1">
      <w:start w:val="1"/>
      <w:numFmt w:val="bullet"/>
      <w:lvlText w:val="•"/>
      <w:lvlJc w:val="left"/>
      <w:pPr>
        <w:tabs>
          <w:tab w:val="num" w:pos="2880"/>
        </w:tabs>
        <w:ind w:left="2880" w:hanging="360"/>
      </w:pPr>
      <w:rPr>
        <w:rFonts w:ascii="Arial" w:hAnsi="Arial" w:hint="default"/>
      </w:rPr>
    </w:lvl>
    <w:lvl w:ilvl="4" w:tplc="89DAE69C" w:tentative="1">
      <w:start w:val="1"/>
      <w:numFmt w:val="bullet"/>
      <w:lvlText w:val="•"/>
      <w:lvlJc w:val="left"/>
      <w:pPr>
        <w:tabs>
          <w:tab w:val="num" w:pos="3600"/>
        </w:tabs>
        <w:ind w:left="3600" w:hanging="360"/>
      </w:pPr>
      <w:rPr>
        <w:rFonts w:ascii="Arial" w:hAnsi="Arial" w:hint="default"/>
      </w:rPr>
    </w:lvl>
    <w:lvl w:ilvl="5" w:tplc="87404226" w:tentative="1">
      <w:start w:val="1"/>
      <w:numFmt w:val="bullet"/>
      <w:lvlText w:val="•"/>
      <w:lvlJc w:val="left"/>
      <w:pPr>
        <w:tabs>
          <w:tab w:val="num" w:pos="4320"/>
        </w:tabs>
        <w:ind w:left="4320" w:hanging="360"/>
      </w:pPr>
      <w:rPr>
        <w:rFonts w:ascii="Arial" w:hAnsi="Arial" w:hint="default"/>
      </w:rPr>
    </w:lvl>
    <w:lvl w:ilvl="6" w:tplc="0D0A7F26" w:tentative="1">
      <w:start w:val="1"/>
      <w:numFmt w:val="bullet"/>
      <w:lvlText w:val="•"/>
      <w:lvlJc w:val="left"/>
      <w:pPr>
        <w:tabs>
          <w:tab w:val="num" w:pos="5040"/>
        </w:tabs>
        <w:ind w:left="5040" w:hanging="360"/>
      </w:pPr>
      <w:rPr>
        <w:rFonts w:ascii="Arial" w:hAnsi="Arial" w:hint="default"/>
      </w:rPr>
    </w:lvl>
    <w:lvl w:ilvl="7" w:tplc="3CA62992" w:tentative="1">
      <w:start w:val="1"/>
      <w:numFmt w:val="bullet"/>
      <w:lvlText w:val="•"/>
      <w:lvlJc w:val="left"/>
      <w:pPr>
        <w:tabs>
          <w:tab w:val="num" w:pos="5760"/>
        </w:tabs>
        <w:ind w:left="5760" w:hanging="360"/>
      </w:pPr>
      <w:rPr>
        <w:rFonts w:ascii="Arial" w:hAnsi="Arial" w:hint="default"/>
      </w:rPr>
    </w:lvl>
    <w:lvl w:ilvl="8" w:tplc="46EC1B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BBE3182"/>
    <w:multiLevelType w:val="hybridMultilevel"/>
    <w:tmpl w:val="00CAA37C"/>
    <w:lvl w:ilvl="0" w:tplc="6D141A0A">
      <w:start w:val="1"/>
      <w:numFmt w:val="bullet"/>
      <w:lvlText w:val="•"/>
      <w:lvlJc w:val="left"/>
      <w:pPr>
        <w:tabs>
          <w:tab w:val="num" w:pos="720"/>
        </w:tabs>
        <w:ind w:left="720" w:hanging="360"/>
      </w:pPr>
      <w:rPr>
        <w:rFonts w:ascii="Arial" w:hAnsi="Arial" w:hint="default"/>
      </w:rPr>
    </w:lvl>
    <w:lvl w:ilvl="1" w:tplc="3C5C079C" w:tentative="1">
      <w:start w:val="1"/>
      <w:numFmt w:val="bullet"/>
      <w:lvlText w:val="•"/>
      <w:lvlJc w:val="left"/>
      <w:pPr>
        <w:tabs>
          <w:tab w:val="num" w:pos="1440"/>
        </w:tabs>
        <w:ind w:left="1440" w:hanging="360"/>
      </w:pPr>
      <w:rPr>
        <w:rFonts w:ascii="Arial" w:hAnsi="Arial" w:hint="default"/>
      </w:rPr>
    </w:lvl>
    <w:lvl w:ilvl="2" w:tplc="3F32CCA8" w:tentative="1">
      <w:start w:val="1"/>
      <w:numFmt w:val="bullet"/>
      <w:lvlText w:val="•"/>
      <w:lvlJc w:val="left"/>
      <w:pPr>
        <w:tabs>
          <w:tab w:val="num" w:pos="2160"/>
        </w:tabs>
        <w:ind w:left="2160" w:hanging="360"/>
      </w:pPr>
      <w:rPr>
        <w:rFonts w:ascii="Arial" w:hAnsi="Arial" w:hint="default"/>
      </w:rPr>
    </w:lvl>
    <w:lvl w:ilvl="3" w:tplc="BD88842E" w:tentative="1">
      <w:start w:val="1"/>
      <w:numFmt w:val="bullet"/>
      <w:lvlText w:val="•"/>
      <w:lvlJc w:val="left"/>
      <w:pPr>
        <w:tabs>
          <w:tab w:val="num" w:pos="2880"/>
        </w:tabs>
        <w:ind w:left="2880" w:hanging="360"/>
      </w:pPr>
      <w:rPr>
        <w:rFonts w:ascii="Arial" w:hAnsi="Arial" w:hint="default"/>
      </w:rPr>
    </w:lvl>
    <w:lvl w:ilvl="4" w:tplc="4D68EBE0" w:tentative="1">
      <w:start w:val="1"/>
      <w:numFmt w:val="bullet"/>
      <w:lvlText w:val="•"/>
      <w:lvlJc w:val="left"/>
      <w:pPr>
        <w:tabs>
          <w:tab w:val="num" w:pos="3600"/>
        </w:tabs>
        <w:ind w:left="3600" w:hanging="360"/>
      </w:pPr>
      <w:rPr>
        <w:rFonts w:ascii="Arial" w:hAnsi="Arial" w:hint="default"/>
      </w:rPr>
    </w:lvl>
    <w:lvl w:ilvl="5" w:tplc="77E29926" w:tentative="1">
      <w:start w:val="1"/>
      <w:numFmt w:val="bullet"/>
      <w:lvlText w:val="•"/>
      <w:lvlJc w:val="left"/>
      <w:pPr>
        <w:tabs>
          <w:tab w:val="num" w:pos="4320"/>
        </w:tabs>
        <w:ind w:left="4320" w:hanging="360"/>
      </w:pPr>
      <w:rPr>
        <w:rFonts w:ascii="Arial" w:hAnsi="Arial" w:hint="default"/>
      </w:rPr>
    </w:lvl>
    <w:lvl w:ilvl="6" w:tplc="BC76750C" w:tentative="1">
      <w:start w:val="1"/>
      <w:numFmt w:val="bullet"/>
      <w:lvlText w:val="•"/>
      <w:lvlJc w:val="left"/>
      <w:pPr>
        <w:tabs>
          <w:tab w:val="num" w:pos="5040"/>
        </w:tabs>
        <w:ind w:left="5040" w:hanging="360"/>
      </w:pPr>
      <w:rPr>
        <w:rFonts w:ascii="Arial" w:hAnsi="Arial" w:hint="default"/>
      </w:rPr>
    </w:lvl>
    <w:lvl w:ilvl="7" w:tplc="CEFAFCF6" w:tentative="1">
      <w:start w:val="1"/>
      <w:numFmt w:val="bullet"/>
      <w:lvlText w:val="•"/>
      <w:lvlJc w:val="left"/>
      <w:pPr>
        <w:tabs>
          <w:tab w:val="num" w:pos="5760"/>
        </w:tabs>
        <w:ind w:left="5760" w:hanging="360"/>
      </w:pPr>
      <w:rPr>
        <w:rFonts w:ascii="Arial" w:hAnsi="Arial" w:hint="default"/>
      </w:rPr>
    </w:lvl>
    <w:lvl w:ilvl="8" w:tplc="EDD839B8" w:tentative="1">
      <w:start w:val="1"/>
      <w:numFmt w:val="bullet"/>
      <w:lvlText w:val="•"/>
      <w:lvlJc w:val="left"/>
      <w:pPr>
        <w:tabs>
          <w:tab w:val="num" w:pos="6480"/>
        </w:tabs>
        <w:ind w:left="6480" w:hanging="360"/>
      </w:pPr>
      <w:rPr>
        <w:rFonts w:ascii="Arial" w:hAnsi="Arial" w:hint="default"/>
      </w:rPr>
    </w:lvl>
  </w:abstractNum>
  <w:num w:numId="1" w16cid:durableId="1474834060">
    <w:abstractNumId w:val="2"/>
  </w:num>
  <w:num w:numId="2" w16cid:durableId="570432122">
    <w:abstractNumId w:val="1"/>
  </w:num>
  <w:num w:numId="3" w16cid:durableId="1983189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69F"/>
    <w:rsid w:val="000329A5"/>
    <w:rsid w:val="000C11D7"/>
    <w:rsid w:val="000C2124"/>
    <w:rsid w:val="001371FA"/>
    <w:rsid w:val="001632F4"/>
    <w:rsid w:val="001873D1"/>
    <w:rsid w:val="00187AAC"/>
    <w:rsid w:val="00197734"/>
    <w:rsid w:val="001E2C97"/>
    <w:rsid w:val="00255A0F"/>
    <w:rsid w:val="00257E90"/>
    <w:rsid w:val="00275800"/>
    <w:rsid w:val="00292287"/>
    <w:rsid w:val="002B6A64"/>
    <w:rsid w:val="00337661"/>
    <w:rsid w:val="003653BF"/>
    <w:rsid w:val="003728DC"/>
    <w:rsid w:val="003C7C5A"/>
    <w:rsid w:val="003E0162"/>
    <w:rsid w:val="00403841"/>
    <w:rsid w:val="00403F3E"/>
    <w:rsid w:val="00420527"/>
    <w:rsid w:val="0043610E"/>
    <w:rsid w:val="00524C92"/>
    <w:rsid w:val="00553461"/>
    <w:rsid w:val="00565D6D"/>
    <w:rsid w:val="00580B4E"/>
    <w:rsid w:val="00585BF4"/>
    <w:rsid w:val="005B5243"/>
    <w:rsid w:val="00614336"/>
    <w:rsid w:val="006349F9"/>
    <w:rsid w:val="00657C25"/>
    <w:rsid w:val="00677741"/>
    <w:rsid w:val="00700DE6"/>
    <w:rsid w:val="00752705"/>
    <w:rsid w:val="007C20C1"/>
    <w:rsid w:val="00816B18"/>
    <w:rsid w:val="009204CB"/>
    <w:rsid w:val="0092113D"/>
    <w:rsid w:val="009260D1"/>
    <w:rsid w:val="00935615"/>
    <w:rsid w:val="00950C8A"/>
    <w:rsid w:val="00952437"/>
    <w:rsid w:val="0096198D"/>
    <w:rsid w:val="009664B1"/>
    <w:rsid w:val="00997066"/>
    <w:rsid w:val="009B60D8"/>
    <w:rsid w:val="009F550B"/>
    <w:rsid w:val="00A03D71"/>
    <w:rsid w:val="00A62B1D"/>
    <w:rsid w:val="00AD0764"/>
    <w:rsid w:val="00AD7809"/>
    <w:rsid w:val="00B00E85"/>
    <w:rsid w:val="00B50DD2"/>
    <w:rsid w:val="00B63ED9"/>
    <w:rsid w:val="00BB231B"/>
    <w:rsid w:val="00BD3CBB"/>
    <w:rsid w:val="00BE6923"/>
    <w:rsid w:val="00C55E93"/>
    <w:rsid w:val="00C6370C"/>
    <w:rsid w:val="00C84AFA"/>
    <w:rsid w:val="00CB2ACA"/>
    <w:rsid w:val="00D32C8B"/>
    <w:rsid w:val="00D35759"/>
    <w:rsid w:val="00D84C9D"/>
    <w:rsid w:val="00D961AB"/>
    <w:rsid w:val="00E146DC"/>
    <w:rsid w:val="00E341CD"/>
    <w:rsid w:val="00E67774"/>
    <w:rsid w:val="00E75A10"/>
    <w:rsid w:val="00E8669F"/>
    <w:rsid w:val="00ED316C"/>
    <w:rsid w:val="00F02106"/>
    <w:rsid w:val="00F24B65"/>
    <w:rsid w:val="00F537B3"/>
    <w:rsid w:val="00FC0B1B"/>
    <w:rsid w:val="00FF21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E188BD"/>
  <w15:chartTrackingRefBased/>
  <w15:docId w15:val="{0354F83F-B028-BC4E-A092-8127E23FF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3BF"/>
  </w:style>
  <w:style w:type="paragraph" w:styleId="Heading1">
    <w:name w:val="heading 1"/>
    <w:basedOn w:val="Normal"/>
    <w:next w:val="Normal"/>
    <w:link w:val="Heading1Char"/>
    <w:uiPriority w:val="9"/>
    <w:qFormat/>
    <w:rsid w:val="00E866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66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66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66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66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669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669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669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669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6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66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66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66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66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66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66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66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669F"/>
    <w:rPr>
      <w:rFonts w:eastAsiaTheme="majorEastAsia" w:cstheme="majorBidi"/>
      <w:color w:val="272727" w:themeColor="text1" w:themeTint="D8"/>
    </w:rPr>
  </w:style>
  <w:style w:type="paragraph" w:styleId="Title">
    <w:name w:val="Title"/>
    <w:basedOn w:val="Normal"/>
    <w:next w:val="Normal"/>
    <w:link w:val="TitleChar"/>
    <w:uiPriority w:val="10"/>
    <w:qFormat/>
    <w:rsid w:val="00E8669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66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669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66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669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8669F"/>
    <w:rPr>
      <w:i/>
      <w:iCs/>
      <w:color w:val="404040" w:themeColor="text1" w:themeTint="BF"/>
    </w:rPr>
  </w:style>
  <w:style w:type="paragraph" w:styleId="ListParagraph">
    <w:name w:val="List Paragraph"/>
    <w:basedOn w:val="Normal"/>
    <w:uiPriority w:val="34"/>
    <w:qFormat/>
    <w:rsid w:val="00E8669F"/>
    <w:pPr>
      <w:ind w:left="720"/>
      <w:contextualSpacing/>
    </w:pPr>
  </w:style>
  <w:style w:type="character" w:styleId="IntenseEmphasis">
    <w:name w:val="Intense Emphasis"/>
    <w:basedOn w:val="DefaultParagraphFont"/>
    <w:uiPriority w:val="21"/>
    <w:qFormat/>
    <w:rsid w:val="00E8669F"/>
    <w:rPr>
      <w:i/>
      <w:iCs/>
      <w:color w:val="0F4761" w:themeColor="accent1" w:themeShade="BF"/>
    </w:rPr>
  </w:style>
  <w:style w:type="paragraph" w:styleId="IntenseQuote">
    <w:name w:val="Intense Quote"/>
    <w:basedOn w:val="Normal"/>
    <w:next w:val="Normal"/>
    <w:link w:val="IntenseQuoteChar"/>
    <w:uiPriority w:val="30"/>
    <w:qFormat/>
    <w:rsid w:val="00E866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669F"/>
    <w:rPr>
      <w:i/>
      <w:iCs/>
      <w:color w:val="0F4761" w:themeColor="accent1" w:themeShade="BF"/>
    </w:rPr>
  </w:style>
  <w:style w:type="character" w:styleId="IntenseReference">
    <w:name w:val="Intense Reference"/>
    <w:basedOn w:val="DefaultParagraphFont"/>
    <w:uiPriority w:val="32"/>
    <w:qFormat/>
    <w:rsid w:val="00E8669F"/>
    <w:rPr>
      <w:b/>
      <w:bCs/>
      <w:smallCaps/>
      <w:color w:val="0F4761" w:themeColor="accent1" w:themeShade="BF"/>
      <w:spacing w:val="5"/>
    </w:rPr>
  </w:style>
  <w:style w:type="paragraph" w:styleId="Caption">
    <w:name w:val="caption"/>
    <w:basedOn w:val="Normal"/>
    <w:next w:val="Normal"/>
    <w:link w:val="CaptionChar"/>
    <w:autoRedefine/>
    <w:uiPriority w:val="35"/>
    <w:unhideWhenUsed/>
    <w:qFormat/>
    <w:rsid w:val="003653BF"/>
    <w:pPr>
      <w:spacing w:after="200" w:line="360" w:lineRule="auto"/>
    </w:pPr>
    <w:rPr>
      <w:i/>
      <w:iCs/>
      <w:color w:val="0E2841" w:themeColor="text2"/>
      <w:kern w:val="0"/>
      <w:sz w:val="22"/>
      <w:szCs w:val="22"/>
      <w14:ligatures w14:val="none"/>
    </w:rPr>
  </w:style>
  <w:style w:type="character" w:customStyle="1" w:styleId="CaptionChar">
    <w:name w:val="Caption Char"/>
    <w:basedOn w:val="DefaultParagraphFont"/>
    <w:link w:val="Caption"/>
    <w:uiPriority w:val="35"/>
    <w:rsid w:val="003653BF"/>
    <w:rPr>
      <w:i/>
      <w:iCs/>
      <w:color w:val="0E2841" w:themeColor="text2"/>
      <w:kern w:val="0"/>
      <w:sz w:val="22"/>
      <w:szCs w:val="22"/>
      <w14:ligatures w14:val="none"/>
    </w:rPr>
  </w:style>
  <w:style w:type="paragraph" w:styleId="NoSpacing">
    <w:name w:val="No Spacing"/>
    <w:link w:val="NoSpacingChar"/>
    <w:uiPriority w:val="1"/>
    <w:qFormat/>
    <w:rsid w:val="003653BF"/>
    <w:rPr>
      <w:kern w:val="0"/>
      <w:sz w:val="22"/>
      <w:szCs w:val="22"/>
      <w14:ligatures w14:val="none"/>
    </w:rPr>
  </w:style>
  <w:style w:type="character" w:customStyle="1" w:styleId="NoSpacingChar">
    <w:name w:val="No Spacing Char"/>
    <w:link w:val="NoSpacing"/>
    <w:uiPriority w:val="1"/>
    <w:rsid w:val="003653BF"/>
    <w:rPr>
      <w:kern w:val="0"/>
      <w:sz w:val="22"/>
      <w:szCs w:val="22"/>
      <w14:ligatures w14:val="none"/>
    </w:rPr>
  </w:style>
  <w:style w:type="table" w:styleId="TableGrid">
    <w:name w:val="Table Grid"/>
    <w:basedOn w:val="TableNormal"/>
    <w:uiPriority w:val="39"/>
    <w:rsid w:val="003653BF"/>
    <w:rPr>
      <w:rFonts w:eastAsiaTheme="minorEastAsia"/>
      <w:kern w:val="0"/>
      <w:sz w:val="22"/>
      <w:szCs w:val="22"/>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Heading">
    <w:name w:val="SM Heading"/>
    <w:basedOn w:val="Heading1"/>
    <w:qFormat/>
    <w:rsid w:val="00752705"/>
    <w:pPr>
      <w:keepLines w:val="0"/>
      <w:spacing w:before="240" w:after="60"/>
    </w:pPr>
    <w:rPr>
      <w:rFonts w:ascii="Times New Roman" w:eastAsia="Times New Roman" w:hAnsi="Times New Roman" w:cs="Times New Roman"/>
      <w:b/>
      <w:bCs/>
      <w:color w:val="auto"/>
      <w:kern w:val="32"/>
      <w:sz w:val="24"/>
      <w:szCs w:val="24"/>
      <w:lang w:val="en-US"/>
      <w14:ligatures w14:val="none"/>
    </w:rPr>
  </w:style>
  <w:style w:type="paragraph" w:customStyle="1" w:styleId="SMcaption">
    <w:name w:val="SM caption"/>
    <w:basedOn w:val="Normal"/>
    <w:qFormat/>
    <w:rsid w:val="00D84C9D"/>
    <w:rPr>
      <w:rFonts w:ascii="Times New Roman" w:eastAsia="Times New Roman" w:hAnsi="Times New Roman" w:cs="Times New Roman"/>
      <w:kern w:val="0"/>
      <w:szCs w:val="20"/>
      <w:lang w:val="en-US"/>
      <w14:ligatures w14:val="none"/>
    </w:rPr>
  </w:style>
  <w:style w:type="paragraph" w:styleId="Bibliography">
    <w:name w:val="Bibliography"/>
    <w:basedOn w:val="Normal"/>
    <w:next w:val="Normal"/>
    <w:uiPriority w:val="37"/>
    <w:unhideWhenUsed/>
    <w:rsid w:val="002B6A64"/>
    <w:pPr>
      <w:tabs>
        <w:tab w:val="left" w:pos="380"/>
      </w:tabs>
      <w:spacing w:line="480" w:lineRule="auto"/>
      <w:ind w:left="384" w:hanging="384"/>
    </w:pPr>
  </w:style>
  <w:style w:type="paragraph" w:styleId="TOCHeading">
    <w:name w:val="TOC Heading"/>
    <w:basedOn w:val="Heading1"/>
    <w:next w:val="Normal"/>
    <w:uiPriority w:val="39"/>
    <w:unhideWhenUsed/>
    <w:qFormat/>
    <w:rsid w:val="00ED316C"/>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CB2ACA"/>
    <w:pPr>
      <w:tabs>
        <w:tab w:val="left" w:pos="720"/>
        <w:tab w:val="right" w:leader="dot" w:pos="9016"/>
      </w:tabs>
      <w:spacing w:before="120"/>
    </w:pPr>
    <w:rPr>
      <w:b/>
      <w:bCs/>
      <w:i/>
      <w:iCs/>
    </w:rPr>
  </w:style>
  <w:style w:type="paragraph" w:styleId="TOC2">
    <w:name w:val="toc 2"/>
    <w:basedOn w:val="Normal"/>
    <w:next w:val="Normal"/>
    <w:autoRedefine/>
    <w:uiPriority w:val="39"/>
    <w:semiHidden/>
    <w:unhideWhenUsed/>
    <w:rsid w:val="00ED316C"/>
    <w:pPr>
      <w:spacing w:before="120"/>
      <w:ind w:left="240"/>
    </w:pPr>
    <w:rPr>
      <w:b/>
      <w:bCs/>
      <w:sz w:val="22"/>
      <w:szCs w:val="22"/>
    </w:rPr>
  </w:style>
  <w:style w:type="paragraph" w:styleId="TOC3">
    <w:name w:val="toc 3"/>
    <w:basedOn w:val="Normal"/>
    <w:next w:val="Normal"/>
    <w:autoRedefine/>
    <w:uiPriority w:val="39"/>
    <w:semiHidden/>
    <w:unhideWhenUsed/>
    <w:rsid w:val="00ED316C"/>
    <w:pPr>
      <w:ind w:left="480"/>
    </w:pPr>
    <w:rPr>
      <w:sz w:val="20"/>
      <w:szCs w:val="20"/>
    </w:rPr>
  </w:style>
  <w:style w:type="paragraph" w:styleId="TOC4">
    <w:name w:val="toc 4"/>
    <w:basedOn w:val="Normal"/>
    <w:next w:val="Normal"/>
    <w:autoRedefine/>
    <w:uiPriority w:val="39"/>
    <w:semiHidden/>
    <w:unhideWhenUsed/>
    <w:rsid w:val="00ED316C"/>
    <w:pPr>
      <w:ind w:left="720"/>
    </w:pPr>
    <w:rPr>
      <w:sz w:val="20"/>
      <w:szCs w:val="20"/>
    </w:rPr>
  </w:style>
  <w:style w:type="paragraph" w:styleId="TOC5">
    <w:name w:val="toc 5"/>
    <w:basedOn w:val="Normal"/>
    <w:next w:val="Normal"/>
    <w:autoRedefine/>
    <w:uiPriority w:val="39"/>
    <w:semiHidden/>
    <w:unhideWhenUsed/>
    <w:rsid w:val="00ED316C"/>
    <w:pPr>
      <w:ind w:left="960"/>
    </w:pPr>
    <w:rPr>
      <w:sz w:val="20"/>
      <w:szCs w:val="20"/>
    </w:rPr>
  </w:style>
  <w:style w:type="paragraph" w:styleId="TOC6">
    <w:name w:val="toc 6"/>
    <w:basedOn w:val="Normal"/>
    <w:next w:val="Normal"/>
    <w:autoRedefine/>
    <w:uiPriority w:val="39"/>
    <w:semiHidden/>
    <w:unhideWhenUsed/>
    <w:rsid w:val="00ED316C"/>
    <w:pPr>
      <w:ind w:left="1200"/>
    </w:pPr>
    <w:rPr>
      <w:sz w:val="20"/>
      <w:szCs w:val="20"/>
    </w:rPr>
  </w:style>
  <w:style w:type="paragraph" w:styleId="TOC7">
    <w:name w:val="toc 7"/>
    <w:basedOn w:val="Normal"/>
    <w:next w:val="Normal"/>
    <w:autoRedefine/>
    <w:uiPriority w:val="39"/>
    <w:semiHidden/>
    <w:unhideWhenUsed/>
    <w:rsid w:val="00ED316C"/>
    <w:pPr>
      <w:ind w:left="1440"/>
    </w:pPr>
    <w:rPr>
      <w:sz w:val="20"/>
      <w:szCs w:val="20"/>
    </w:rPr>
  </w:style>
  <w:style w:type="paragraph" w:styleId="TOC8">
    <w:name w:val="toc 8"/>
    <w:basedOn w:val="Normal"/>
    <w:next w:val="Normal"/>
    <w:autoRedefine/>
    <w:uiPriority w:val="39"/>
    <w:semiHidden/>
    <w:unhideWhenUsed/>
    <w:rsid w:val="00ED316C"/>
    <w:pPr>
      <w:ind w:left="1680"/>
    </w:pPr>
    <w:rPr>
      <w:sz w:val="20"/>
      <w:szCs w:val="20"/>
    </w:rPr>
  </w:style>
  <w:style w:type="paragraph" w:styleId="TOC9">
    <w:name w:val="toc 9"/>
    <w:basedOn w:val="Normal"/>
    <w:next w:val="Normal"/>
    <w:autoRedefine/>
    <w:uiPriority w:val="39"/>
    <w:semiHidden/>
    <w:unhideWhenUsed/>
    <w:rsid w:val="00ED316C"/>
    <w:pPr>
      <w:ind w:left="1920"/>
    </w:pPr>
    <w:rPr>
      <w:sz w:val="20"/>
      <w:szCs w:val="20"/>
    </w:rPr>
  </w:style>
  <w:style w:type="character" w:styleId="Hyperlink">
    <w:name w:val="Hyperlink"/>
    <w:basedOn w:val="DefaultParagraphFont"/>
    <w:uiPriority w:val="99"/>
    <w:unhideWhenUsed/>
    <w:rsid w:val="00CB2ACA"/>
    <w:rPr>
      <w:color w:val="467886" w:themeColor="hyperlink"/>
      <w:u w:val="single"/>
    </w:rPr>
  </w:style>
  <w:style w:type="paragraph" w:styleId="Footer">
    <w:name w:val="footer"/>
    <w:basedOn w:val="Normal"/>
    <w:link w:val="FooterChar"/>
    <w:uiPriority w:val="99"/>
    <w:unhideWhenUsed/>
    <w:rsid w:val="00FC0B1B"/>
    <w:pPr>
      <w:tabs>
        <w:tab w:val="center" w:pos="4513"/>
        <w:tab w:val="right" w:pos="9026"/>
      </w:tabs>
    </w:pPr>
  </w:style>
  <w:style w:type="character" w:customStyle="1" w:styleId="FooterChar">
    <w:name w:val="Footer Char"/>
    <w:basedOn w:val="DefaultParagraphFont"/>
    <w:link w:val="Footer"/>
    <w:uiPriority w:val="99"/>
    <w:rsid w:val="00FC0B1B"/>
  </w:style>
  <w:style w:type="character" w:styleId="PageNumber">
    <w:name w:val="page number"/>
    <w:basedOn w:val="DefaultParagraphFont"/>
    <w:uiPriority w:val="99"/>
    <w:semiHidden/>
    <w:unhideWhenUsed/>
    <w:rsid w:val="00FC0B1B"/>
  </w:style>
  <w:style w:type="paragraph" w:styleId="Header">
    <w:name w:val="header"/>
    <w:basedOn w:val="Normal"/>
    <w:link w:val="HeaderChar"/>
    <w:uiPriority w:val="99"/>
    <w:unhideWhenUsed/>
    <w:rsid w:val="00FC0B1B"/>
    <w:pPr>
      <w:tabs>
        <w:tab w:val="center" w:pos="4513"/>
        <w:tab w:val="right" w:pos="9026"/>
      </w:tabs>
    </w:pPr>
  </w:style>
  <w:style w:type="character" w:customStyle="1" w:styleId="HeaderChar">
    <w:name w:val="Header Char"/>
    <w:basedOn w:val="DefaultParagraphFont"/>
    <w:link w:val="Header"/>
    <w:uiPriority w:val="99"/>
    <w:rsid w:val="00FC0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CDCFA-53E3-6549-9BE0-3FC795F4B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80510</Words>
  <Characters>458909</Characters>
  <Application>Microsoft Office Word</Application>
  <DocSecurity>0</DocSecurity>
  <Lines>3824</Lines>
  <Paragraphs>1076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Springmann</dc:creator>
  <cp:keywords/>
  <dc:description/>
  <cp:lastModifiedBy>Marco Springmann</cp:lastModifiedBy>
  <cp:revision>4</cp:revision>
  <dcterms:created xsi:type="dcterms:W3CDTF">2025-04-17T17:58:00Z</dcterms:created>
  <dcterms:modified xsi:type="dcterms:W3CDTF">2025-04-17T18:07:00Z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id="XSX8F4tB"/&gt;&lt;style id="http://www.zotero.org/styles/nature" hasBibliography="1" bibliographyStyleHasBeenSet="1"/&gt;&lt;prefs&gt;&lt;pref name="fieldType" value="Field"/&gt;&lt;pref name="dontAskDelayCitationUpdate</vt:lpwstr>
  </property>
  <property fmtid="{D5CDD505-2E9C-101B-9397-08002B2CF9AE}" pid="3" name="ZOTERO_PREF_2">
    <vt:lpwstr>s" value="true"/&gt;&lt;/prefs&gt;&lt;/data&gt;</vt:lpwstr>
  </property>
</Properties>
</file>