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61599" w14:textId="10B7AD48" w:rsidR="00BE0F3D" w:rsidRDefault="008C56AB">
      <w:commentRangeStart w:id="0"/>
      <w:commentRangeEnd w:id="0"/>
      <w:r>
        <w:rPr>
          <w:rStyle w:val="CommentReference"/>
        </w:rPr>
        <w:commentReference w:id="0"/>
      </w:r>
      <w:r w:rsidR="00061B3D" w:rsidRPr="00061B3D">
        <w:rPr>
          <w:noProof/>
        </w:rPr>
        <w:t xml:space="preserve"> </w:t>
      </w:r>
      <w:r w:rsidR="00061B3D" w:rsidRPr="00061B3D">
        <w:rPr>
          <w:noProof/>
        </w:rPr>
        <w:drawing>
          <wp:inline distT="0" distB="0" distL="0" distR="0" wp14:anchorId="717F5668" wp14:editId="22196848">
            <wp:extent cx="5943600" cy="6560820"/>
            <wp:effectExtent l="0" t="0" r="0" b="0"/>
            <wp:docPr id="108722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2672" name=""/>
                    <pic:cNvPicPr/>
                  </pic:nvPicPr>
                  <pic:blipFill>
                    <a:blip r:embed="rId8"/>
                    <a:stretch>
                      <a:fillRect/>
                    </a:stretch>
                  </pic:blipFill>
                  <pic:spPr>
                    <a:xfrm>
                      <a:off x="0" y="0"/>
                      <a:ext cx="5943600" cy="6560820"/>
                    </a:xfrm>
                    <a:prstGeom prst="rect">
                      <a:avLst/>
                    </a:prstGeom>
                  </pic:spPr>
                </pic:pic>
              </a:graphicData>
            </a:graphic>
          </wp:inline>
        </w:drawing>
      </w:r>
    </w:p>
    <w:p w14:paraId="374D9C70" w14:textId="1E193017" w:rsidR="006167BC" w:rsidRPr="00260667" w:rsidRDefault="006167BC" w:rsidP="008C56AB">
      <w:pPr>
        <w:spacing w:line="240" w:lineRule="auto"/>
        <w:jc w:val="both"/>
        <w:rPr>
          <w:rFonts w:ascii="Arial" w:hAnsi="Arial" w:cs="Arial"/>
          <w:sz w:val="22"/>
          <w:szCs w:val="22"/>
        </w:rPr>
      </w:pPr>
      <w:r w:rsidRPr="00260667">
        <w:rPr>
          <w:rFonts w:ascii="Arial" w:hAnsi="Arial" w:cs="Arial"/>
          <w:b/>
          <w:bCs/>
          <w:sz w:val="22"/>
          <w:szCs w:val="22"/>
        </w:rPr>
        <w:t>Supplementary Figure 1:</w:t>
      </w:r>
      <w:r w:rsidRPr="00260667">
        <w:rPr>
          <w:rFonts w:ascii="Arial" w:hAnsi="Arial" w:cs="Arial"/>
          <w:sz w:val="22"/>
          <w:szCs w:val="22"/>
        </w:rPr>
        <w:t xml:space="preserve"> </w:t>
      </w:r>
      <w:r w:rsidRPr="008C56AB">
        <w:rPr>
          <w:rFonts w:ascii="Arial" w:hAnsi="Arial" w:cs="Arial"/>
          <w:b/>
          <w:bCs/>
          <w:sz w:val="22"/>
          <w:szCs w:val="22"/>
        </w:rPr>
        <w:t>Multi-</w:t>
      </w:r>
      <w:proofErr w:type="spellStart"/>
      <w:r w:rsidRPr="008C56AB">
        <w:rPr>
          <w:rFonts w:ascii="Arial" w:hAnsi="Arial" w:cs="Arial"/>
          <w:b/>
          <w:bCs/>
          <w:sz w:val="22"/>
          <w:szCs w:val="22"/>
        </w:rPr>
        <w:t>omic</w:t>
      </w:r>
      <w:proofErr w:type="spellEnd"/>
      <w:r w:rsidRPr="008C56AB">
        <w:rPr>
          <w:rFonts w:ascii="Arial" w:hAnsi="Arial" w:cs="Arial"/>
          <w:b/>
          <w:bCs/>
          <w:sz w:val="22"/>
          <w:szCs w:val="22"/>
        </w:rPr>
        <w:t xml:space="preserve"> feature identification.</w:t>
      </w:r>
      <w:r w:rsidRPr="00260667">
        <w:rPr>
          <w:rFonts w:ascii="Arial" w:hAnsi="Arial" w:cs="Arial"/>
          <w:sz w:val="22"/>
          <w:szCs w:val="22"/>
        </w:rPr>
        <w:t xml:space="preserve"> A) Cophenetic and Silhouette plots suggesting 3 to be the optimal number of metagenes for the NMF analysis. B) The first two NMF metagenes stratified samples into BCL and PCL subtypes. C) The same overall pattern from the NMF and diffusion map analysis can be observed in first 3 components of a PCA of the same gene set. Here red is BCL, blue </w:t>
      </w:r>
      <w:r w:rsidRPr="00BF3B6C">
        <w:rPr>
          <w:rFonts w:ascii="Arial" w:hAnsi="Arial" w:cs="Arial"/>
          <w:color w:val="000000" w:themeColor="text1"/>
          <w:sz w:val="22"/>
          <w:szCs w:val="22"/>
        </w:rPr>
        <w:t xml:space="preserve">is </w:t>
      </w:r>
      <w:r w:rsidR="008C56AB" w:rsidRPr="00BF3B6C">
        <w:rPr>
          <w:rFonts w:ascii="Arial" w:hAnsi="Arial" w:cs="Arial"/>
          <w:color w:val="000000" w:themeColor="text1"/>
          <w:sz w:val="22"/>
          <w:szCs w:val="22"/>
        </w:rPr>
        <w:t>EWM</w:t>
      </w:r>
      <w:r w:rsidRPr="00260667">
        <w:rPr>
          <w:rFonts w:ascii="Arial" w:hAnsi="Arial" w:cs="Arial"/>
          <w:sz w:val="22"/>
          <w:szCs w:val="22"/>
        </w:rPr>
        <w:t>, and green is PCL with the point size corresponding to DPT value. D) Correlations between</w:t>
      </w:r>
      <w:r w:rsidR="003405F0" w:rsidRPr="00260667">
        <w:rPr>
          <w:rFonts w:ascii="Arial" w:hAnsi="Arial" w:cs="Arial"/>
          <w:sz w:val="22"/>
          <w:szCs w:val="22"/>
        </w:rPr>
        <w:t xml:space="preserve"> DPT/</w:t>
      </w:r>
      <w:proofErr w:type="spellStart"/>
      <w:r w:rsidR="003405F0" w:rsidRPr="00260667">
        <w:rPr>
          <w:rFonts w:ascii="Arial" w:hAnsi="Arial" w:cs="Arial"/>
          <w:sz w:val="22"/>
          <w:szCs w:val="22"/>
        </w:rPr>
        <w:t>EScore</w:t>
      </w:r>
      <w:proofErr w:type="spellEnd"/>
      <w:r w:rsidR="003405F0" w:rsidRPr="00260667">
        <w:rPr>
          <w:rFonts w:ascii="Arial" w:hAnsi="Arial" w:cs="Arial"/>
          <w:sz w:val="22"/>
          <w:szCs w:val="22"/>
        </w:rPr>
        <w:t xml:space="preserve"> and (from top to bottom)</w:t>
      </w:r>
      <w:r w:rsidRPr="00260667">
        <w:rPr>
          <w:rFonts w:ascii="Arial" w:hAnsi="Arial" w:cs="Arial"/>
          <w:sz w:val="22"/>
          <w:szCs w:val="22"/>
        </w:rPr>
        <w:t xml:space="preserve"> </w:t>
      </w:r>
      <w:r w:rsidR="003405F0" w:rsidRPr="00260667">
        <w:rPr>
          <w:rFonts w:ascii="Arial" w:hAnsi="Arial" w:cs="Arial"/>
          <w:sz w:val="22"/>
          <w:szCs w:val="22"/>
        </w:rPr>
        <w:t xml:space="preserve">NMF metagene 3, Diffusion component 1, and PCA principal component 1. E) Splitting DPT values into Early and Late </w:t>
      </w:r>
      <w:proofErr w:type="spellStart"/>
      <w:r w:rsidR="003405F0" w:rsidRPr="00260667">
        <w:rPr>
          <w:rFonts w:ascii="Arial" w:hAnsi="Arial" w:cs="Arial"/>
          <w:sz w:val="22"/>
          <w:szCs w:val="22"/>
        </w:rPr>
        <w:t>EScore</w:t>
      </w:r>
      <w:proofErr w:type="spellEnd"/>
      <w:r w:rsidR="003405F0" w:rsidRPr="00260667">
        <w:rPr>
          <w:rFonts w:ascii="Arial" w:hAnsi="Arial" w:cs="Arial"/>
          <w:sz w:val="22"/>
          <w:szCs w:val="22"/>
        </w:rPr>
        <w:t>.</w:t>
      </w:r>
    </w:p>
    <w:p w14:paraId="2DA9473A" w14:textId="6DF3E8CC" w:rsidR="00A05ACD" w:rsidRDefault="0001051B" w:rsidP="003405F0">
      <w:pPr>
        <w:spacing w:line="240" w:lineRule="auto"/>
      </w:pPr>
      <w:r w:rsidRPr="0001051B">
        <w:rPr>
          <w:noProof/>
        </w:rPr>
        <w:lastRenderedPageBreak/>
        <w:drawing>
          <wp:inline distT="0" distB="0" distL="0" distR="0" wp14:anchorId="4136D6B7" wp14:editId="07D7F0DD">
            <wp:extent cx="5943600" cy="5391785"/>
            <wp:effectExtent l="0" t="0" r="0" b="0"/>
            <wp:docPr id="1941736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36510" name=""/>
                    <pic:cNvPicPr/>
                  </pic:nvPicPr>
                  <pic:blipFill>
                    <a:blip r:embed="rId9"/>
                    <a:stretch>
                      <a:fillRect/>
                    </a:stretch>
                  </pic:blipFill>
                  <pic:spPr>
                    <a:xfrm>
                      <a:off x="0" y="0"/>
                      <a:ext cx="5943600" cy="5391785"/>
                    </a:xfrm>
                    <a:prstGeom prst="rect">
                      <a:avLst/>
                    </a:prstGeom>
                  </pic:spPr>
                </pic:pic>
              </a:graphicData>
            </a:graphic>
          </wp:inline>
        </w:drawing>
      </w:r>
    </w:p>
    <w:p w14:paraId="3C26C353" w14:textId="4BDE34B2" w:rsidR="000333AC" w:rsidRPr="00AB4A58" w:rsidRDefault="000333AC" w:rsidP="008C56AB">
      <w:pPr>
        <w:spacing w:line="240" w:lineRule="auto"/>
        <w:jc w:val="both"/>
        <w:rPr>
          <w:rFonts w:ascii="Arial" w:hAnsi="Arial" w:cs="Arial"/>
          <w:sz w:val="22"/>
          <w:szCs w:val="22"/>
        </w:rPr>
      </w:pPr>
      <w:r w:rsidRPr="00AB4A58">
        <w:rPr>
          <w:rFonts w:ascii="Arial" w:hAnsi="Arial" w:cs="Arial"/>
          <w:b/>
          <w:bCs/>
          <w:sz w:val="22"/>
          <w:szCs w:val="22"/>
        </w:rPr>
        <w:t>Supplementary Figure 2:</w:t>
      </w:r>
      <w:r w:rsidRPr="00AB4A58">
        <w:rPr>
          <w:rFonts w:ascii="Arial" w:hAnsi="Arial" w:cs="Arial"/>
          <w:sz w:val="22"/>
          <w:szCs w:val="22"/>
        </w:rPr>
        <w:t xml:space="preserve"> </w:t>
      </w:r>
      <w:r w:rsidRPr="008C56AB">
        <w:rPr>
          <w:rFonts w:ascii="Arial" w:hAnsi="Arial" w:cs="Arial"/>
          <w:b/>
          <w:bCs/>
          <w:sz w:val="22"/>
          <w:szCs w:val="22"/>
        </w:rPr>
        <w:t>Characterizing the subtypes of WM.</w:t>
      </w:r>
      <w:r w:rsidRPr="00AB4A58">
        <w:rPr>
          <w:rFonts w:ascii="Arial" w:hAnsi="Arial" w:cs="Arial"/>
          <w:sz w:val="22"/>
          <w:szCs w:val="22"/>
        </w:rPr>
        <w:t xml:space="preserve"> A) Expression of key signature genes previous associated with </w:t>
      </w:r>
      <w:r w:rsidRPr="00260667">
        <w:rPr>
          <w:rFonts w:ascii="Arial" w:hAnsi="Arial" w:cs="Arial"/>
          <w:i/>
          <w:iCs/>
          <w:sz w:val="22"/>
          <w:szCs w:val="22"/>
        </w:rPr>
        <w:t>CXCR4</w:t>
      </w:r>
      <w:r w:rsidRPr="00AB4A58">
        <w:rPr>
          <w:rFonts w:ascii="Arial" w:hAnsi="Arial" w:cs="Arial"/>
          <w:sz w:val="22"/>
          <w:szCs w:val="22"/>
        </w:rPr>
        <w:t xml:space="preserve"> mutation status colored by subtype membership. Note that the </w:t>
      </w:r>
      <w:r w:rsidR="008C56AB" w:rsidRPr="00BF3B6C">
        <w:rPr>
          <w:rFonts w:ascii="Arial" w:hAnsi="Arial" w:cs="Arial"/>
          <w:color w:val="000000" w:themeColor="text1"/>
          <w:sz w:val="22"/>
          <w:szCs w:val="22"/>
        </w:rPr>
        <w:t xml:space="preserve">EWM </w:t>
      </w:r>
      <w:r w:rsidRPr="00AB4A58">
        <w:rPr>
          <w:rFonts w:ascii="Arial" w:hAnsi="Arial" w:cs="Arial"/>
          <w:sz w:val="22"/>
          <w:szCs w:val="22"/>
        </w:rPr>
        <w:t>group has intermediate expression overall and lacks a bimodal distribution indicati</w:t>
      </w:r>
      <w:r w:rsidR="00125F73" w:rsidRPr="00AB4A58">
        <w:rPr>
          <w:rFonts w:ascii="Arial" w:hAnsi="Arial" w:cs="Arial"/>
          <w:sz w:val="22"/>
          <w:szCs w:val="22"/>
        </w:rPr>
        <w:t>ng</w:t>
      </w:r>
      <w:r w:rsidRPr="00AB4A58">
        <w:rPr>
          <w:rFonts w:ascii="Arial" w:hAnsi="Arial" w:cs="Arial"/>
          <w:sz w:val="22"/>
          <w:szCs w:val="22"/>
        </w:rPr>
        <w:t xml:space="preserve"> intermediate expression of these genes in early stages of WM development regardless of subtype. B) </w:t>
      </w:r>
      <w:proofErr w:type="spellStart"/>
      <w:r w:rsidRPr="00AB4A58">
        <w:rPr>
          <w:rFonts w:ascii="Arial" w:hAnsi="Arial" w:cs="Arial"/>
          <w:sz w:val="22"/>
          <w:szCs w:val="22"/>
        </w:rPr>
        <w:t>RNASeq</w:t>
      </w:r>
      <w:proofErr w:type="spellEnd"/>
      <w:r w:rsidRPr="00AB4A58">
        <w:rPr>
          <w:rFonts w:ascii="Arial" w:hAnsi="Arial" w:cs="Arial"/>
          <w:sz w:val="22"/>
          <w:szCs w:val="22"/>
        </w:rPr>
        <w:t xml:space="preserve"> positional gene set enrichment results based on 6q deletion </w:t>
      </w:r>
      <w:r w:rsidR="00E2050D" w:rsidRPr="00AB4A58">
        <w:rPr>
          <w:rFonts w:ascii="Arial" w:hAnsi="Arial" w:cs="Arial"/>
          <w:sz w:val="22"/>
          <w:szCs w:val="22"/>
        </w:rPr>
        <w:t>status</w:t>
      </w:r>
      <w:r w:rsidRPr="00AB4A58">
        <w:rPr>
          <w:rFonts w:ascii="Arial" w:hAnsi="Arial" w:cs="Arial"/>
          <w:sz w:val="22"/>
          <w:szCs w:val="22"/>
        </w:rPr>
        <w:t xml:space="preserve"> for BCL and PCL subtyped samples. Note </w:t>
      </w:r>
      <w:r w:rsidR="00125F73" w:rsidRPr="00AB4A58">
        <w:rPr>
          <w:rFonts w:ascii="Arial" w:hAnsi="Arial" w:cs="Arial"/>
          <w:sz w:val="22"/>
          <w:szCs w:val="22"/>
        </w:rPr>
        <w:t xml:space="preserve">that </w:t>
      </w:r>
      <w:r w:rsidRPr="00AB4A58">
        <w:rPr>
          <w:rFonts w:ascii="Arial" w:hAnsi="Arial" w:cs="Arial"/>
          <w:sz w:val="22"/>
          <w:szCs w:val="22"/>
        </w:rPr>
        <w:t>no</w:t>
      </w:r>
      <w:r w:rsidR="00125F73" w:rsidRPr="00AB4A58">
        <w:rPr>
          <w:rFonts w:ascii="Arial" w:hAnsi="Arial" w:cs="Arial"/>
          <w:sz w:val="22"/>
          <w:szCs w:val="22"/>
        </w:rPr>
        <w:t xml:space="preserve"> 6q</w:t>
      </w:r>
      <w:r w:rsidRPr="00AB4A58">
        <w:rPr>
          <w:rFonts w:ascii="Arial" w:hAnsi="Arial" w:cs="Arial"/>
          <w:sz w:val="22"/>
          <w:szCs w:val="22"/>
        </w:rPr>
        <w:t xml:space="preserve"> </w:t>
      </w:r>
      <w:r w:rsidR="00125F73" w:rsidRPr="00AB4A58">
        <w:rPr>
          <w:rFonts w:ascii="Arial" w:hAnsi="Arial" w:cs="Arial"/>
          <w:sz w:val="22"/>
          <w:szCs w:val="22"/>
        </w:rPr>
        <w:t>results were unique</w:t>
      </w:r>
      <w:r w:rsidRPr="00AB4A58">
        <w:rPr>
          <w:rFonts w:ascii="Arial" w:hAnsi="Arial" w:cs="Arial"/>
          <w:sz w:val="22"/>
          <w:szCs w:val="22"/>
        </w:rPr>
        <w:t xml:space="preserve"> the BCL</w:t>
      </w:r>
      <w:r w:rsidR="00125F73" w:rsidRPr="00AB4A58">
        <w:rPr>
          <w:rFonts w:ascii="Arial" w:hAnsi="Arial" w:cs="Arial"/>
          <w:sz w:val="22"/>
          <w:szCs w:val="22"/>
        </w:rPr>
        <w:t xml:space="preserve"> and suggests that the deletions in BCL are restricted to the 6q16-6q25 while the whole q arm is typically lost in PCL</w:t>
      </w:r>
      <w:r w:rsidR="00E2050D" w:rsidRPr="00AB4A58">
        <w:rPr>
          <w:rFonts w:ascii="Arial" w:hAnsi="Arial" w:cs="Arial"/>
          <w:sz w:val="22"/>
          <w:szCs w:val="22"/>
        </w:rPr>
        <w:t xml:space="preserve">. C) </w:t>
      </w:r>
      <w:r w:rsidR="00125F73" w:rsidRPr="00AB4A58">
        <w:rPr>
          <w:rFonts w:ascii="Arial" w:hAnsi="Arial" w:cs="Arial"/>
          <w:sz w:val="22"/>
          <w:szCs w:val="22"/>
        </w:rPr>
        <w:t>Representative examples from BCL and PCL samples with 6q deletions. Data shown is the denoised copy ratio as determined by the GATK pipeline. Color changes demarcate new copy segments.</w:t>
      </w:r>
      <w:r w:rsidR="00CC7621" w:rsidRPr="00AB4A58">
        <w:rPr>
          <w:rFonts w:ascii="Arial" w:hAnsi="Arial" w:cs="Arial"/>
          <w:sz w:val="22"/>
          <w:szCs w:val="22"/>
        </w:rPr>
        <w:t xml:space="preserve"> D) Expression of B-cell and </w:t>
      </w:r>
      <w:r w:rsidR="008C56AB" w:rsidRPr="00BF3B6C">
        <w:rPr>
          <w:rFonts w:ascii="Arial" w:hAnsi="Arial" w:cs="Arial"/>
          <w:color w:val="000000" w:themeColor="text1"/>
          <w:sz w:val="22"/>
          <w:szCs w:val="22"/>
        </w:rPr>
        <w:t>p</w:t>
      </w:r>
      <w:r w:rsidR="00CC7621" w:rsidRPr="00AB4A58">
        <w:rPr>
          <w:rFonts w:ascii="Arial" w:hAnsi="Arial" w:cs="Arial"/>
          <w:sz w:val="22"/>
          <w:szCs w:val="22"/>
        </w:rPr>
        <w:t>lasma cell transcription factors by expanded WM subtype.</w:t>
      </w:r>
    </w:p>
    <w:p w14:paraId="4B21D97C" w14:textId="77777777" w:rsidR="00A0309E" w:rsidRDefault="00A0309E" w:rsidP="003405F0">
      <w:pPr>
        <w:spacing w:line="240" w:lineRule="auto"/>
      </w:pPr>
    </w:p>
    <w:p w14:paraId="008E1A76" w14:textId="77777777" w:rsidR="00A0309E" w:rsidRDefault="00A0309E" w:rsidP="003405F0">
      <w:pPr>
        <w:spacing w:line="240" w:lineRule="auto"/>
      </w:pPr>
    </w:p>
    <w:p w14:paraId="36C48206" w14:textId="1D45F62B" w:rsidR="00A0309E" w:rsidRDefault="0001051B" w:rsidP="003405F0">
      <w:pPr>
        <w:spacing w:line="240" w:lineRule="auto"/>
      </w:pPr>
      <w:r w:rsidRPr="0001051B">
        <w:rPr>
          <w:noProof/>
        </w:rPr>
        <w:lastRenderedPageBreak/>
        <w:drawing>
          <wp:inline distT="0" distB="0" distL="0" distR="0" wp14:anchorId="200197DB" wp14:editId="4239E82A">
            <wp:extent cx="5943600" cy="2245995"/>
            <wp:effectExtent l="0" t="0" r="0" b="1905"/>
            <wp:docPr id="53571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16309" name=""/>
                    <pic:cNvPicPr/>
                  </pic:nvPicPr>
                  <pic:blipFill>
                    <a:blip r:embed="rId10"/>
                    <a:stretch>
                      <a:fillRect/>
                    </a:stretch>
                  </pic:blipFill>
                  <pic:spPr>
                    <a:xfrm>
                      <a:off x="0" y="0"/>
                      <a:ext cx="5943600" cy="2245995"/>
                    </a:xfrm>
                    <a:prstGeom prst="rect">
                      <a:avLst/>
                    </a:prstGeom>
                  </pic:spPr>
                </pic:pic>
              </a:graphicData>
            </a:graphic>
          </wp:inline>
        </w:drawing>
      </w:r>
    </w:p>
    <w:p w14:paraId="67A5528D" w14:textId="77777777" w:rsidR="00A0309E" w:rsidRPr="00AB4A58" w:rsidRDefault="00A0309E" w:rsidP="008C56AB">
      <w:pPr>
        <w:spacing w:line="240" w:lineRule="auto"/>
        <w:jc w:val="both"/>
        <w:rPr>
          <w:rFonts w:ascii="Arial" w:hAnsi="Arial" w:cs="Arial"/>
          <w:sz w:val="22"/>
          <w:szCs w:val="22"/>
        </w:rPr>
      </w:pPr>
    </w:p>
    <w:p w14:paraId="675B4372" w14:textId="129A2286" w:rsidR="00A0309E" w:rsidRPr="00AB4A58" w:rsidRDefault="00A0309E" w:rsidP="008C56AB">
      <w:pPr>
        <w:spacing w:line="240" w:lineRule="auto"/>
        <w:jc w:val="both"/>
        <w:rPr>
          <w:rFonts w:ascii="Arial" w:hAnsi="Arial" w:cs="Arial"/>
          <w:sz w:val="22"/>
          <w:szCs w:val="22"/>
        </w:rPr>
      </w:pPr>
      <w:r w:rsidRPr="00AB4A58">
        <w:rPr>
          <w:rFonts w:ascii="Arial" w:hAnsi="Arial" w:cs="Arial"/>
          <w:b/>
          <w:bCs/>
          <w:sz w:val="22"/>
          <w:szCs w:val="22"/>
        </w:rPr>
        <w:t xml:space="preserve">Supplementary Figure </w:t>
      </w:r>
      <w:r w:rsidR="00AB4A58" w:rsidRPr="00AB4A58">
        <w:rPr>
          <w:rFonts w:ascii="Arial" w:hAnsi="Arial" w:cs="Arial"/>
          <w:b/>
          <w:bCs/>
          <w:sz w:val="22"/>
          <w:szCs w:val="22"/>
        </w:rPr>
        <w:t>3</w:t>
      </w:r>
      <w:r w:rsidRPr="00AB4A58">
        <w:rPr>
          <w:rFonts w:ascii="Arial" w:hAnsi="Arial" w:cs="Arial"/>
          <w:b/>
          <w:bCs/>
          <w:sz w:val="22"/>
          <w:szCs w:val="22"/>
        </w:rPr>
        <w:t>:</w:t>
      </w:r>
      <w:r w:rsidRPr="00AB4A58">
        <w:rPr>
          <w:rFonts w:ascii="Arial" w:hAnsi="Arial" w:cs="Arial"/>
          <w:sz w:val="22"/>
          <w:szCs w:val="22"/>
        </w:rPr>
        <w:t xml:space="preserve"> </w:t>
      </w:r>
      <w:r w:rsidR="00AB4A58" w:rsidRPr="008C56AB">
        <w:rPr>
          <w:rFonts w:ascii="Arial" w:hAnsi="Arial" w:cs="Arial"/>
          <w:b/>
          <w:bCs/>
          <w:sz w:val="22"/>
          <w:szCs w:val="22"/>
        </w:rPr>
        <w:t xml:space="preserve">A 5-way split of the WM </w:t>
      </w:r>
      <w:proofErr w:type="spellStart"/>
      <w:r w:rsidR="00AB4A58" w:rsidRPr="008C56AB">
        <w:rPr>
          <w:rFonts w:ascii="Arial" w:hAnsi="Arial" w:cs="Arial"/>
          <w:b/>
          <w:bCs/>
          <w:sz w:val="22"/>
          <w:szCs w:val="22"/>
        </w:rPr>
        <w:t>EScore</w:t>
      </w:r>
      <w:proofErr w:type="spellEnd"/>
      <w:r w:rsidRPr="008C56AB">
        <w:rPr>
          <w:rFonts w:ascii="Arial" w:hAnsi="Arial" w:cs="Arial"/>
          <w:b/>
          <w:bCs/>
          <w:sz w:val="22"/>
          <w:szCs w:val="22"/>
        </w:rPr>
        <w:t>.</w:t>
      </w:r>
      <w:r w:rsidRPr="00AB4A58">
        <w:rPr>
          <w:rFonts w:ascii="Arial" w:hAnsi="Arial" w:cs="Arial"/>
          <w:sz w:val="22"/>
          <w:szCs w:val="22"/>
        </w:rPr>
        <w:t xml:space="preserve"> A) </w:t>
      </w:r>
      <w:r w:rsidR="00AB4A58" w:rsidRPr="00AB4A58">
        <w:rPr>
          <w:rFonts w:ascii="Arial" w:hAnsi="Arial" w:cs="Arial"/>
          <w:sz w:val="22"/>
          <w:szCs w:val="22"/>
        </w:rPr>
        <w:t xml:space="preserve">Using the diffusion </w:t>
      </w:r>
      <w:proofErr w:type="spellStart"/>
      <w:r w:rsidR="00AB4A58" w:rsidRPr="00AB4A58">
        <w:rPr>
          <w:rFonts w:ascii="Arial" w:hAnsi="Arial" w:cs="Arial"/>
          <w:sz w:val="22"/>
          <w:szCs w:val="22"/>
        </w:rPr>
        <w:t>pseudotime</w:t>
      </w:r>
      <w:proofErr w:type="spellEnd"/>
      <w:r w:rsidR="00AB4A58" w:rsidRPr="00AB4A58">
        <w:rPr>
          <w:rFonts w:ascii="Arial" w:hAnsi="Arial" w:cs="Arial"/>
          <w:sz w:val="22"/>
          <w:szCs w:val="22"/>
        </w:rPr>
        <w:t xml:space="preserve"> space to divide the </w:t>
      </w:r>
      <w:proofErr w:type="spellStart"/>
      <w:r w:rsidR="00AB4A58" w:rsidRPr="00AB4A58">
        <w:rPr>
          <w:rFonts w:ascii="Arial" w:hAnsi="Arial" w:cs="Arial"/>
          <w:sz w:val="22"/>
          <w:szCs w:val="22"/>
        </w:rPr>
        <w:t>EScore</w:t>
      </w:r>
      <w:proofErr w:type="spellEnd"/>
      <w:r w:rsidR="00AB4A58" w:rsidRPr="00AB4A58">
        <w:rPr>
          <w:rFonts w:ascii="Arial" w:hAnsi="Arial" w:cs="Arial"/>
          <w:sz w:val="22"/>
          <w:szCs w:val="22"/>
        </w:rPr>
        <w:t xml:space="preserve"> into Very Early, Early, Intermediate, Late and Very Late </w:t>
      </w:r>
      <w:proofErr w:type="spellStart"/>
      <w:r w:rsidR="00AB4A58" w:rsidRPr="00AB4A58">
        <w:rPr>
          <w:rFonts w:ascii="Arial" w:hAnsi="Arial" w:cs="Arial"/>
          <w:sz w:val="22"/>
          <w:szCs w:val="22"/>
        </w:rPr>
        <w:t>EScore</w:t>
      </w:r>
      <w:proofErr w:type="spellEnd"/>
      <w:r w:rsidR="00AB4A58" w:rsidRPr="00AB4A58">
        <w:rPr>
          <w:rFonts w:ascii="Arial" w:hAnsi="Arial" w:cs="Arial"/>
          <w:sz w:val="22"/>
          <w:szCs w:val="22"/>
        </w:rPr>
        <w:t xml:space="preserve"> levels. The first three categories would fall under Early in the previous Early/Late stratification. B) The impact of the expanded </w:t>
      </w:r>
      <w:proofErr w:type="spellStart"/>
      <w:r w:rsidR="00AB4A58" w:rsidRPr="00AB4A58">
        <w:rPr>
          <w:rFonts w:ascii="Arial" w:hAnsi="Arial" w:cs="Arial"/>
          <w:sz w:val="22"/>
          <w:szCs w:val="22"/>
        </w:rPr>
        <w:t>EScore</w:t>
      </w:r>
      <w:proofErr w:type="spellEnd"/>
      <w:r w:rsidR="00AB4A58" w:rsidRPr="00AB4A58">
        <w:rPr>
          <w:rFonts w:ascii="Arial" w:hAnsi="Arial" w:cs="Arial"/>
          <w:sz w:val="22"/>
          <w:szCs w:val="22"/>
        </w:rPr>
        <w:t xml:space="preserve"> categories on time to first therapy from study biopsy.</w:t>
      </w:r>
    </w:p>
    <w:p w14:paraId="1017991F" w14:textId="77777777" w:rsidR="00640C83" w:rsidRDefault="00640C83" w:rsidP="003405F0">
      <w:pPr>
        <w:spacing w:line="240" w:lineRule="auto"/>
      </w:pPr>
    </w:p>
    <w:p w14:paraId="38AC0136" w14:textId="77777777" w:rsidR="00640C83" w:rsidRDefault="00640C83" w:rsidP="003405F0">
      <w:pPr>
        <w:spacing w:line="240" w:lineRule="auto"/>
      </w:pPr>
    </w:p>
    <w:p w14:paraId="49802235" w14:textId="77777777" w:rsidR="00640C83" w:rsidRDefault="00640C83" w:rsidP="003405F0">
      <w:pPr>
        <w:spacing w:line="240" w:lineRule="auto"/>
      </w:pPr>
    </w:p>
    <w:p w14:paraId="36AE01C9" w14:textId="77777777" w:rsidR="00640C83" w:rsidRDefault="00640C83" w:rsidP="003405F0">
      <w:pPr>
        <w:spacing w:line="240" w:lineRule="auto"/>
      </w:pPr>
    </w:p>
    <w:p w14:paraId="7D57BD37" w14:textId="77777777" w:rsidR="00640C83" w:rsidRDefault="00640C83" w:rsidP="003405F0">
      <w:pPr>
        <w:spacing w:line="240" w:lineRule="auto"/>
      </w:pPr>
    </w:p>
    <w:p w14:paraId="494CABC6" w14:textId="77777777" w:rsidR="00640C83" w:rsidRDefault="00640C83" w:rsidP="003405F0">
      <w:pPr>
        <w:spacing w:line="240" w:lineRule="auto"/>
      </w:pPr>
    </w:p>
    <w:p w14:paraId="05FCC90B" w14:textId="77777777" w:rsidR="00640C83" w:rsidRDefault="00640C83" w:rsidP="003405F0">
      <w:pPr>
        <w:spacing w:line="240" w:lineRule="auto"/>
      </w:pPr>
    </w:p>
    <w:p w14:paraId="5C58AEE5" w14:textId="77777777" w:rsidR="00640C83" w:rsidRDefault="00640C83" w:rsidP="003405F0">
      <w:pPr>
        <w:spacing w:line="240" w:lineRule="auto"/>
      </w:pPr>
    </w:p>
    <w:p w14:paraId="48139CCB" w14:textId="77777777" w:rsidR="00640C83" w:rsidRDefault="00640C83" w:rsidP="003405F0">
      <w:pPr>
        <w:spacing w:line="240" w:lineRule="auto"/>
      </w:pPr>
    </w:p>
    <w:p w14:paraId="5BBEF842" w14:textId="77777777" w:rsidR="00640C83" w:rsidRDefault="00640C83" w:rsidP="003405F0">
      <w:pPr>
        <w:spacing w:line="240" w:lineRule="auto"/>
      </w:pPr>
    </w:p>
    <w:p w14:paraId="61E154F3" w14:textId="77777777" w:rsidR="00640C83" w:rsidRDefault="00640C83" w:rsidP="003405F0">
      <w:pPr>
        <w:spacing w:line="240" w:lineRule="auto"/>
      </w:pPr>
    </w:p>
    <w:p w14:paraId="2CEF9938" w14:textId="77777777" w:rsidR="00640C83" w:rsidRDefault="00640C83" w:rsidP="003405F0">
      <w:pPr>
        <w:spacing w:line="240" w:lineRule="auto"/>
      </w:pPr>
    </w:p>
    <w:p w14:paraId="6959032C" w14:textId="77777777" w:rsidR="00640C83" w:rsidRDefault="00640C83" w:rsidP="003405F0">
      <w:pPr>
        <w:spacing w:line="240" w:lineRule="auto"/>
      </w:pPr>
    </w:p>
    <w:p w14:paraId="7FA6D21D" w14:textId="77777777" w:rsidR="00640C83" w:rsidRDefault="00640C83" w:rsidP="003405F0">
      <w:pPr>
        <w:spacing w:line="240" w:lineRule="auto"/>
      </w:pPr>
    </w:p>
    <w:p w14:paraId="1393C988" w14:textId="77777777" w:rsidR="00640C83" w:rsidRDefault="00640C83" w:rsidP="003405F0">
      <w:pPr>
        <w:spacing w:line="240" w:lineRule="auto"/>
      </w:pPr>
    </w:p>
    <w:p w14:paraId="52F189BE" w14:textId="77777777" w:rsidR="00640C83" w:rsidRDefault="00640C83" w:rsidP="003405F0">
      <w:pPr>
        <w:spacing w:line="240" w:lineRule="auto"/>
      </w:pPr>
    </w:p>
    <w:p w14:paraId="473CC764" w14:textId="77777777" w:rsidR="00640C83" w:rsidRDefault="00640C83" w:rsidP="003405F0">
      <w:pPr>
        <w:spacing w:line="240" w:lineRule="auto"/>
      </w:pPr>
    </w:p>
    <w:p w14:paraId="5F2982AD" w14:textId="77777777" w:rsidR="00640C83" w:rsidRDefault="00640C83" w:rsidP="003405F0">
      <w:pPr>
        <w:spacing w:line="240" w:lineRule="auto"/>
      </w:pPr>
    </w:p>
    <w:p w14:paraId="7ED9209A" w14:textId="7595B0B9" w:rsidR="00640C83" w:rsidRDefault="00C2199C" w:rsidP="003405F0">
      <w:pPr>
        <w:spacing w:line="240" w:lineRule="auto"/>
      </w:pPr>
      <w:r w:rsidRPr="00C2199C">
        <w:drawing>
          <wp:inline distT="0" distB="0" distL="0" distR="0" wp14:anchorId="0AA99D0D" wp14:editId="068D7664">
            <wp:extent cx="5943600" cy="5904865"/>
            <wp:effectExtent l="0" t="0" r="0" b="635"/>
            <wp:docPr id="1757970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70075" name=""/>
                    <pic:cNvPicPr/>
                  </pic:nvPicPr>
                  <pic:blipFill>
                    <a:blip r:embed="rId11"/>
                    <a:stretch>
                      <a:fillRect/>
                    </a:stretch>
                  </pic:blipFill>
                  <pic:spPr>
                    <a:xfrm>
                      <a:off x="0" y="0"/>
                      <a:ext cx="5943600" cy="5904865"/>
                    </a:xfrm>
                    <a:prstGeom prst="rect">
                      <a:avLst/>
                    </a:prstGeom>
                  </pic:spPr>
                </pic:pic>
              </a:graphicData>
            </a:graphic>
          </wp:inline>
        </w:drawing>
      </w:r>
    </w:p>
    <w:p w14:paraId="69536615" w14:textId="24ADDB14" w:rsidR="00B75EA0" w:rsidRPr="00BF3B6C" w:rsidRDefault="00B75EA0" w:rsidP="008C56AB">
      <w:pPr>
        <w:spacing w:line="240" w:lineRule="auto"/>
        <w:jc w:val="both"/>
        <w:rPr>
          <w:rFonts w:ascii="Arial" w:hAnsi="Arial" w:cs="Arial"/>
          <w:color w:val="000000" w:themeColor="text1"/>
          <w:sz w:val="22"/>
          <w:szCs w:val="22"/>
        </w:rPr>
      </w:pPr>
      <w:r w:rsidRPr="00AB4A58">
        <w:rPr>
          <w:rFonts w:ascii="Arial" w:hAnsi="Arial" w:cs="Arial"/>
          <w:b/>
          <w:bCs/>
          <w:sz w:val="22"/>
          <w:szCs w:val="22"/>
        </w:rPr>
        <w:t xml:space="preserve">Supplementary Figure </w:t>
      </w:r>
      <w:r>
        <w:rPr>
          <w:rFonts w:ascii="Arial" w:hAnsi="Arial" w:cs="Arial"/>
          <w:b/>
          <w:bCs/>
          <w:sz w:val="22"/>
          <w:szCs w:val="22"/>
        </w:rPr>
        <w:t>4</w:t>
      </w:r>
      <w:r w:rsidRPr="00AB4A58">
        <w:rPr>
          <w:rFonts w:ascii="Arial" w:hAnsi="Arial" w:cs="Arial"/>
          <w:b/>
          <w:bCs/>
          <w:sz w:val="22"/>
          <w:szCs w:val="22"/>
        </w:rPr>
        <w:t>:</w:t>
      </w:r>
      <w:r w:rsidRPr="00AB4A58">
        <w:rPr>
          <w:rFonts w:ascii="Arial" w:hAnsi="Arial" w:cs="Arial"/>
          <w:sz w:val="22"/>
          <w:szCs w:val="22"/>
        </w:rPr>
        <w:t xml:space="preserve"> </w:t>
      </w:r>
      <w:r w:rsidR="008C56AB" w:rsidRPr="00BF3B6C">
        <w:rPr>
          <w:rFonts w:ascii="Arial" w:hAnsi="Arial" w:cs="Arial"/>
          <w:b/>
          <w:bCs/>
          <w:color w:val="000000" w:themeColor="text1"/>
          <w:sz w:val="22"/>
          <w:szCs w:val="22"/>
        </w:rPr>
        <w:t>Thirteen</w:t>
      </w:r>
      <w:r w:rsidRPr="00BF3B6C">
        <w:rPr>
          <w:rFonts w:ascii="Arial" w:hAnsi="Arial" w:cs="Arial"/>
          <w:b/>
          <w:bCs/>
          <w:color w:val="000000" w:themeColor="text1"/>
          <w:sz w:val="22"/>
          <w:szCs w:val="22"/>
        </w:rPr>
        <w:t xml:space="preserve"> color flow cytometry analysis of Early </w:t>
      </w:r>
      <w:proofErr w:type="spellStart"/>
      <w:r w:rsidRPr="00BF3B6C">
        <w:rPr>
          <w:rFonts w:ascii="Arial" w:hAnsi="Arial" w:cs="Arial"/>
          <w:b/>
          <w:bCs/>
          <w:color w:val="000000" w:themeColor="text1"/>
          <w:sz w:val="22"/>
          <w:szCs w:val="22"/>
        </w:rPr>
        <w:t>EScore</w:t>
      </w:r>
      <w:proofErr w:type="spellEnd"/>
      <w:r w:rsidRPr="00BF3B6C">
        <w:rPr>
          <w:rFonts w:ascii="Arial" w:hAnsi="Arial" w:cs="Arial"/>
          <w:b/>
          <w:bCs/>
          <w:color w:val="000000" w:themeColor="text1"/>
          <w:sz w:val="22"/>
          <w:szCs w:val="22"/>
        </w:rPr>
        <w:t xml:space="preserve"> markers</w:t>
      </w:r>
      <w:r w:rsidRPr="008C56AB">
        <w:rPr>
          <w:rFonts w:ascii="Arial" w:hAnsi="Arial" w:cs="Arial"/>
          <w:b/>
          <w:bCs/>
          <w:color w:val="FF0000"/>
          <w:sz w:val="22"/>
          <w:szCs w:val="22"/>
        </w:rPr>
        <w:t>.</w:t>
      </w:r>
      <w:r w:rsidRPr="00AB4A58">
        <w:rPr>
          <w:rFonts w:ascii="Arial" w:hAnsi="Arial" w:cs="Arial"/>
          <w:sz w:val="22"/>
          <w:szCs w:val="22"/>
        </w:rPr>
        <w:t xml:space="preserve"> A) </w:t>
      </w:r>
      <w:r w:rsidR="00350115">
        <w:rPr>
          <w:rFonts w:ascii="Arial" w:hAnsi="Arial" w:cs="Arial"/>
          <w:sz w:val="22"/>
          <w:szCs w:val="22"/>
        </w:rPr>
        <w:t xml:space="preserve">Representative healthy donor peripheral blood sample. </w:t>
      </w:r>
      <w:r w:rsidR="005A4751">
        <w:rPr>
          <w:rFonts w:ascii="Arial" w:hAnsi="Arial" w:cs="Arial"/>
          <w:sz w:val="22"/>
          <w:szCs w:val="22"/>
        </w:rPr>
        <w:t>Mononuclear cells</w:t>
      </w:r>
      <w:r w:rsidR="00350115">
        <w:rPr>
          <w:rFonts w:ascii="Arial" w:hAnsi="Arial" w:cs="Arial"/>
          <w:sz w:val="22"/>
          <w:szCs w:val="22"/>
        </w:rPr>
        <w:t xml:space="preserve"> were gated for CD19+ Lambda light chain + </w:t>
      </w:r>
      <w:r w:rsidR="00BF3B6C">
        <w:rPr>
          <w:rFonts w:ascii="Arial" w:hAnsi="Arial" w:cs="Arial"/>
          <w:sz w:val="22"/>
          <w:szCs w:val="22"/>
        </w:rPr>
        <w:t>following the exclusion of doublets and dead cells</w:t>
      </w:r>
      <w:r w:rsidR="005A4751">
        <w:rPr>
          <w:rFonts w:ascii="Arial" w:hAnsi="Arial" w:cs="Arial"/>
          <w:sz w:val="22"/>
          <w:szCs w:val="22"/>
        </w:rPr>
        <w:t xml:space="preserve">. Gated cells were negative for all markers as expected. A table of antibody clones and fluorophores used are available in </w:t>
      </w:r>
      <w:r w:rsidR="00BF3B6C">
        <w:rPr>
          <w:rFonts w:ascii="Arial" w:hAnsi="Arial" w:cs="Arial"/>
          <w:sz w:val="22"/>
          <w:szCs w:val="22"/>
        </w:rPr>
        <w:t>S</w:t>
      </w:r>
      <w:r w:rsidR="005A4751">
        <w:rPr>
          <w:rFonts w:ascii="Arial" w:hAnsi="Arial" w:cs="Arial"/>
          <w:sz w:val="22"/>
          <w:szCs w:val="22"/>
        </w:rPr>
        <w:t>upplementa</w:t>
      </w:r>
      <w:r w:rsidR="005F20ED">
        <w:rPr>
          <w:rFonts w:ascii="Arial" w:hAnsi="Arial" w:cs="Arial"/>
          <w:sz w:val="22"/>
          <w:szCs w:val="22"/>
        </w:rPr>
        <w:t>ry</w:t>
      </w:r>
      <w:r w:rsidR="005A4751">
        <w:rPr>
          <w:rFonts w:ascii="Arial" w:hAnsi="Arial" w:cs="Arial"/>
          <w:sz w:val="22"/>
          <w:szCs w:val="22"/>
        </w:rPr>
        <w:t xml:space="preserve"> </w:t>
      </w:r>
      <w:r w:rsidR="00BF3B6C">
        <w:rPr>
          <w:rFonts w:ascii="Arial" w:hAnsi="Arial" w:cs="Arial"/>
          <w:sz w:val="22"/>
          <w:szCs w:val="22"/>
        </w:rPr>
        <w:t>T</w:t>
      </w:r>
      <w:r w:rsidR="005A4751">
        <w:rPr>
          <w:rFonts w:ascii="Arial" w:hAnsi="Arial" w:cs="Arial"/>
          <w:sz w:val="22"/>
          <w:szCs w:val="22"/>
        </w:rPr>
        <w:t xml:space="preserve">able 3. </w:t>
      </w:r>
      <w:r w:rsidR="00E5134E">
        <w:rPr>
          <w:rFonts w:ascii="Arial" w:hAnsi="Arial" w:cs="Arial"/>
          <w:sz w:val="22"/>
          <w:szCs w:val="22"/>
        </w:rPr>
        <w:t xml:space="preserve">Gates were set using single staining controls. </w:t>
      </w:r>
      <w:r w:rsidR="005A4751">
        <w:rPr>
          <w:rFonts w:ascii="Arial" w:hAnsi="Arial" w:cs="Arial"/>
          <w:sz w:val="22"/>
          <w:szCs w:val="22"/>
        </w:rPr>
        <w:t>B) A</w:t>
      </w:r>
      <w:r w:rsidR="00BF3B6C">
        <w:rPr>
          <w:rFonts w:ascii="Arial" w:hAnsi="Arial" w:cs="Arial"/>
          <w:sz w:val="22"/>
          <w:szCs w:val="22"/>
        </w:rPr>
        <w:t xml:space="preserve"> previously</w:t>
      </w:r>
      <w:r w:rsidR="005A4751">
        <w:rPr>
          <w:rFonts w:ascii="Arial" w:hAnsi="Arial" w:cs="Arial"/>
          <w:sz w:val="22"/>
          <w:szCs w:val="22"/>
        </w:rPr>
        <w:t xml:space="preserve"> </w:t>
      </w:r>
      <w:r w:rsidR="00BF3B6C">
        <w:rPr>
          <w:rFonts w:ascii="Arial" w:hAnsi="Arial" w:cs="Arial"/>
          <w:sz w:val="22"/>
          <w:szCs w:val="22"/>
        </w:rPr>
        <w:t xml:space="preserve">untreated </w:t>
      </w:r>
      <w:r w:rsidR="005A4751">
        <w:rPr>
          <w:rFonts w:ascii="Arial" w:hAnsi="Arial" w:cs="Arial"/>
          <w:sz w:val="22"/>
          <w:szCs w:val="22"/>
        </w:rPr>
        <w:t xml:space="preserve">WM patient. The same strategy was used as described in A, but for bone marrow mononuclear cells from an untreated patient with WM. </w:t>
      </w:r>
      <w:r w:rsidR="005A4751" w:rsidRPr="00BF3B6C">
        <w:rPr>
          <w:rFonts w:ascii="Arial" w:hAnsi="Arial" w:cs="Arial"/>
          <w:color w:val="000000" w:themeColor="text1"/>
          <w:sz w:val="22"/>
          <w:szCs w:val="22"/>
        </w:rPr>
        <w:t>In this case, subpopulations express</w:t>
      </w:r>
      <w:r w:rsidR="008C56AB" w:rsidRPr="00BF3B6C">
        <w:rPr>
          <w:rFonts w:ascii="Arial" w:hAnsi="Arial" w:cs="Arial"/>
          <w:color w:val="000000" w:themeColor="text1"/>
          <w:sz w:val="22"/>
          <w:szCs w:val="22"/>
        </w:rPr>
        <w:t>ing</w:t>
      </w:r>
      <w:r w:rsidR="005A4751" w:rsidRPr="00BF3B6C">
        <w:rPr>
          <w:rFonts w:ascii="Arial" w:hAnsi="Arial" w:cs="Arial"/>
          <w:color w:val="000000" w:themeColor="text1"/>
          <w:sz w:val="22"/>
          <w:szCs w:val="22"/>
        </w:rPr>
        <w:t xml:space="preserve"> CD138, CD34, CD33, CD16, </w:t>
      </w:r>
      <w:r w:rsidR="002B00BE" w:rsidRPr="00BF3B6C">
        <w:rPr>
          <w:rFonts w:ascii="Arial" w:hAnsi="Arial" w:cs="Arial"/>
          <w:color w:val="000000" w:themeColor="text1"/>
          <w:sz w:val="22"/>
          <w:szCs w:val="22"/>
        </w:rPr>
        <w:t>and CD34</w:t>
      </w:r>
      <w:r w:rsidR="008C56AB" w:rsidRPr="00BF3B6C">
        <w:rPr>
          <w:rFonts w:ascii="Arial" w:hAnsi="Arial" w:cs="Arial"/>
          <w:color w:val="000000" w:themeColor="text1"/>
          <w:sz w:val="22"/>
          <w:szCs w:val="22"/>
        </w:rPr>
        <w:t xml:space="preserve"> are observed. </w:t>
      </w:r>
      <w:r w:rsidR="002B00BE" w:rsidRPr="00BF3B6C">
        <w:rPr>
          <w:rFonts w:ascii="Arial" w:hAnsi="Arial" w:cs="Arial"/>
          <w:color w:val="000000" w:themeColor="text1"/>
          <w:sz w:val="22"/>
          <w:szCs w:val="22"/>
        </w:rPr>
        <w:t xml:space="preserve">Minor populations </w:t>
      </w:r>
      <w:r w:rsidR="008C56AB" w:rsidRPr="00BF3B6C">
        <w:rPr>
          <w:rFonts w:ascii="Arial" w:hAnsi="Arial" w:cs="Arial"/>
          <w:color w:val="000000" w:themeColor="text1"/>
          <w:sz w:val="22"/>
          <w:szCs w:val="22"/>
        </w:rPr>
        <w:t>expressing</w:t>
      </w:r>
      <w:r w:rsidR="002B00BE" w:rsidRPr="00BF3B6C">
        <w:rPr>
          <w:rFonts w:ascii="Arial" w:hAnsi="Arial" w:cs="Arial"/>
          <w:color w:val="000000" w:themeColor="text1"/>
          <w:sz w:val="22"/>
          <w:szCs w:val="22"/>
        </w:rPr>
        <w:t xml:space="preserve"> CD66b and CD8A</w:t>
      </w:r>
      <w:r w:rsidR="008C56AB" w:rsidRPr="00BF3B6C">
        <w:rPr>
          <w:rFonts w:ascii="Arial" w:hAnsi="Arial" w:cs="Arial"/>
          <w:color w:val="000000" w:themeColor="text1"/>
          <w:sz w:val="22"/>
          <w:szCs w:val="22"/>
        </w:rPr>
        <w:t xml:space="preserve"> are also observed</w:t>
      </w:r>
      <w:r w:rsidR="002B00BE" w:rsidRPr="00BF3B6C">
        <w:rPr>
          <w:rFonts w:ascii="Arial" w:hAnsi="Arial" w:cs="Arial"/>
          <w:color w:val="000000" w:themeColor="text1"/>
          <w:sz w:val="22"/>
          <w:szCs w:val="22"/>
        </w:rPr>
        <w:t xml:space="preserve">. </w:t>
      </w:r>
      <w:r w:rsidR="00C2199C">
        <w:rPr>
          <w:rFonts w:ascii="Arial" w:hAnsi="Arial" w:cs="Arial"/>
          <w:color w:val="000000" w:themeColor="text1"/>
          <w:sz w:val="22"/>
          <w:szCs w:val="22"/>
        </w:rPr>
        <w:t>Both figures were standardized to 1.27 million lives cells.</w:t>
      </w:r>
    </w:p>
    <w:p w14:paraId="389E4D6D" w14:textId="77777777" w:rsidR="00B75EA0" w:rsidRDefault="00B75EA0" w:rsidP="00B75EA0">
      <w:pPr>
        <w:spacing w:line="240" w:lineRule="auto"/>
        <w:rPr>
          <w:rFonts w:ascii="Arial" w:hAnsi="Arial" w:cs="Arial"/>
          <w:sz w:val="22"/>
          <w:szCs w:val="22"/>
        </w:rPr>
      </w:pPr>
    </w:p>
    <w:p w14:paraId="16EF731C" w14:textId="77777777" w:rsidR="00B75EA0" w:rsidRDefault="00B75EA0" w:rsidP="00B75EA0">
      <w:pPr>
        <w:spacing w:line="240" w:lineRule="auto"/>
        <w:rPr>
          <w:rFonts w:ascii="Arial" w:hAnsi="Arial" w:cs="Arial"/>
          <w:sz w:val="22"/>
          <w:szCs w:val="22"/>
        </w:rPr>
      </w:pPr>
    </w:p>
    <w:p w14:paraId="0C8207B3" w14:textId="1798BF9B" w:rsidR="00B75EA0" w:rsidRPr="00AB4A58" w:rsidRDefault="00430F24" w:rsidP="00B75EA0">
      <w:pPr>
        <w:spacing w:line="240" w:lineRule="auto"/>
        <w:rPr>
          <w:rFonts w:ascii="Arial" w:hAnsi="Arial" w:cs="Arial"/>
          <w:sz w:val="22"/>
          <w:szCs w:val="22"/>
        </w:rPr>
      </w:pPr>
      <w:r w:rsidRPr="00430F24">
        <w:rPr>
          <w:rFonts w:ascii="Arial" w:hAnsi="Arial" w:cs="Arial"/>
          <w:sz w:val="22"/>
          <w:szCs w:val="22"/>
        </w:rPr>
        <w:drawing>
          <wp:inline distT="0" distB="0" distL="0" distR="0" wp14:anchorId="59FB55BA" wp14:editId="56549AE9">
            <wp:extent cx="5943600" cy="3551555"/>
            <wp:effectExtent l="0" t="0" r="0" b="0"/>
            <wp:docPr id="1392627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27642" name=""/>
                    <pic:cNvPicPr/>
                  </pic:nvPicPr>
                  <pic:blipFill>
                    <a:blip r:embed="rId12"/>
                    <a:stretch>
                      <a:fillRect/>
                    </a:stretch>
                  </pic:blipFill>
                  <pic:spPr>
                    <a:xfrm>
                      <a:off x="0" y="0"/>
                      <a:ext cx="5943600" cy="3551555"/>
                    </a:xfrm>
                    <a:prstGeom prst="rect">
                      <a:avLst/>
                    </a:prstGeom>
                  </pic:spPr>
                </pic:pic>
              </a:graphicData>
            </a:graphic>
          </wp:inline>
        </w:drawing>
      </w:r>
    </w:p>
    <w:p w14:paraId="059F2E57" w14:textId="0F51E478" w:rsidR="00B75EA0" w:rsidRDefault="00B75EA0" w:rsidP="008C56AB">
      <w:pPr>
        <w:spacing w:line="240" w:lineRule="auto"/>
        <w:jc w:val="both"/>
        <w:rPr>
          <w:rFonts w:ascii="Arial" w:hAnsi="Arial" w:cs="Arial"/>
          <w:sz w:val="22"/>
          <w:szCs w:val="22"/>
        </w:rPr>
      </w:pPr>
      <w:r w:rsidRPr="00AB4A58">
        <w:rPr>
          <w:rFonts w:ascii="Arial" w:hAnsi="Arial" w:cs="Arial"/>
          <w:b/>
          <w:bCs/>
          <w:sz w:val="22"/>
          <w:szCs w:val="22"/>
        </w:rPr>
        <w:t xml:space="preserve">Supplementary Figure </w:t>
      </w:r>
      <w:r>
        <w:rPr>
          <w:rFonts w:ascii="Arial" w:hAnsi="Arial" w:cs="Arial"/>
          <w:b/>
          <w:bCs/>
          <w:sz w:val="22"/>
          <w:szCs w:val="22"/>
        </w:rPr>
        <w:t>5</w:t>
      </w:r>
      <w:r w:rsidRPr="00AB4A58">
        <w:rPr>
          <w:rFonts w:ascii="Arial" w:hAnsi="Arial" w:cs="Arial"/>
          <w:b/>
          <w:bCs/>
          <w:sz w:val="22"/>
          <w:szCs w:val="22"/>
        </w:rPr>
        <w:t>:</w:t>
      </w:r>
      <w:r w:rsidRPr="00AB4A58">
        <w:rPr>
          <w:rFonts w:ascii="Arial" w:hAnsi="Arial" w:cs="Arial"/>
          <w:sz w:val="22"/>
          <w:szCs w:val="22"/>
        </w:rPr>
        <w:t xml:space="preserve"> </w:t>
      </w:r>
      <w:r w:rsidR="008C56AB" w:rsidRPr="008C56AB">
        <w:rPr>
          <w:rFonts w:ascii="Arial" w:hAnsi="Arial" w:cs="Arial"/>
          <w:b/>
          <w:bCs/>
          <w:sz w:val="22"/>
          <w:szCs w:val="22"/>
        </w:rPr>
        <w:t>Thirteen</w:t>
      </w:r>
      <w:r w:rsidRPr="008C56AB">
        <w:rPr>
          <w:rFonts w:ascii="Arial" w:hAnsi="Arial" w:cs="Arial"/>
          <w:b/>
          <w:bCs/>
          <w:sz w:val="22"/>
          <w:szCs w:val="22"/>
        </w:rPr>
        <w:t xml:space="preserve"> color flow cytometry analysis of </w:t>
      </w:r>
      <w:r w:rsidR="008C56AB">
        <w:rPr>
          <w:rFonts w:ascii="Arial" w:hAnsi="Arial" w:cs="Arial"/>
          <w:b/>
          <w:bCs/>
          <w:sz w:val="22"/>
          <w:szCs w:val="22"/>
        </w:rPr>
        <w:t xml:space="preserve">a patient with </w:t>
      </w:r>
      <w:r w:rsidR="002B00BE" w:rsidRPr="008C56AB">
        <w:rPr>
          <w:rFonts w:ascii="Arial" w:hAnsi="Arial" w:cs="Arial"/>
          <w:b/>
          <w:bCs/>
          <w:sz w:val="22"/>
          <w:szCs w:val="22"/>
        </w:rPr>
        <w:t>relapsed WM</w:t>
      </w:r>
      <w:r w:rsidRPr="008C56AB">
        <w:rPr>
          <w:rFonts w:ascii="Arial" w:hAnsi="Arial" w:cs="Arial"/>
          <w:b/>
          <w:bCs/>
          <w:sz w:val="22"/>
          <w:szCs w:val="22"/>
        </w:rPr>
        <w:t>.</w:t>
      </w:r>
      <w:r w:rsidR="009C754A">
        <w:rPr>
          <w:rFonts w:ascii="Arial" w:hAnsi="Arial" w:cs="Arial"/>
          <w:i/>
          <w:iCs/>
          <w:sz w:val="22"/>
          <w:szCs w:val="22"/>
        </w:rPr>
        <w:t xml:space="preserve"> </w:t>
      </w:r>
      <w:r w:rsidR="008C56AB">
        <w:rPr>
          <w:rFonts w:ascii="Arial" w:hAnsi="Arial" w:cs="Arial"/>
          <w:sz w:val="22"/>
          <w:szCs w:val="22"/>
        </w:rPr>
        <w:t>BM</w:t>
      </w:r>
      <w:r w:rsidR="009C754A">
        <w:rPr>
          <w:rFonts w:ascii="Arial" w:hAnsi="Arial" w:cs="Arial"/>
          <w:sz w:val="22"/>
          <w:szCs w:val="22"/>
        </w:rPr>
        <w:t xml:space="preserve"> mononuclear cells from a patient relapsing post ibrutinib and </w:t>
      </w:r>
      <w:proofErr w:type="spellStart"/>
      <w:r w:rsidR="009C754A">
        <w:rPr>
          <w:rFonts w:ascii="Arial" w:hAnsi="Arial" w:cs="Arial"/>
          <w:sz w:val="22"/>
          <w:szCs w:val="22"/>
        </w:rPr>
        <w:t>venetoclax</w:t>
      </w:r>
      <w:proofErr w:type="spellEnd"/>
      <w:r w:rsidR="009C754A">
        <w:rPr>
          <w:rFonts w:ascii="Arial" w:hAnsi="Arial" w:cs="Arial"/>
          <w:sz w:val="22"/>
          <w:szCs w:val="22"/>
        </w:rPr>
        <w:t xml:space="preserve"> combination therapy. Gating on live single cells that were CD19+ Lambda light chain+ </w:t>
      </w:r>
      <w:r w:rsidR="00E5134E">
        <w:rPr>
          <w:rFonts w:ascii="Arial" w:hAnsi="Arial" w:cs="Arial"/>
          <w:sz w:val="22"/>
          <w:szCs w:val="22"/>
        </w:rPr>
        <w:t>revealed a</w:t>
      </w:r>
      <w:r w:rsidR="001970A5">
        <w:rPr>
          <w:rFonts w:ascii="Arial" w:hAnsi="Arial" w:cs="Arial"/>
          <w:sz w:val="22"/>
          <w:szCs w:val="22"/>
        </w:rPr>
        <w:t xml:space="preserve"> sizable</w:t>
      </w:r>
      <w:r w:rsidR="00E5134E">
        <w:rPr>
          <w:rFonts w:ascii="Arial" w:hAnsi="Arial" w:cs="Arial"/>
          <w:sz w:val="22"/>
          <w:szCs w:val="22"/>
        </w:rPr>
        <w:t xml:space="preserve"> sub population of cells positive for CD138 and CD16. </w:t>
      </w:r>
      <w:r w:rsidR="00BF3B6C">
        <w:rPr>
          <w:rFonts w:ascii="Arial" w:hAnsi="Arial" w:cs="Arial"/>
          <w:sz w:val="22"/>
          <w:szCs w:val="22"/>
        </w:rPr>
        <w:t xml:space="preserve">A smaller population with other markers is also observed consistent with the persistence of </w:t>
      </w:r>
      <w:r w:rsidR="00501FD1">
        <w:rPr>
          <w:rFonts w:ascii="Arial" w:hAnsi="Arial" w:cs="Arial"/>
          <w:sz w:val="22"/>
          <w:szCs w:val="22"/>
        </w:rPr>
        <w:t xml:space="preserve">the </w:t>
      </w:r>
      <w:r w:rsidR="00BF3B6C">
        <w:rPr>
          <w:rFonts w:ascii="Arial" w:hAnsi="Arial" w:cs="Arial"/>
          <w:sz w:val="22"/>
          <w:szCs w:val="22"/>
        </w:rPr>
        <w:t>clone</w:t>
      </w:r>
      <w:r w:rsidR="00501FD1">
        <w:rPr>
          <w:rFonts w:ascii="Arial" w:hAnsi="Arial" w:cs="Arial"/>
          <w:sz w:val="22"/>
          <w:szCs w:val="22"/>
        </w:rPr>
        <w:t xml:space="preserve"> associated with Early </w:t>
      </w:r>
      <w:proofErr w:type="spellStart"/>
      <w:r w:rsidR="00501FD1">
        <w:rPr>
          <w:rFonts w:ascii="Arial" w:hAnsi="Arial" w:cs="Arial"/>
          <w:sz w:val="22"/>
          <w:szCs w:val="22"/>
        </w:rPr>
        <w:t>EScore</w:t>
      </w:r>
      <w:proofErr w:type="spellEnd"/>
      <w:r w:rsidR="00BF3B6C">
        <w:rPr>
          <w:rFonts w:ascii="Arial" w:hAnsi="Arial" w:cs="Arial"/>
          <w:sz w:val="22"/>
          <w:szCs w:val="22"/>
        </w:rPr>
        <w:t>.</w:t>
      </w:r>
      <w:r w:rsidR="00430F24">
        <w:rPr>
          <w:rFonts w:ascii="Arial" w:hAnsi="Arial" w:cs="Arial"/>
          <w:sz w:val="22"/>
          <w:szCs w:val="22"/>
        </w:rPr>
        <w:t xml:space="preserve"> This figure was standardized to 1.27 million live cells.</w:t>
      </w:r>
    </w:p>
    <w:p w14:paraId="5C8E84B2" w14:textId="77777777" w:rsidR="00AB4A58" w:rsidRDefault="00AB4A58" w:rsidP="003405F0">
      <w:pPr>
        <w:spacing w:line="240" w:lineRule="auto"/>
      </w:pPr>
    </w:p>
    <w:sectPr w:rsidR="00AB4A5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reon, Steven P.,MD, PhD" w:date="2025-04-01T16:02:00Z" w:initials="ST">
    <w:p w14:paraId="4FE4DBDC" w14:textId="77777777" w:rsidR="008C56AB" w:rsidRDefault="008C56AB" w:rsidP="008C56AB">
      <w:pPr>
        <w:pStyle w:val="CommentText"/>
      </w:pPr>
      <w:r>
        <w:rPr>
          <w:rStyle w:val="CommentReference"/>
        </w:rPr>
        <w:annotationRef/>
      </w:r>
      <w:r>
        <w:t xml:space="preserve">Change unsubtyped to EWM, thanks.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E4DB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C6B2E3" w16cex:dateUtc="2025-04-01T2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E4DBDC" w16cid:durableId="00C6B2E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reon, Steven P.,MD, PhD">
    <w15:presenceInfo w15:providerId="AD" w15:userId="S::steven_treon@dfci.harvard.edu::8a9a9573-aa68-4d80-a369-aad35fe891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7BC"/>
    <w:rsid w:val="0001051B"/>
    <w:rsid w:val="000333AC"/>
    <w:rsid w:val="00061B3D"/>
    <w:rsid w:val="000D58EC"/>
    <w:rsid w:val="00125F73"/>
    <w:rsid w:val="001970A5"/>
    <w:rsid w:val="001E5CE2"/>
    <w:rsid w:val="00260667"/>
    <w:rsid w:val="002A71B0"/>
    <w:rsid w:val="002B00BE"/>
    <w:rsid w:val="003405F0"/>
    <w:rsid w:val="00350115"/>
    <w:rsid w:val="003E15B4"/>
    <w:rsid w:val="004228F1"/>
    <w:rsid w:val="00430F24"/>
    <w:rsid w:val="004C6F6E"/>
    <w:rsid w:val="00501FD1"/>
    <w:rsid w:val="005A4751"/>
    <w:rsid w:val="005F20ED"/>
    <w:rsid w:val="006167BC"/>
    <w:rsid w:val="00640C83"/>
    <w:rsid w:val="006E34E1"/>
    <w:rsid w:val="007F0D33"/>
    <w:rsid w:val="008436A2"/>
    <w:rsid w:val="008871B5"/>
    <w:rsid w:val="008C56AB"/>
    <w:rsid w:val="008F2F6C"/>
    <w:rsid w:val="009C754A"/>
    <w:rsid w:val="00A0309E"/>
    <w:rsid w:val="00A05ACD"/>
    <w:rsid w:val="00A14F9B"/>
    <w:rsid w:val="00AB4A58"/>
    <w:rsid w:val="00B75EA0"/>
    <w:rsid w:val="00BE0F3D"/>
    <w:rsid w:val="00BF3B6C"/>
    <w:rsid w:val="00C2199C"/>
    <w:rsid w:val="00CC7621"/>
    <w:rsid w:val="00CE74B1"/>
    <w:rsid w:val="00DD080F"/>
    <w:rsid w:val="00E2050D"/>
    <w:rsid w:val="00E5134E"/>
    <w:rsid w:val="00EB3E94"/>
    <w:rsid w:val="00FA1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E1DF7"/>
  <w15:chartTrackingRefBased/>
  <w15:docId w15:val="{ACE2CD83-9F7E-934E-A5D7-35ACC13D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67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67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67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67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67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67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67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67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67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7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67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67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67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67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67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67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67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67BC"/>
    <w:rPr>
      <w:rFonts w:eastAsiaTheme="majorEastAsia" w:cstheme="majorBidi"/>
      <w:color w:val="272727" w:themeColor="text1" w:themeTint="D8"/>
    </w:rPr>
  </w:style>
  <w:style w:type="paragraph" w:styleId="Title">
    <w:name w:val="Title"/>
    <w:basedOn w:val="Normal"/>
    <w:next w:val="Normal"/>
    <w:link w:val="TitleChar"/>
    <w:uiPriority w:val="10"/>
    <w:qFormat/>
    <w:rsid w:val="006167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67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67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67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67BC"/>
    <w:pPr>
      <w:spacing w:before="160"/>
      <w:jc w:val="center"/>
    </w:pPr>
    <w:rPr>
      <w:i/>
      <w:iCs/>
      <w:color w:val="404040" w:themeColor="text1" w:themeTint="BF"/>
    </w:rPr>
  </w:style>
  <w:style w:type="character" w:customStyle="1" w:styleId="QuoteChar">
    <w:name w:val="Quote Char"/>
    <w:basedOn w:val="DefaultParagraphFont"/>
    <w:link w:val="Quote"/>
    <w:uiPriority w:val="29"/>
    <w:rsid w:val="006167BC"/>
    <w:rPr>
      <w:i/>
      <w:iCs/>
      <w:color w:val="404040" w:themeColor="text1" w:themeTint="BF"/>
    </w:rPr>
  </w:style>
  <w:style w:type="paragraph" w:styleId="ListParagraph">
    <w:name w:val="List Paragraph"/>
    <w:basedOn w:val="Normal"/>
    <w:uiPriority w:val="34"/>
    <w:qFormat/>
    <w:rsid w:val="006167BC"/>
    <w:pPr>
      <w:ind w:left="720"/>
      <w:contextualSpacing/>
    </w:pPr>
  </w:style>
  <w:style w:type="character" w:styleId="IntenseEmphasis">
    <w:name w:val="Intense Emphasis"/>
    <w:basedOn w:val="DefaultParagraphFont"/>
    <w:uiPriority w:val="21"/>
    <w:qFormat/>
    <w:rsid w:val="006167BC"/>
    <w:rPr>
      <w:i/>
      <w:iCs/>
      <w:color w:val="0F4761" w:themeColor="accent1" w:themeShade="BF"/>
    </w:rPr>
  </w:style>
  <w:style w:type="paragraph" w:styleId="IntenseQuote">
    <w:name w:val="Intense Quote"/>
    <w:basedOn w:val="Normal"/>
    <w:next w:val="Normal"/>
    <w:link w:val="IntenseQuoteChar"/>
    <w:uiPriority w:val="30"/>
    <w:qFormat/>
    <w:rsid w:val="006167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67BC"/>
    <w:rPr>
      <w:i/>
      <w:iCs/>
      <w:color w:val="0F4761" w:themeColor="accent1" w:themeShade="BF"/>
    </w:rPr>
  </w:style>
  <w:style w:type="character" w:styleId="IntenseReference">
    <w:name w:val="Intense Reference"/>
    <w:basedOn w:val="DefaultParagraphFont"/>
    <w:uiPriority w:val="32"/>
    <w:qFormat/>
    <w:rsid w:val="006167BC"/>
    <w:rPr>
      <w:b/>
      <w:bCs/>
      <w:smallCaps/>
      <w:color w:val="0F4761" w:themeColor="accent1" w:themeShade="BF"/>
      <w:spacing w:val="5"/>
    </w:rPr>
  </w:style>
  <w:style w:type="character" w:styleId="CommentReference">
    <w:name w:val="annotation reference"/>
    <w:basedOn w:val="DefaultParagraphFont"/>
    <w:uiPriority w:val="99"/>
    <w:semiHidden/>
    <w:unhideWhenUsed/>
    <w:rsid w:val="008C56AB"/>
    <w:rPr>
      <w:sz w:val="16"/>
      <w:szCs w:val="16"/>
    </w:rPr>
  </w:style>
  <w:style w:type="paragraph" w:styleId="CommentText">
    <w:name w:val="annotation text"/>
    <w:basedOn w:val="Normal"/>
    <w:link w:val="CommentTextChar"/>
    <w:uiPriority w:val="99"/>
    <w:unhideWhenUsed/>
    <w:rsid w:val="008C56AB"/>
    <w:pPr>
      <w:spacing w:line="240" w:lineRule="auto"/>
    </w:pPr>
    <w:rPr>
      <w:sz w:val="20"/>
      <w:szCs w:val="20"/>
    </w:rPr>
  </w:style>
  <w:style w:type="character" w:customStyle="1" w:styleId="CommentTextChar">
    <w:name w:val="Comment Text Char"/>
    <w:basedOn w:val="DefaultParagraphFont"/>
    <w:link w:val="CommentText"/>
    <w:uiPriority w:val="99"/>
    <w:rsid w:val="008C56AB"/>
    <w:rPr>
      <w:sz w:val="20"/>
      <w:szCs w:val="20"/>
    </w:rPr>
  </w:style>
  <w:style w:type="paragraph" w:styleId="CommentSubject">
    <w:name w:val="annotation subject"/>
    <w:basedOn w:val="CommentText"/>
    <w:next w:val="CommentText"/>
    <w:link w:val="CommentSubjectChar"/>
    <w:uiPriority w:val="99"/>
    <w:semiHidden/>
    <w:unhideWhenUsed/>
    <w:rsid w:val="008C56AB"/>
    <w:rPr>
      <w:b/>
      <w:bCs/>
    </w:rPr>
  </w:style>
  <w:style w:type="character" w:customStyle="1" w:styleId="CommentSubjectChar">
    <w:name w:val="Comment Subject Char"/>
    <w:basedOn w:val="CommentTextChar"/>
    <w:link w:val="CommentSubject"/>
    <w:uiPriority w:val="99"/>
    <w:semiHidden/>
    <w:rsid w:val="008C56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87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18/08/relationships/commentsExtensible" Target="commentsExtensible.xml"/><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microsoft.com/office/2016/09/relationships/commentsIds" Target="commentsIds.xml"/><Relationship Id="rId11" Type="http://schemas.openxmlformats.org/officeDocument/2006/relationships/image" Target="media/image4.emf"/><Relationship Id="rId5" Type="http://schemas.microsoft.com/office/2011/relationships/commentsExtended" Target="commentsExtended.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comments" Target="comments.xml"/><Relationship Id="rId9" Type="http://schemas.openxmlformats.org/officeDocument/2006/relationships/image" Target="media/image2.em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 Zachary R</dc:creator>
  <cp:keywords/>
  <dc:description/>
  <cp:lastModifiedBy>Hunter, Zachary R</cp:lastModifiedBy>
  <cp:revision>4</cp:revision>
  <dcterms:created xsi:type="dcterms:W3CDTF">2025-04-16T18:00:00Z</dcterms:created>
  <dcterms:modified xsi:type="dcterms:W3CDTF">2025-04-17T04:33:00Z</dcterms:modified>
</cp:coreProperties>
</file>