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BC3105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C7F41">
        <w:rPr>
          <w:rFonts w:ascii="Times New Roman" w:hAnsi="Times New Roman" w:cs="Times New Roman"/>
          <w:b/>
          <w:i/>
          <w:sz w:val="20"/>
          <w:szCs w:val="20"/>
        </w:rPr>
        <w:t>In vivo</w:t>
      </w:r>
      <w:r w:rsidRPr="00FC7F41">
        <w:rPr>
          <w:rFonts w:ascii="Times New Roman" w:hAnsi="Times New Roman" w:cs="Times New Roman"/>
          <w:b/>
          <w:sz w:val="20"/>
          <w:szCs w:val="20"/>
        </w:rPr>
        <w:t xml:space="preserve"> quantitative assessment of therapeutic response to bortezomib therapy in disseminated animal models of multiple myeloma with </w:t>
      </w:r>
      <w:r w:rsidRPr="00FC7F41">
        <w:rPr>
          <w:rFonts w:ascii="Times New Roman" w:hAnsi="Times New Roman" w:cs="Times New Roman"/>
          <w:b/>
          <w:sz w:val="20"/>
          <w:szCs w:val="20"/>
          <w:vertAlign w:val="superscript"/>
        </w:rPr>
        <w:t>18</w:t>
      </w:r>
      <w:r w:rsidRPr="00FC7F41">
        <w:rPr>
          <w:rFonts w:ascii="Times New Roman" w:hAnsi="Times New Roman" w:cs="Times New Roman"/>
          <w:b/>
          <w:sz w:val="20"/>
          <w:szCs w:val="20"/>
        </w:rPr>
        <w:t xml:space="preserve">F-FDG and </w:t>
      </w:r>
      <w:r w:rsidRPr="00FC7F41">
        <w:rPr>
          <w:rFonts w:ascii="Times New Roman" w:hAnsi="Times New Roman" w:cs="Times New Roman"/>
          <w:b/>
          <w:sz w:val="20"/>
          <w:szCs w:val="20"/>
          <w:vertAlign w:val="superscript"/>
        </w:rPr>
        <w:t>64</w:t>
      </w:r>
      <w:r w:rsidRPr="00FC7F41">
        <w:rPr>
          <w:rFonts w:ascii="Times New Roman" w:hAnsi="Times New Roman" w:cs="Times New Roman"/>
          <w:b/>
          <w:sz w:val="20"/>
          <w:szCs w:val="20"/>
        </w:rPr>
        <w:t>Cu-LLP2A PET</w:t>
      </w:r>
    </w:p>
    <w:p w14:paraId="2BB1374D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7F41">
        <w:rPr>
          <w:rFonts w:ascii="Times New Roman" w:hAnsi="Times New Roman" w:cs="Times New Roman"/>
          <w:sz w:val="20"/>
          <w:szCs w:val="20"/>
        </w:rPr>
        <w:t>Anchal Ghai</w:t>
      </w: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C7F41">
        <w:rPr>
          <w:rFonts w:ascii="Times New Roman" w:hAnsi="Times New Roman" w:cs="Times New Roman"/>
          <w:sz w:val="20"/>
          <w:szCs w:val="20"/>
        </w:rPr>
        <w:t>, Nikki Fettig</w:t>
      </w: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C7F41">
        <w:rPr>
          <w:rFonts w:ascii="Times New Roman" w:hAnsi="Times New Roman" w:cs="Times New Roman"/>
          <w:sz w:val="20"/>
          <w:szCs w:val="20"/>
        </w:rPr>
        <w:t>, Francesca Fontana</w:t>
      </w: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C7F41">
        <w:rPr>
          <w:rFonts w:ascii="Times New Roman" w:hAnsi="Times New Roman" w:cs="Times New Roman"/>
          <w:sz w:val="20"/>
          <w:szCs w:val="20"/>
        </w:rPr>
        <w:t>, John DiPersio</w:t>
      </w: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C7F41">
        <w:rPr>
          <w:rFonts w:ascii="Times New Roman" w:hAnsi="Times New Roman" w:cs="Times New Roman"/>
          <w:sz w:val="20"/>
          <w:szCs w:val="20"/>
        </w:rPr>
        <w:t>, Mike Rettig</w:t>
      </w: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C7F41">
        <w:rPr>
          <w:rFonts w:ascii="Times New Roman" w:hAnsi="Times New Roman" w:cs="Times New Roman"/>
          <w:sz w:val="20"/>
          <w:szCs w:val="20"/>
        </w:rPr>
        <w:t>, Julie O Neal</w:t>
      </w: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C7F41">
        <w:rPr>
          <w:rFonts w:ascii="Times New Roman" w:hAnsi="Times New Roman" w:cs="Times New Roman"/>
          <w:sz w:val="20"/>
          <w:szCs w:val="20"/>
        </w:rPr>
        <w:t>, Samuel Achilefu</w:t>
      </w: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1, 4, 5</w:t>
      </w:r>
      <w:r w:rsidRPr="00FC7F41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C7F41">
        <w:rPr>
          <w:rFonts w:ascii="Times New Roman" w:hAnsi="Times New Roman" w:cs="Times New Roman"/>
          <w:sz w:val="20"/>
          <w:szCs w:val="20"/>
        </w:rPr>
        <w:t>Kooresh</w:t>
      </w:r>
      <w:proofErr w:type="spellEnd"/>
      <w:r w:rsidRPr="00FC7F41">
        <w:rPr>
          <w:rFonts w:ascii="Times New Roman" w:hAnsi="Times New Roman" w:cs="Times New Roman"/>
          <w:sz w:val="20"/>
          <w:szCs w:val="20"/>
        </w:rPr>
        <w:t xml:space="preserve"> Shoghi</w:t>
      </w: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C7F41">
        <w:rPr>
          <w:rFonts w:ascii="Times New Roman" w:hAnsi="Times New Roman" w:cs="Times New Roman"/>
          <w:sz w:val="20"/>
          <w:szCs w:val="20"/>
        </w:rPr>
        <w:t>, Monica Shokeen</w:t>
      </w: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1, 4*</w:t>
      </w:r>
    </w:p>
    <w:p w14:paraId="48A35E70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C7F41">
        <w:rPr>
          <w:rFonts w:ascii="Times New Roman" w:hAnsi="Times New Roman" w:cs="Times New Roman"/>
          <w:sz w:val="20"/>
          <w:szCs w:val="20"/>
        </w:rPr>
        <w:t>Department of Radiology, Washington University School of Medicine, St. Louis, MO</w:t>
      </w:r>
    </w:p>
    <w:p w14:paraId="3E6ADAE2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C7F41">
        <w:rPr>
          <w:rFonts w:ascii="Times New Roman" w:hAnsi="Times New Roman" w:cs="Times New Roman"/>
          <w:sz w:val="20"/>
          <w:szCs w:val="20"/>
        </w:rPr>
        <w:t>Department of Internal Medicine, Washington University School of Medicine, St. Louis, MO</w:t>
      </w:r>
    </w:p>
    <w:p w14:paraId="245BF508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C7F41">
        <w:rPr>
          <w:rFonts w:ascii="Times New Roman" w:hAnsi="Times New Roman" w:cs="Times New Roman"/>
          <w:sz w:val="20"/>
          <w:szCs w:val="20"/>
        </w:rPr>
        <w:t>Department of Medicine, Washington University School of Medicine, St Louis, MO</w:t>
      </w:r>
    </w:p>
    <w:p w14:paraId="76D40114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FC7F41">
        <w:rPr>
          <w:rFonts w:ascii="Times New Roman" w:hAnsi="Times New Roman" w:cs="Times New Roman"/>
          <w:sz w:val="20"/>
          <w:szCs w:val="20"/>
        </w:rPr>
        <w:t>Department of Biomedical Engineering, Washington University in St. Louis, St. Louis, MO</w:t>
      </w:r>
    </w:p>
    <w:p w14:paraId="3E3A5FEA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FC7F41">
        <w:rPr>
          <w:rFonts w:ascii="Times New Roman" w:hAnsi="Times New Roman" w:cs="Times New Roman"/>
          <w:sz w:val="20"/>
          <w:szCs w:val="20"/>
        </w:rPr>
        <w:t>Department of Biochemistry and Molecular Biophysics, Washington University School of Medicine, St. Louis, MO</w:t>
      </w:r>
    </w:p>
    <w:p w14:paraId="607E7364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7F41">
        <w:rPr>
          <w:rFonts w:ascii="Times New Roman" w:hAnsi="Times New Roman" w:cs="Times New Roman"/>
          <w:sz w:val="20"/>
          <w:szCs w:val="20"/>
          <w:u w:val="single"/>
        </w:rPr>
        <w:t>*Corresponding author</w:t>
      </w:r>
      <w:r w:rsidRPr="00FC7F41">
        <w:rPr>
          <w:rFonts w:ascii="Times New Roman" w:hAnsi="Times New Roman" w:cs="Times New Roman"/>
          <w:sz w:val="20"/>
          <w:szCs w:val="20"/>
        </w:rPr>
        <w:t>: Monica Shokeen, Department of Radiology, Mallinckrodt Institute of Radiology, 4515 McKinley Avenue, 2</w:t>
      </w: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nd</w:t>
      </w:r>
      <w:r w:rsidRPr="00FC7F41">
        <w:rPr>
          <w:rFonts w:ascii="Times New Roman" w:hAnsi="Times New Roman" w:cs="Times New Roman"/>
          <w:sz w:val="20"/>
          <w:szCs w:val="20"/>
        </w:rPr>
        <w:t xml:space="preserve"> floor, St Louis, MO 63110. Email: shokeenm@wustl.edu   </w:t>
      </w:r>
    </w:p>
    <w:p w14:paraId="6E1DA5EE" w14:textId="77777777" w:rsidR="00BE2D23" w:rsidRPr="00FC7F41" w:rsidRDefault="00795C3F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2739D2A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86117EB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FDF6D0A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966DADF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9E7665D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D4EF751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972D018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4A5F154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D27D75E" w14:textId="73DAE8F2" w:rsidR="006B63ED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0278CDE" w14:textId="31E22936" w:rsidR="00641527" w:rsidRDefault="00641527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C53DBA1" w14:textId="6B7EEE9A" w:rsidR="00641527" w:rsidRDefault="00641527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946F52" w14:textId="77777777" w:rsidR="00641527" w:rsidRPr="00FC7F41" w:rsidRDefault="00641527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C7DFF4D" w14:textId="77777777" w:rsidR="006B63ED" w:rsidRPr="00FC7F41" w:rsidRDefault="006B63E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8B7F1C2" w14:textId="77777777" w:rsidR="00392A25" w:rsidRPr="00FC7F41" w:rsidRDefault="00392A25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3C26F93" w14:textId="77777777" w:rsidR="005A05F7" w:rsidRPr="00FC7F41" w:rsidRDefault="005A05F7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53F3AE8" w14:textId="77777777" w:rsidR="006B63ED" w:rsidRPr="00FC7F41" w:rsidRDefault="00D76E3D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7F41"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Methods</w:t>
      </w:r>
      <w:r w:rsidRPr="00FC7F41">
        <w:rPr>
          <w:rFonts w:ascii="Times New Roman" w:hAnsi="Times New Roman" w:cs="Times New Roman"/>
          <w:sz w:val="20"/>
          <w:szCs w:val="20"/>
        </w:rPr>
        <w:t>:</w:t>
      </w:r>
    </w:p>
    <w:p w14:paraId="45C3D4AF" w14:textId="77777777" w:rsidR="00476113" w:rsidRPr="00FC7F41" w:rsidRDefault="00476113" w:rsidP="005A05F7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C7F41">
        <w:rPr>
          <w:rFonts w:ascii="Times New Roman" w:hAnsi="Times New Roman" w:cs="Times New Roman"/>
          <w:b/>
          <w:sz w:val="20"/>
          <w:szCs w:val="20"/>
        </w:rPr>
        <w:t xml:space="preserve">Quality control of </w:t>
      </w:r>
      <w:r w:rsidRPr="00FC7F41">
        <w:rPr>
          <w:rFonts w:ascii="Times New Roman" w:hAnsi="Times New Roman" w:cs="Times New Roman"/>
          <w:b/>
          <w:sz w:val="20"/>
          <w:szCs w:val="20"/>
          <w:vertAlign w:val="superscript"/>
        </w:rPr>
        <w:t>64</w:t>
      </w:r>
      <w:r w:rsidRPr="00FC7F41">
        <w:rPr>
          <w:rFonts w:ascii="Times New Roman" w:hAnsi="Times New Roman" w:cs="Times New Roman"/>
          <w:b/>
          <w:sz w:val="20"/>
          <w:szCs w:val="20"/>
        </w:rPr>
        <w:t>Cu-LLP2A</w:t>
      </w:r>
    </w:p>
    <w:p w14:paraId="04C327D4" w14:textId="022E42CD" w:rsidR="00476113" w:rsidRPr="00FC7F41" w:rsidRDefault="00035FA3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7F41">
        <w:rPr>
          <w:rFonts w:ascii="Times New Roman" w:hAnsi="Times New Roman" w:cs="Times New Roman"/>
          <w:sz w:val="20"/>
          <w:szCs w:val="20"/>
        </w:rPr>
        <w:t>VLA4 targeted peptide, LLP2A-CB-TE1A1P</w:t>
      </w:r>
      <w:r w:rsidR="00970353" w:rsidRPr="00FC7F41">
        <w:rPr>
          <w:rFonts w:ascii="Times New Roman" w:hAnsi="Times New Roman" w:cs="Times New Roman"/>
          <w:sz w:val="20"/>
          <w:szCs w:val="20"/>
        </w:rPr>
        <w:t xml:space="preserve"> (LLP2A)</w:t>
      </w:r>
      <w:r w:rsidRPr="00FC7F41">
        <w:rPr>
          <w:rFonts w:ascii="Times New Roman" w:hAnsi="Times New Roman" w:cs="Times New Roman"/>
          <w:sz w:val="20"/>
          <w:szCs w:val="20"/>
        </w:rPr>
        <w:t xml:space="preserve"> was radiolabeled with copper 64 (</w:t>
      </w:r>
      <w:r w:rsidRPr="00FC7F41">
        <w:rPr>
          <w:rFonts w:ascii="Times New Roman" w:hAnsi="Times New Roman" w:cs="Times New Roman"/>
          <w:sz w:val="20"/>
          <w:szCs w:val="20"/>
          <w:vertAlign w:val="superscript"/>
        </w:rPr>
        <w:t>64</w:t>
      </w:r>
      <w:r w:rsidRPr="00FC7F41">
        <w:rPr>
          <w:rFonts w:ascii="Times New Roman" w:hAnsi="Times New Roman" w:cs="Times New Roman"/>
          <w:sz w:val="20"/>
          <w:szCs w:val="20"/>
        </w:rPr>
        <w:t>Cu)</w:t>
      </w:r>
      <w:r w:rsidR="000B3F32" w:rsidRPr="00FC7F41">
        <w:rPr>
          <w:rFonts w:ascii="Times New Roman" w:hAnsi="Times New Roman" w:cs="Times New Roman"/>
          <w:sz w:val="20"/>
          <w:szCs w:val="20"/>
        </w:rPr>
        <w:t xml:space="preserve">. </w:t>
      </w:r>
      <w:r w:rsidR="0090653D" w:rsidRPr="00FC7F41">
        <w:rPr>
          <w:rFonts w:ascii="Times New Roman" w:hAnsi="Times New Roman" w:cs="Times New Roman"/>
          <w:sz w:val="20"/>
          <w:szCs w:val="20"/>
        </w:rPr>
        <w:t>A</w:t>
      </w:r>
      <w:r w:rsidR="006117D0" w:rsidRPr="00FC7F41">
        <w:rPr>
          <w:rFonts w:ascii="Times New Roman" w:hAnsi="Times New Roman" w:cs="Times New Roman"/>
          <w:sz w:val="20"/>
          <w:szCs w:val="20"/>
        </w:rPr>
        <w:t xml:space="preserve">mmonium acetate </w:t>
      </w:r>
      <w:r w:rsidR="0090653D" w:rsidRPr="00FC7F41">
        <w:rPr>
          <w:rFonts w:ascii="Times New Roman" w:hAnsi="Times New Roman" w:cs="Times New Roman"/>
          <w:sz w:val="20"/>
          <w:szCs w:val="20"/>
        </w:rPr>
        <w:t>(0.1M; pH 5.5)</w:t>
      </w:r>
      <w:r w:rsidR="006117D0" w:rsidRPr="00FC7F41">
        <w:rPr>
          <w:rFonts w:ascii="Times New Roman" w:hAnsi="Times New Roman" w:cs="Times New Roman"/>
          <w:sz w:val="20"/>
          <w:szCs w:val="20"/>
        </w:rPr>
        <w:t xml:space="preserve"> </w:t>
      </w:r>
      <w:r w:rsidR="00CB128F" w:rsidRPr="00FC7F41">
        <w:rPr>
          <w:rFonts w:ascii="Times New Roman" w:hAnsi="Times New Roman" w:cs="Times New Roman"/>
          <w:sz w:val="20"/>
          <w:szCs w:val="20"/>
        </w:rPr>
        <w:t xml:space="preserve">was used </w:t>
      </w:r>
      <w:r w:rsidR="0090653D" w:rsidRPr="00FC7F41">
        <w:rPr>
          <w:rFonts w:ascii="Times New Roman" w:hAnsi="Times New Roman" w:cs="Times New Roman"/>
          <w:sz w:val="20"/>
          <w:szCs w:val="20"/>
        </w:rPr>
        <w:t xml:space="preserve">as the radiolabeling buffer. </w:t>
      </w:r>
      <w:r w:rsidR="00677F1B" w:rsidRPr="00FC7F41">
        <w:rPr>
          <w:rFonts w:ascii="Times New Roman" w:hAnsi="Times New Roman" w:cs="Times New Roman"/>
          <w:sz w:val="20"/>
          <w:szCs w:val="20"/>
        </w:rPr>
        <w:t xml:space="preserve">LLP2A </w:t>
      </w:r>
      <w:r w:rsidR="00970353" w:rsidRPr="00FC7F41">
        <w:rPr>
          <w:rFonts w:ascii="Times New Roman" w:hAnsi="Times New Roman" w:cs="Times New Roman"/>
          <w:sz w:val="20"/>
          <w:szCs w:val="20"/>
        </w:rPr>
        <w:t xml:space="preserve">precursor </w:t>
      </w:r>
      <w:r w:rsidR="00677F1B" w:rsidRPr="00FC7F41">
        <w:rPr>
          <w:rFonts w:ascii="Times New Roman" w:hAnsi="Times New Roman" w:cs="Times New Roman"/>
          <w:sz w:val="20"/>
          <w:szCs w:val="20"/>
        </w:rPr>
        <w:t xml:space="preserve">(2.5 µg; 1.61 </w:t>
      </w:r>
      <w:proofErr w:type="spellStart"/>
      <w:r w:rsidR="00677F1B" w:rsidRPr="00FC7F41">
        <w:rPr>
          <w:rFonts w:ascii="Times New Roman" w:hAnsi="Times New Roman" w:cs="Times New Roman"/>
          <w:sz w:val="20"/>
          <w:szCs w:val="20"/>
        </w:rPr>
        <w:t>nmol</w:t>
      </w:r>
      <w:proofErr w:type="spellEnd"/>
      <w:r w:rsidR="00677F1B" w:rsidRPr="00FC7F41">
        <w:rPr>
          <w:rFonts w:ascii="Times New Roman" w:hAnsi="Times New Roman" w:cs="Times New Roman"/>
          <w:sz w:val="20"/>
          <w:szCs w:val="20"/>
        </w:rPr>
        <w:t>)</w:t>
      </w:r>
      <w:r w:rsidR="00281E4D" w:rsidRPr="00FC7F41">
        <w:rPr>
          <w:rFonts w:ascii="Times New Roman" w:hAnsi="Times New Roman" w:cs="Times New Roman"/>
          <w:sz w:val="20"/>
          <w:szCs w:val="20"/>
        </w:rPr>
        <w:t xml:space="preserve"> was </w:t>
      </w:r>
      <w:r w:rsidR="00C20634" w:rsidRPr="00FC7F41">
        <w:rPr>
          <w:rFonts w:ascii="Times New Roman" w:hAnsi="Times New Roman" w:cs="Times New Roman"/>
          <w:sz w:val="20"/>
          <w:szCs w:val="20"/>
        </w:rPr>
        <w:t xml:space="preserve">incubated with </w:t>
      </w:r>
      <w:r w:rsidR="00C20634" w:rsidRPr="00FC7F41">
        <w:rPr>
          <w:rFonts w:ascii="Times New Roman" w:hAnsi="Times New Roman" w:cs="Times New Roman"/>
          <w:sz w:val="20"/>
          <w:szCs w:val="20"/>
          <w:vertAlign w:val="superscript"/>
        </w:rPr>
        <w:t>64</w:t>
      </w:r>
      <w:r w:rsidR="00C20634" w:rsidRPr="00FC7F41">
        <w:rPr>
          <w:rFonts w:ascii="Times New Roman" w:hAnsi="Times New Roman" w:cs="Times New Roman"/>
          <w:sz w:val="20"/>
          <w:szCs w:val="20"/>
        </w:rPr>
        <w:t>Cu-chloride</w:t>
      </w:r>
      <w:r w:rsidR="002C33AB" w:rsidRPr="00FC7F41">
        <w:rPr>
          <w:rFonts w:ascii="Times New Roman" w:hAnsi="Times New Roman" w:cs="Times New Roman"/>
          <w:sz w:val="20"/>
          <w:szCs w:val="20"/>
        </w:rPr>
        <w:t xml:space="preserve"> (74 </w:t>
      </w:r>
      <w:proofErr w:type="spellStart"/>
      <w:r w:rsidR="002C33AB" w:rsidRPr="00FC7F41">
        <w:rPr>
          <w:rFonts w:ascii="Times New Roman" w:hAnsi="Times New Roman" w:cs="Times New Roman"/>
          <w:sz w:val="20"/>
          <w:szCs w:val="20"/>
        </w:rPr>
        <w:t>MBq</w:t>
      </w:r>
      <w:proofErr w:type="spellEnd"/>
      <w:r w:rsidR="002C33AB" w:rsidRPr="00FC7F41">
        <w:rPr>
          <w:rFonts w:ascii="Times New Roman" w:hAnsi="Times New Roman" w:cs="Times New Roman"/>
          <w:sz w:val="20"/>
          <w:szCs w:val="20"/>
        </w:rPr>
        <w:t xml:space="preserve">) for 30-40 min at 70°C with slight shaking. The </w:t>
      </w:r>
      <w:r w:rsidR="00217382" w:rsidRPr="00FC7F41">
        <w:rPr>
          <w:rFonts w:ascii="Times New Roman" w:hAnsi="Times New Roman" w:cs="Times New Roman"/>
          <w:sz w:val="20"/>
          <w:szCs w:val="20"/>
        </w:rPr>
        <w:t xml:space="preserve">radiolabeling efficiency was determined by high performance liquid chromatography (HPLC) using XB-C18 </w:t>
      </w:r>
      <w:proofErr w:type="spellStart"/>
      <w:r w:rsidR="00217382" w:rsidRPr="00FC7F41">
        <w:rPr>
          <w:rFonts w:ascii="Times New Roman" w:hAnsi="Times New Roman" w:cs="Times New Roman"/>
          <w:sz w:val="20"/>
          <w:szCs w:val="20"/>
        </w:rPr>
        <w:t>Kinetex</w:t>
      </w:r>
      <w:proofErr w:type="spellEnd"/>
      <w:r w:rsidR="00217382" w:rsidRPr="00FC7F41">
        <w:rPr>
          <w:rFonts w:ascii="Times New Roman" w:hAnsi="Times New Roman" w:cs="Times New Roman"/>
          <w:sz w:val="20"/>
          <w:szCs w:val="20"/>
        </w:rPr>
        <w:t xml:space="preserve"> column</w:t>
      </w:r>
      <w:r w:rsidR="00940D3F" w:rsidRPr="00FC7F41">
        <w:rPr>
          <w:rFonts w:ascii="Times New Roman" w:hAnsi="Times New Roman" w:cs="Times New Roman"/>
          <w:sz w:val="20"/>
          <w:szCs w:val="20"/>
        </w:rPr>
        <w:t xml:space="preserve"> (Fig </w:t>
      </w:r>
      <w:r w:rsidR="00795C3F">
        <w:rPr>
          <w:rFonts w:ascii="Times New Roman" w:hAnsi="Times New Roman" w:cs="Times New Roman"/>
          <w:sz w:val="20"/>
          <w:szCs w:val="20"/>
        </w:rPr>
        <w:t>S</w:t>
      </w:r>
      <w:r w:rsidR="00940D3F" w:rsidRPr="00FC7F41">
        <w:rPr>
          <w:rFonts w:ascii="Times New Roman" w:hAnsi="Times New Roman" w:cs="Times New Roman"/>
          <w:sz w:val="20"/>
          <w:szCs w:val="20"/>
        </w:rPr>
        <w:t>1)</w:t>
      </w:r>
      <w:r w:rsidR="00217382" w:rsidRPr="00FC7F41">
        <w:rPr>
          <w:rFonts w:ascii="Times New Roman" w:hAnsi="Times New Roman" w:cs="Times New Roman"/>
          <w:sz w:val="20"/>
          <w:szCs w:val="20"/>
        </w:rPr>
        <w:t xml:space="preserve">. 0.1%TFA in water and 0.1% TFA in acetonitrile were used as aqueous and organic mobile phase solvents. </w:t>
      </w:r>
    </w:p>
    <w:p w14:paraId="4DDB92DB" w14:textId="77777777" w:rsidR="00A0471B" w:rsidRPr="00FC7F41" w:rsidRDefault="00A0471B" w:rsidP="005A05F7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C7F41">
        <w:rPr>
          <w:rFonts w:ascii="Times New Roman" w:hAnsi="Times New Roman" w:cs="Times New Roman"/>
          <w:b/>
          <w:sz w:val="20"/>
          <w:szCs w:val="20"/>
        </w:rPr>
        <w:t>Survival study</w:t>
      </w:r>
    </w:p>
    <w:p w14:paraId="7B9DC727" w14:textId="02ABF800" w:rsidR="001641F6" w:rsidRPr="00FC7F41" w:rsidRDefault="00577C7F" w:rsidP="005A05F7">
      <w:pPr>
        <w:spacing w:line="360" w:lineRule="auto"/>
        <w:jc w:val="both"/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</w:pPr>
      <w:r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NOD SCID Gamma (NSG) mice </w:t>
      </w:r>
      <w:r w:rsidR="00780AA2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>were injected with MM.1S-CG and U266-CG human myeloma cell lines</w:t>
      </w:r>
      <w:r w:rsidR="00CB749F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 </w:t>
      </w:r>
      <w:r w:rsidR="00CB749F" w:rsidRPr="00FC7F41">
        <w:rPr>
          <w:rFonts w:ascii="Times New Roman" w:hAnsi="Times New Roman" w:cs="Times New Roman"/>
          <w:i/>
          <w:color w:val="1A1A1A"/>
          <w:sz w:val="20"/>
          <w:szCs w:val="20"/>
          <w:shd w:val="clear" w:color="auto" w:fill="FFFFFF"/>
        </w:rPr>
        <w:t>via</w:t>
      </w:r>
      <w:r w:rsidR="00CB749F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 tail vein. </w:t>
      </w:r>
      <w:r w:rsidR="001641F6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The tumor burden in these mice was evaluated </w:t>
      </w:r>
      <w:r w:rsidR="00970353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weekly </w:t>
      </w:r>
      <w:r w:rsidR="001641F6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by BLI. </w:t>
      </w:r>
      <w:r w:rsidR="00121196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The </w:t>
      </w:r>
      <w:r w:rsidR="00544F08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tumor bearing </w:t>
      </w:r>
      <w:r w:rsidR="00121196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>mice were divided into two cohorts where</w:t>
      </w:r>
      <w:r w:rsidR="00544F08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>,</w:t>
      </w:r>
      <w:r w:rsidR="00121196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 one group was treated with bortezomib (1mg/kg; intraperitoneal injections) twice a week and the mice from second group </w:t>
      </w:r>
      <w:r w:rsidR="00782689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did not receive any treatment. </w:t>
      </w:r>
      <w:r w:rsidR="001641F6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>MM.1S-CG</w:t>
      </w:r>
      <w:r w:rsidR="00544F08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 and </w:t>
      </w:r>
      <w:r w:rsidR="001641F6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>U266-CG systemic tumors bearing mice were</w:t>
      </w:r>
      <w:r w:rsidR="00CB749F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 imaged longitudinally with </w:t>
      </w:r>
      <w:r w:rsidR="00CB749F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  <w:vertAlign w:val="superscript"/>
        </w:rPr>
        <w:t>18</w:t>
      </w:r>
      <w:r w:rsidR="00CB749F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F-FDG and </w:t>
      </w:r>
      <w:r w:rsidR="00CB749F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  <w:vertAlign w:val="superscript"/>
        </w:rPr>
        <w:t>64</w:t>
      </w:r>
      <w:r w:rsidR="00CB749F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>Cu-LLP2A</w:t>
      </w:r>
      <w:r w:rsidR="001641F6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>. These mice</w:t>
      </w:r>
      <w:r w:rsidR="003B378A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 were observed daily for any weight loss or paralysis and were evaluated for therapy response and survival. Mice were euthanized with the onset of morbidity/paralysis as per institutional guidelines. Survival was assessed until week 5 post inoculation of tumors</w:t>
      </w:r>
      <w:r w:rsidR="00480ABA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 xml:space="preserve"> (Fig </w:t>
      </w:r>
      <w:r w:rsidR="00795C3F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>S</w:t>
      </w:r>
      <w:r w:rsidR="00480ABA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>2)</w:t>
      </w:r>
      <w:r w:rsidR="003B378A"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>.</w:t>
      </w:r>
      <w:bookmarkStart w:id="0" w:name="_GoBack"/>
      <w:bookmarkEnd w:id="0"/>
    </w:p>
    <w:p w14:paraId="6EEE1D13" w14:textId="77777777" w:rsidR="00480ABA" w:rsidRPr="00FC7F41" w:rsidRDefault="00480ABA" w:rsidP="005A05F7">
      <w:pPr>
        <w:spacing w:line="360" w:lineRule="auto"/>
        <w:jc w:val="both"/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</w:pPr>
    </w:p>
    <w:p w14:paraId="151478C8" w14:textId="77777777" w:rsidR="00480ABA" w:rsidRPr="00FC7F41" w:rsidRDefault="00480ABA" w:rsidP="005A05F7">
      <w:pPr>
        <w:spacing w:line="360" w:lineRule="auto"/>
        <w:jc w:val="both"/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</w:pPr>
      <w:r w:rsidRPr="00FC7F41">
        <w:rPr>
          <w:rFonts w:ascii="Times New Roman" w:hAnsi="Times New Roman" w:cs="Times New Roman"/>
          <w:b/>
          <w:color w:val="1A1A1A"/>
          <w:sz w:val="20"/>
          <w:szCs w:val="20"/>
          <w:u w:val="single"/>
          <w:shd w:val="clear" w:color="auto" w:fill="FFFFFF"/>
        </w:rPr>
        <w:t>Supplemental figures</w:t>
      </w:r>
      <w:r w:rsidRPr="00FC7F41"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  <w:t>:</w:t>
      </w:r>
    </w:p>
    <w:p w14:paraId="4D6A3AB1" w14:textId="77777777" w:rsidR="00F5775C" w:rsidRPr="00FC7F41" w:rsidRDefault="00F5775C" w:rsidP="005A05F7">
      <w:pPr>
        <w:spacing w:line="360" w:lineRule="auto"/>
        <w:jc w:val="both"/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</w:pPr>
    </w:p>
    <w:p w14:paraId="7F5A6E51" w14:textId="77777777" w:rsidR="003B378A" w:rsidRPr="00FC7F41" w:rsidRDefault="007530D2" w:rsidP="006F2CB6">
      <w:pPr>
        <w:spacing w:line="360" w:lineRule="auto"/>
        <w:jc w:val="center"/>
        <w:rPr>
          <w:rFonts w:ascii="Times New Roman" w:hAnsi="Times New Roman" w:cs="Times New Roman"/>
          <w:color w:val="1A1A1A"/>
          <w:sz w:val="20"/>
          <w:szCs w:val="20"/>
          <w:shd w:val="clear" w:color="auto" w:fill="FFFFFF"/>
        </w:rPr>
      </w:pPr>
      <w:r w:rsidRPr="00FC7F41">
        <w:rPr>
          <w:rFonts w:ascii="Times New Roman" w:hAnsi="Times New Roman" w:cs="Times New Roman"/>
          <w:noProof/>
          <w:color w:val="1A1A1A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F54CC0B" wp14:editId="7324D108">
                <wp:simplePos x="0" y="0"/>
                <wp:positionH relativeFrom="column">
                  <wp:posOffset>787400</wp:posOffset>
                </wp:positionH>
                <wp:positionV relativeFrom="paragraph">
                  <wp:posOffset>146685</wp:posOffset>
                </wp:positionV>
                <wp:extent cx="419100" cy="2133600"/>
                <wp:effectExtent l="0" t="0" r="0" b="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100" cy="2133600"/>
                          <a:chOff x="0" y="0"/>
                          <a:chExt cx="419100" cy="2133600"/>
                        </a:xfrm>
                      </wpg:grpSpPr>
                      <wps:wsp>
                        <wps:cNvPr id="9" name="Text Box 9"/>
                        <wps:cNvSpPr txBox="1"/>
                        <wps:spPr>
                          <a:xfrm>
                            <a:off x="19050" y="0"/>
                            <a:ext cx="400050" cy="3238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1FB2FAB" w14:textId="77777777" w:rsidR="00431FDF" w:rsidRPr="00431FDF" w:rsidRDefault="00431FDF">
                              <w:pPr>
                                <w:rPr>
                                  <w:rFonts w:ascii="Helvetica" w:hAnsi="Helvetica" w:cs="Arial"/>
                                  <w:sz w:val="24"/>
                                </w:rPr>
                              </w:pPr>
                              <w:r w:rsidRPr="00431FDF">
                                <w:rPr>
                                  <w:rFonts w:ascii="Helvetica" w:hAnsi="Helvetica" w:cs="Arial"/>
                                  <w:sz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0" y="1809750"/>
                            <a:ext cx="400050" cy="3238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2652493" w14:textId="77777777" w:rsidR="00431FDF" w:rsidRPr="00431FDF" w:rsidRDefault="00431FDF" w:rsidP="00431FDF">
                              <w:pPr>
                                <w:rPr>
                                  <w:rFonts w:ascii="Helvetica" w:hAnsi="Helvetica" w:cs="Arial"/>
                                  <w:sz w:val="24"/>
                                </w:rPr>
                              </w:pPr>
                              <w:r w:rsidRPr="00431FDF">
                                <w:rPr>
                                  <w:rFonts w:ascii="Helvetica" w:hAnsi="Helvetica" w:cs="Arial"/>
                                  <w:sz w:val="24"/>
                                </w:rPr>
                                <w:t>(</w:t>
                              </w:r>
                              <w:r>
                                <w:rPr>
                                  <w:rFonts w:ascii="Helvetica" w:hAnsi="Helvetica" w:cs="Arial"/>
                                  <w:sz w:val="24"/>
                                </w:rPr>
                                <w:t>b</w:t>
                              </w:r>
                              <w:r w:rsidRPr="00431FDF">
                                <w:rPr>
                                  <w:rFonts w:ascii="Helvetica" w:hAnsi="Helvetica" w:cs="Arial"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54CC0B" id="Group 12" o:spid="_x0000_s1026" style="position:absolute;left:0;text-align:left;margin-left:62pt;margin-top:11.55pt;width:33pt;height:168pt;z-index:251661312" coordsize="4191,21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Ucp5gIAALQIAAAOAAAAZHJzL2Uyb0RvYy54bWzsVltP2zAUfp+0/2D5fSRpC6MRKepgRZMQ&#10;IMHEs+s4TaQk9my3Sffr99m5wABNGog9jYfgc/G5fOfinpy2VUl2QptC1gmNDkJKRM1lWtSbhH6/&#10;W306psRYVqeslLVI6F4Yerr4+OGkUbGYyFyWqdAERmoTNyqhubUqDgLDc1ExcyCVqCHMpK6YBak3&#10;QapZA+tVGUzC8ChopE6VllwYA+55J6QLbz/LBLfXWWaEJWVCEZv1X+2/a/cNFics3mim8oL3YbBX&#10;RFGxoobT0dQ5s4xsdfHMVFVwLY3M7AGXVSCzrODC54BsovBJNhdabpXPZRM3GzXCBGif4PRqs/xq&#10;d6NJkaJ2E0pqVqFG3i0BDXAatYmhc6HVrbrRPWPTUS7fNtOV+49MSOth3Y+witYSDuYsmkchwOcQ&#10;TaLp9AiEx53nKM6zazz/+ueLweA2cNGNwTQKLWQeUDJvQ+k2Z0p48I1DoEdpPoB057L7Ilsy72Dy&#10;Sg4jYluwgefAN2C+AFU0Dw8BygtwhaGXOLimk+kxtIDWmDSLlTb2QsiKuENCNZrc9x7bXRrbqQ4q&#10;zq+RZZGuirL0hBsscVZqsmMYidL6MGH8N62yJk1Cj6Zw7S7V0l3vLJc1YnFQd2m5k23XLYTuuJbp&#10;HhBo2Q2aUXxVIMhLZuwN05gsZIxtYa/xyUoJJ7I/UZJL/fMlvtNHKSGlpMGkJtT82DItKCm/1Sjy&#10;PJrN3Gh7Ynb4eQJCP5asH0vqbXUmkXmEvaS4Pzp9Ww7HTMvqHktl6bxCxGoO3wm1w/HMdvsDS4mL&#10;5dIrYZgVs5f1reLOtAPNleCuvWda9XWy6JgrObQVi5+Uq9Pt4F5urcwKX8sHVHvc0eId1u/e6xGy&#10;7zbC2Oxg9ZXGSPxNt8MU2jk6Duefu35m8bge3rXf92ZsdjwbqWzQNuhGMBO68n/9dL1xALodOqDz&#10;fw7+zRz4FwBPo9+P/TPu3t7HtJ+bhx8bi18AAAD//wMAUEsDBBQABgAIAAAAIQCWY5ho4AAAAAoB&#10;AAAPAAAAZHJzL2Rvd25yZXYueG1sTI/NTsMwEITvSLyDtUjcqPNDEQ1xqqoCThUSLVLV2zbeJlHj&#10;dRS7Sfr2uCc4zuxo9pt8OZlWDNS7xrKCeBaBIC6tbrhS8LP7eHoF4TyyxtYyKbiSg2Vxf5djpu3I&#10;3zRsfSVCCbsMFdTed5mUrqzJoJvZjjjcTrY36IPsK6l7HEO5aWUSRS/SYMPhQ40drWsqz9uLUfA5&#10;4rhK4/dhcz6tr4fd/Gu/iUmpx4dp9QbC0+T/wnDDD+hQBKajvbB2og06eQ5bvIIkjUHcAosoGEcF&#10;6XwRgyxy+X9C8QsAAP//AwBQSwECLQAUAAYACAAAACEAtoM4kv4AAADhAQAAEwAAAAAAAAAAAAAA&#10;AAAAAAAAW0NvbnRlbnRfVHlwZXNdLnhtbFBLAQItABQABgAIAAAAIQA4/SH/1gAAAJQBAAALAAAA&#10;AAAAAAAAAAAAAC8BAABfcmVscy8ucmVsc1BLAQItABQABgAIAAAAIQC3zUcp5gIAALQIAAAOAAAA&#10;AAAAAAAAAAAAAC4CAABkcnMvZTJvRG9jLnhtbFBLAQItABQABgAIAAAAIQCWY5ho4AAAAAoBAAAP&#10;AAAAAAAAAAAAAAAAAEAFAABkcnMvZG93bnJldi54bWxQSwUGAAAAAAQABADzAAAAT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7" type="#_x0000_t202" style="position:absolute;left:190;width:4001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Kh/xQAAANoAAAAPAAAAZHJzL2Rvd25yZXYueG1sRI9Ba8JA&#10;FITvBf/D8oReSt1Uqa3RVYq0Kt40VfH2yD6TYPZtyG6T+O/dQqHHYWa+YWaLzpSiodoVlhW8DCIQ&#10;xKnVBWcKvpOv53cQziNrLC2Tghs5WMx7DzOMtW15R83eZyJA2MWoIPe+iqV0aU4G3cBWxMG72Nqg&#10;D7LOpK6xDXBTymEUjaXBgsNCjhUtc0qv+x+j4PyUnbauWx3a0euo+lw3ydtRJ0o99ruPKQhPnf8P&#10;/7U3WsEEfq+EGyDndwAAAP//AwBQSwECLQAUAAYACAAAACEA2+H2y+4AAACFAQAAEwAAAAAAAAAA&#10;AAAAAAAAAAAAW0NvbnRlbnRfVHlwZXNdLnhtbFBLAQItABQABgAIAAAAIQBa9CxbvwAAABUBAAAL&#10;AAAAAAAAAAAAAAAAAB8BAABfcmVscy8ucmVsc1BLAQItABQABgAIAAAAIQAAEKh/xQAAANoAAAAP&#10;AAAAAAAAAAAAAAAAAAcCAABkcnMvZG93bnJldi54bWxQSwUGAAAAAAMAAwC3AAAA+QIAAAAA&#10;" fillcolor="white [3201]" stroked="f" strokeweight=".5pt">
                  <v:textbox>
                    <w:txbxContent>
                      <w:p w14:paraId="71FB2FAB" w14:textId="77777777" w:rsidR="00431FDF" w:rsidRPr="00431FDF" w:rsidRDefault="00431FDF">
                        <w:pPr>
                          <w:rPr>
                            <w:rFonts w:ascii="Helvetica" w:hAnsi="Helvetica" w:cs="Arial"/>
                            <w:sz w:val="24"/>
                          </w:rPr>
                        </w:pPr>
                        <w:r w:rsidRPr="00431FDF">
                          <w:rPr>
                            <w:rFonts w:ascii="Helvetica" w:hAnsi="Helvetica" w:cs="Arial"/>
                            <w:sz w:val="24"/>
                          </w:rPr>
                          <w:t>(a)</w:t>
                        </w:r>
                      </w:p>
                    </w:txbxContent>
                  </v:textbox>
                </v:shape>
                <v:shape id="Text Box 10" o:spid="_x0000_s1028" type="#_x0000_t202" style="position:absolute;top:18097;width:4000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i96xgAAANsAAAAPAAAAZHJzL2Rvd25yZXYueG1sRI9BS8NA&#10;EIXvQv/DMgVvdlMPIrHbUsRiC4baWOh1yE6TaHY27K5N7K93DoK3Gd6b975ZrEbXqQuF2Ho2MJ9l&#10;oIgrb1uuDRw/NnePoGJCtth5JgM/FGG1nNwsMLd+4ANdylQrCeGYo4EmpT7XOlYNOYwz3xOLdvbB&#10;YZI11NoGHCTcdfo+yx60w5alocGenhuqvspvZ+A0lK9hv9t9vvfb4rq/lsUbvRTG3E7H9ROoRGP6&#10;N/9db63gC738IgPo5S8AAAD//wMAUEsBAi0AFAAGAAgAAAAhANvh9svuAAAAhQEAABMAAAAAAAAA&#10;AAAAAAAAAAAAAFtDb250ZW50X1R5cGVzXS54bWxQSwECLQAUAAYACAAAACEAWvQsW78AAAAVAQAA&#10;CwAAAAAAAAAAAAAAAAAfAQAAX3JlbHMvLnJlbHNQSwECLQAUAAYACAAAACEA29YvesYAAADbAAAA&#10;DwAAAAAAAAAAAAAAAAAHAgAAZHJzL2Rvd25yZXYueG1sUEsFBgAAAAADAAMAtwAAAPoCAAAAAA==&#10;" fillcolor="window" stroked="f" strokeweight=".5pt">
                  <v:textbox>
                    <w:txbxContent>
                      <w:p w14:paraId="32652493" w14:textId="77777777" w:rsidR="00431FDF" w:rsidRPr="00431FDF" w:rsidRDefault="00431FDF" w:rsidP="00431FDF">
                        <w:pPr>
                          <w:rPr>
                            <w:rFonts w:ascii="Helvetica" w:hAnsi="Helvetica" w:cs="Arial"/>
                            <w:sz w:val="24"/>
                          </w:rPr>
                        </w:pPr>
                        <w:r w:rsidRPr="00431FDF">
                          <w:rPr>
                            <w:rFonts w:ascii="Helvetica" w:hAnsi="Helvetica" w:cs="Arial"/>
                            <w:sz w:val="24"/>
                          </w:rPr>
                          <w:t>(</w:t>
                        </w:r>
                        <w:r>
                          <w:rPr>
                            <w:rFonts w:ascii="Helvetica" w:hAnsi="Helvetica" w:cs="Arial"/>
                            <w:sz w:val="24"/>
                          </w:rPr>
                          <w:t>b</w:t>
                        </w:r>
                        <w:r w:rsidRPr="00431FDF">
                          <w:rPr>
                            <w:rFonts w:ascii="Helvetica" w:hAnsi="Helvetica" w:cs="Arial"/>
                            <w:sz w:val="2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F2CB6" w:rsidRPr="00FC7F41">
        <w:rPr>
          <w:rFonts w:ascii="Times New Roman" w:hAnsi="Times New Roman" w:cs="Times New Roman"/>
          <w:noProof/>
          <w:color w:val="1A1A1A"/>
          <w:sz w:val="20"/>
          <w:szCs w:val="20"/>
          <w:shd w:val="clear" w:color="auto" w:fill="FFFFFF"/>
        </w:rPr>
        <w:drawing>
          <wp:inline distT="0" distB="0" distL="0" distR="0" wp14:anchorId="667416AA" wp14:editId="0E967438">
            <wp:extent cx="3632200" cy="3724264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682" cy="3728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470758" w14:textId="749E9992" w:rsidR="00A0471B" w:rsidRDefault="00391A45" w:rsidP="005A05F7">
      <w:pPr>
        <w:spacing w:line="360" w:lineRule="auto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  <w:r w:rsidRPr="00FC7F41">
        <w:rPr>
          <w:rFonts w:ascii="Times New Roman" w:hAnsi="Times New Roman" w:cs="Times New Roman"/>
          <w:b/>
          <w:sz w:val="20"/>
          <w:szCs w:val="20"/>
        </w:rPr>
        <w:t>Fig</w:t>
      </w:r>
      <w:r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6F2CB6" w:rsidRPr="00FC7F41">
        <w:rPr>
          <w:rFonts w:ascii="Times New Roman" w:hAnsi="Times New Roman" w:cs="Times New Roman"/>
          <w:b/>
          <w:sz w:val="20"/>
          <w:szCs w:val="20"/>
        </w:rPr>
        <w:t>1</w:t>
      </w:r>
      <w:r w:rsidR="00431FDF" w:rsidRPr="00FC7F41">
        <w:rPr>
          <w:rFonts w:ascii="Times New Roman" w:hAnsi="Times New Roman" w:cs="Times New Roman"/>
          <w:sz w:val="20"/>
          <w:szCs w:val="20"/>
        </w:rPr>
        <w:t xml:space="preserve"> </w:t>
      </w:r>
      <w:r w:rsidR="007530D2" w:rsidRPr="00FC7F41">
        <w:rPr>
          <w:rFonts w:ascii="Times New Roman" w:hAnsi="Times New Roman" w:cs="Times New Roman"/>
          <w:sz w:val="20"/>
          <w:szCs w:val="20"/>
        </w:rPr>
        <w:t xml:space="preserve">(a) </w:t>
      </w:r>
      <w:r w:rsidR="007530D2" w:rsidRPr="00FC7F41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Radio-HPLC chromatogram of </w:t>
      </w:r>
      <w:r w:rsidR="007530D2" w:rsidRPr="00FC7F41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  <w:vertAlign w:val="superscript"/>
        </w:rPr>
        <w:t>64</w:t>
      </w:r>
      <w:r w:rsidR="007530D2" w:rsidRPr="00FC7F41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Cu-LLP2A showing &gt; 99% of radiolabeled product at the retention time of 5.6 min.</w:t>
      </w:r>
      <w:r w:rsidR="00E761C2" w:rsidRPr="00FC7F41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 (b) UV-visible spectrum showing the LLP2A peak at the same retention time as that of radiolabeled LLP2A</w:t>
      </w:r>
    </w:p>
    <w:p w14:paraId="58E82A3B" w14:textId="0F7A43C1" w:rsidR="00391A45" w:rsidRDefault="00391A45" w:rsidP="005A05F7">
      <w:pPr>
        <w:spacing w:line="360" w:lineRule="auto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</w:p>
    <w:p w14:paraId="608601E7" w14:textId="25E9532B" w:rsidR="00391A45" w:rsidRDefault="00391A45" w:rsidP="005A05F7">
      <w:pPr>
        <w:spacing w:line="360" w:lineRule="auto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</w:p>
    <w:p w14:paraId="032869C6" w14:textId="302B3F89" w:rsidR="00391A45" w:rsidRDefault="00391A45" w:rsidP="005A05F7">
      <w:pPr>
        <w:spacing w:line="360" w:lineRule="auto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</w:p>
    <w:p w14:paraId="0631321B" w14:textId="09F8AA2B" w:rsidR="00391A45" w:rsidRDefault="00391A45" w:rsidP="005A05F7">
      <w:pPr>
        <w:spacing w:line="360" w:lineRule="auto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</w:p>
    <w:p w14:paraId="23A4F4F6" w14:textId="10035249" w:rsidR="00391A45" w:rsidRDefault="00391A45" w:rsidP="005A05F7">
      <w:pPr>
        <w:spacing w:line="360" w:lineRule="auto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</w:p>
    <w:p w14:paraId="6A786201" w14:textId="4310A61F" w:rsidR="00391A45" w:rsidRDefault="00391A45" w:rsidP="005A05F7">
      <w:pPr>
        <w:spacing w:line="360" w:lineRule="auto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</w:p>
    <w:p w14:paraId="70C1D471" w14:textId="24B05EE0" w:rsidR="00391A45" w:rsidRDefault="00391A45" w:rsidP="005A05F7">
      <w:pPr>
        <w:spacing w:line="360" w:lineRule="auto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</w:p>
    <w:p w14:paraId="1D347664" w14:textId="38C20CA6" w:rsidR="00391A45" w:rsidRDefault="00391A45" w:rsidP="005A05F7">
      <w:pPr>
        <w:spacing w:line="360" w:lineRule="auto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</w:p>
    <w:p w14:paraId="076C02E4" w14:textId="77777777" w:rsidR="00391A45" w:rsidRPr="00FC7F41" w:rsidRDefault="00391A45" w:rsidP="005A05F7">
      <w:pPr>
        <w:spacing w:line="360" w:lineRule="auto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</w:p>
    <w:p w14:paraId="7EF1A6C9" w14:textId="77777777" w:rsidR="00B11269" w:rsidRPr="00FC7F41" w:rsidRDefault="00B11269" w:rsidP="005A05F7">
      <w:pPr>
        <w:spacing w:line="360" w:lineRule="auto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  <w:r w:rsidRPr="00FC7F41">
        <w:rPr>
          <w:rFonts w:ascii="Times New Roman" w:hAnsi="Times New Roman" w:cs="Times New Roman"/>
          <w:noProof/>
          <w:color w:val="333333"/>
          <w:sz w:val="20"/>
          <w:szCs w:val="20"/>
          <w:shd w:val="clear" w:color="auto" w:fill="FCFCFC"/>
        </w:rPr>
        <w:lastRenderedPageBreak/>
        <w:drawing>
          <wp:inline distT="0" distB="0" distL="0" distR="0" wp14:anchorId="3CF53081" wp14:editId="2552AC7E">
            <wp:extent cx="5564694" cy="18288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721" cy="1830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987BD6" w14:textId="46DAB31C" w:rsidR="00B11269" w:rsidRPr="00FC7F41" w:rsidRDefault="00391A45" w:rsidP="00ED7BA3">
      <w:pPr>
        <w:spacing w:line="360" w:lineRule="auto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</w:pPr>
      <w:r w:rsidRPr="00FC7F41">
        <w:rPr>
          <w:rFonts w:ascii="Times New Roman" w:hAnsi="Times New Roman" w:cs="Times New Roman"/>
          <w:b/>
          <w:color w:val="333333"/>
          <w:sz w:val="20"/>
          <w:szCs w:val="20"/>
          <w:shd w:val="clear" w:color="auto" w:fill="FCFCFC"/>
        </w:rPr>
        <w:t>Fig</w:t>
      </w:r>
      <w:r>
        <w:rPr>
          <w:rFonts w:ascii="Times New Roman" w:hAnsi="Times New Roman" w:cs="Times New Roman"/>
          <w:b/>
          <w:color w:val="333333"/>
          <w:sz w:val="20"/>
          <w:szCs w:val="20"/>
          <w:shd w:val="clear" w:color="auto" w:fill="FCFCFC"/>
        </w:rPr>
        <w:t xml:space="preserve"> S</w:t>
      </w:r>
      <w:r w:rsidR="00ED7BA3" w:rsidRPr="00FC7F41">
        <w:rPr>
          <w:rFonts w:ascii="Times New Roman" w:hAnsi="Times New Roman" w:cs="Times New Roman"/>
          <w:b/>
          <w:color w:val="333333"/>
          <w:sz w:val="20"/>
          <w:szCs w:val="20"/>
          <w:shd w:val="clear" w:color="auto" w:fill="FCFCFC"/>
        </w:rPr>
        <w:t xml:space="preserve">2 </w:t>
      </w:r>
      <w:r w:rsidR="00F656BC" w:rsidRPr="00FC7F41">
        <w:rPr>
          <w:rFonts w:ascii="Times New Roman" w:hAnsi="Times New Roman" w:cs="Times New Roman"/>
          <w:sz w:val="20"/>
          <w:szCs w:val="20"/>
        </w:rPr>
        <w:t xml:space="preserve">Kaplan-Meier survival plots of MM.1S-CG and U266-CG disseminated tumors bearing mice </w:t>
      </w:r>
      <w:r w:rsidR="0049345D" w:rsidRPr="00FC7F41">
        <w:rPr>
          <w:rFonts w:ascii="Times New Roman" w:hAnsi="Times New Roman" w:cs="Times New Roman"/>
          <w:sz w:val="20"/>
          <w:szCs w:val="20"/>
        </w:rPr>
        <w:t>(treated</w:t>
      </w:r>
      <w:r>
        <w:rPr>
          <w:rFonts w:ascii="Times New Roman" w:hAnsi="Times New Roman" w:cs="Times New Roman"/>
          <w:sz w:val="20"/>
          <w:szCs w:val="20"/>
        </w:rPr>
        <w:t>;</w:t>
      </w:r>
      <w:r w:rsidR="00DE3EE0" w:rsidRPr="00FC7F41">
        <w:rPr>
          <w:rFonts w:ascii="Times New Roman" w:hAnsi="Times New Roman" w:cs="Times New Roman"/>
          <w:sz w:val="20"/>
          <w:szCs w:val="20"/>
        </w:rPr>
        <w:t xml:space="preserve"> n=6</w:t>
      </w:r>
      <w:r w:rsidR="0049345D" w:rsidRPr="00FC7F41">
        <w:rPr>
          <w:rFonts w:ascii="Times New Roman" w:hAnsi="Times New Roman" w:cs="Times New Roman"/>
          <w:sz w:val="20"/>
          <w:szCs w:val="20"/>
        </w:rPr>
        <w:t xml:space="preserve"> and </w:t>
      </w:r>
      <w:r w:rsidR="00FC7F41" w:rsidRPr="00FC7F41">
        <w:rPr>
          <w:rFonts w:ascii="Times New Roman" w:hAnsi="Times New Roman" w:cs="Times New Roman"/>
          <w:sz w:val="20"/>
          <w:szCs w:val="20"/>
        </w:rPr>
        <w:t>untreated</w:t>
      </w:r>
      <w:r w:rsidR="00FC7F41">
        <w:rPr>
          <w:rFonts w:ascii="Times New Roman" w:hAnsi="Times New Roman" w:cs="Times New Roman"/>
          <w:sz w:val="20"/>
          <w:szCs w:val="20"/>
        </w:rPr>
        <w:t>; n</w:t>
      </w:r>
      <w:r w:rsidR="00DE3EE0" w:rsidRPr="00FC7F41">
        <w:rPr>
          <w:rFonts w:ascii="Times New Roman" w:hAnsi="Times New Roman" w:cs="Times New Roman"/>
          <w:sz w:val="20"/>
          <w:szCs w:val="20"/>
        </w:rPr>
        <w:t>=6)</w:t>
      </w:r>
    </w:p>
    <w:p w14:paraId="4FD37C4F" w14:textId="77777777" w:rsidR="007530D2" w:rsidRPr="00FC7F41" w:rsidRDefault="007530D2" w:rsidP="005A05F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7530D2" w:rsidRPr="00FC7F41" w:rsidSect="00FC7F41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A7E155" w14:textId="77777777" w:rsidR="006B63ED" w:rsidRDefault="006B63ED" w:rsidP="006B63ED">
      <w:pPr>
        <w:spacing w:after="0" w:line="240" w:lineRule="auto"/>
      </w:pPr>
      <w:r>
        <w:separator/>
      </w:r>
    </w:p>
  </w:endnote>
  <w:endnote w:type="continuationSeparator" w:id="0">
    <w:p w14:paraId="7702E4B7" w14:textId="77777777" w:rsidR="006B63ED" w:rsidRDefault="006B63ED" w:rsidP="006B63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148967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FE43F8" w14:textId="01FE0D31" w:rsidR="00FC7F41" w:rsidRDefault="00FC7F4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5C3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602F27C" w14:textId="77777777" w:rsidR="006B63ED" w:rsidRDefault="006B63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BFF76B" w14:textId="77777777" w:rsidR="006B63ED" w:rsidRDefault="006B63ED" w:rsidP="006B63ED">
      <w:pPr>
        <w:spacing w:after="0" w:line="240" w:lineRule="auto"/>
      </w:pPr>
      <w:r>
        <w:separator/>
      </w:r>
    </w:p>
  </w:footnote>
  <w:footnote w:type="continuationSeparator" w:id="0">
    <w:p w14:paraId="4F913472" w14:textId="77777777" w:rsidR="006B63ED" w:rsidRDefault="006B63ED" w:rsidP="006B63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3ED"/>
    <w:rsid w:val="000078B7"/>
    <w:rsid w:val="00035FA3"/>
    <w:rsid w:val="000B3F32"/>
    <w:rsid w:val="00121196"/>
    <w:rsid w:val="001641F6"/>
    <w:rsid w:val="00217382"/>
    <w:rsid w:val="00281E4D"/>
    <w:rsid w:val="00282C6A"/>
    <w:rsid w:val="002C33AB"/>
    <w:rsid w:val="002F007F"/>
    <w:rsid w:val="002F47AD"/>
    <w:rsid w:val="00391A45"/>
    <w:rsid w:val="00392A25"/>
    <w:rsid w:val="003B378A"/>
    <w:rsid w:val="003B3EF2"/>
    <w:rsid w:val="003D4F40"/>
    <w:rsid w:val="00431FDF"/>
    <w:rsid w:val="00476113"/>
    <w:rsid w:val="00480ABA"/>
    <w:rsid w:val="0049345D"/>
    <w:rsid w:val="00544F08"/>
    <w:rsid w:val="00577C7F"/>
    <w:rsid w:val="005A05F7"/>
    <w:rsid w:val="006117D0"/>
    <w:rsid w:val="00641527"/>
    <w:rsid w:val="00677F1B"/>
    <w:rsid w:val="006B63ED"/>
    <w:rsid w:val="006F2CB6"/>
    <w:rsid w:val="007530D2"/>
    <w:rsid w:val="00780AA2"/>
    <w:rsid w:val="00782689"/>
    <w:rsid w:val="00795C3F"/>
    <w:rsid w:val="0090653D"/>
    <w:rsid w:val="00940D3F"/>
    <w:rsid w:val="00970353"/>
    <w:rsid w:val="00A0471B"/>
    <w:rsid w:val="00B11269"/>
    <w:rsid w:val="00C20634"/>
    <w:rsid w:val="00CB128F"/>
    <w:rsid w:val="00CB749F"/>
    <w:rsid w:val="00D76E3D"/>
    <w:rsid w:val="00DE3EE0"/>
    <w:rsid w:val="00E761C2"/>
    <w:rsid w:val="00ED7BA3"/>
    <w:rsid w:val="00F5775C"/>
    <w:rsid w:val="00F656BC"/>
    <w:rsid w:val="00FC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4B61C"/>
  <w15:chartTrackingRefBased/>
  <w15:docId w15:val="{084A35BC-B9D9-40DF-82C2-744EBF844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3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63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63ED"/>
  </w:style>
  <w:style w:type="paragraph" w:styleId="Footer">
    <w:name w:val="footer"/>
    <w:basedOn w:val="Normal"/>
    <w:link w:val="FooterChar"/>
    <w:uiPriority w:val="99"/>
    <w:unhideWhenUsed/>
    <w:rsid w:val="006B63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63ED"/>
  </w:style>
  <w:style w:type="paragraph" w:styleId="BalloonText">
    <w:name w:val="Balloon Text"/>
    <w:basedOn w:val="Normal"/>
    <w:link w:val="BalloonTextChar"/>
    <w:uiPriority w:val="99"/>
    <w:semiHidden/>
    <w:unhideWhenUsed/>
    <w:rsid w:val="009703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35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4F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4F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4F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4F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4F0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44F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 in St. Louis</Company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Ghai, ANCHAL</dc:creator>
  <cp:keywords/>
  <dc:description/>
  <cp:lastModifiedBy>Ghai, ANCHAL</cp:lastModifiedBy>
  <cp:revision>9</cp:revision>
  <dcterms:created xsi:type="dcterms:W3CDTF">2021-06-14T22:11:00Z</dcterms:created>
  <dcterms:modified xsi:type="dcterms:W3CDTF">2021-06-18T15:16:00Z</dcterms:modified>
</cp:coreProperties>
</file>