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CD7E35" w14:textId="4625C5E0" w:rsidR="0094787A" w:rsidRPr="0056533D" w:rsidRDefault="00EF32CF">
      <w:pPr>
        <w:rPr>
          <w:rFonts w:ascii="Times New Roman" w:hAnsi="Times New Roman" w:cs="Times New Roman"/>
          <w:sz w:val="22"/>
          <w:szCs w:val="22"/>
        </w:rPr>
      </w:pPr>
      <w:r w:rsidRPr="0056533D">
        <w:rPr>
          <w:rFonts w:ascii="Times New Roman" w:hAnsi="Times New Roman" w:cs="Times New Roman"/>
          <w:sz w:val="22"/>
          <w:szCs w:val="22"/>
        </w:rPr>
        <w:t>Supplementary methods:</w:t>
      </w:r>
    </w:p>
    <w:p w14:paraId="3224EF8D" w14:textId="77777777" w:rsidR="00EF32CF" w:rsidRPr="0056533D" w:rsidRDefault="00EF32CF">
      <w:pPr>
        <w:rPr>
          <w:rFonts w:ascii="Times New Roman" w:hAnsi="Times New Roman" w:cs="Times New Roman"/>
          <w:sz w:val="22"/>
          <w:szCs w:val="22"/>
        </w:rPr>
      </w:pPr>
    </w:p>
    <w:p w14:paraId="7B9C4D88" w14:textId="77777777" w:rsidR="00EF32CF" w:rsidRPr="0056533D" w:rsidRDefault="00EF32CF" w:rsidP="00EF32CF">
      <w:pPr>
        <w:spacing w:line="480" w:lineRule="auto"/>
        <w:rPr>
          <w:rFonts w:ascii="Times New Roman" w:hAnsi="Times New Roman" w:cs="Times New Roman"/>
          <w:i/>
          <w:iCs/>
          <w:sz w:val="22"/>
          <w:szCs w:val="22"/>
        </w:rPr>
      </w:pPr>
      <w:r w:rsidRPr="0056533D">
        <w:rPr>
          <w:rFonts w:ascii="Times New Roman" w:hAnsi="Times New Roman" w:cs="Times New Roman"/>
          <w:i/>
          <w:iCs/>
          <w:sz w:val="22"/>
          <w:szCs w:val="22"/>
        </w:rPr>
        <w:t>Study participants</w:t>
      </w:r>
    </w:p>
    <w:p w14:paraId="365751FE" w14:textId="77777777" w:rsidR="00EF32CF" w:rsidRPr="00D03D56" w:rsidRDefault="00EF32CF" w:rsidP="00EF32CF">
      <w:pPr>
        <w:spacing w:line="480" w:lineRule="auto"/>
        <w:rPr>
          <w:rFonts w:ascii="Times New Roman" w:hAnsi="Times New Roman" w:cs="Times New Roman"/>
          <w:sz w:val="22"/>
          <w:szCs w:val="22"/>
        </w:rPr>
      </w:pPr>
      <w:r w:rsidRPr="00D03D56">
        <w:rPr>
          <w:rFonts w:ascii="Times New Roman" w:hAnsi="Times New Roman" w:cs="Times New Roman"/>
          <w:sz w:val="22"/>
          <w:szCs w:val="22"/>
        </w:rPr>
        <w:t xml:space="preserve">In this prospective, multi-centre cohort study, critically ill children were recruited if they were admitted to one of three paediatric intensive care units (PICUs) in the North Thames Region (UK). Following informed consent by caregivers, children aged between 1 and 16 years were eligible if they required mechanical ventilation. Children with chronic illness or prolonged steroid use were excluded. Healthcare data was acquired from hospital medical records. In order to compare data </w:t>
      </w:r>
      <w:r>
        <w:rPr>
          <w:rFonts w:ascii="Times New Roman" w:hAnsi="Times New Roman" w:cs="Times New Roman"/>
          <w:sz w:val="22"/>
          <w:szCs w:val="22"/>
        </w:rPr>
        <w:t>with</w:t>
      </w:r>
      <w:r w:rsidRPr="00D03D56">
        <w:rPr>
          <w:rFonts w:ascii="Times New Roman" w:hAnsi="Times New Roman" w:cs="Times New Roman"/>
          <w:sz w:val="22"/>
          <w:szCs w:val="22"/>
        </w:rPr>
        <w:t xml:space="preserve"> healthy controls, faecal samples were obtained from age-matched children, who were recruited from the local community. These children were eligible if they were free of intercurrent illness, had a normal healthy diet, and had not received antibiotics in the prior 3 months.</w:t>
      </w:r>
    </w:p>
    <w:p w14:paraId="4EF15337" w14:textId="77777777" w:rsidR="00EF32CF" w:rsidRPr="00D03D56" w:rsidRDefault="00EF32CF" w:rsidP="00EF32CF">
      <w:pPr>
        <w:spacing w:line="480" w:lineRule="auto"/>
        <w:rPr>
          <w:rFonts w:ascii="Times New Roman" w:hAnsi="Times New Roman" w:cs="Times New Roman"/>
          <w:sz w:val="22"/>
          <w:szCs w:val="22"/>
          <w:u w:val="single"/>
        </w:rPr>
      </w:pPr>
    </w:p>
    <w:p w14:paraId="1B124BEF" w14:textId="77777777" w:rsidR="00EF32CF" w:rsidRPr="00D03D56" w:rsidRDefault="00EF32CF" w:rsidP="00EF32CF">
      <w:pPr>
        <w:spacing w:line="480" w:lineRule="auto"/>
        <w:rPr>
          <w:rFonts w:ascii="Times New Roman" w:hAnsi="Times New Roman" w:cs="Times New Roman"/>
          <w:sz w:val="22"/>
          <w:szCs w:val="22"/>
        </w:rPr>
      </w:pPr>
      <w:r w:rsidRPr="00D03D56">
        <w:rPr>
          <w:rFonts w:ascii="Times New Roman" w:hAnsi="Times New Roman" w:cs="Times New Roman"/>
          <w:sz w:val="22"/>
          <w:szCs w:val="22"/>
        </w:rPr>
        <w:t>Approval for the study was granted by the East Midlands-Nottingham 2 Research Ethics Committee for recruitment from the PICUs at Cambridge University Hospitals NHS Foundation Trust, Great Ormond Street Hospital NHS Foundation Trust, and Imperial College Healthcare NHS Foundation Trust. The City Road and Hampstead Research Ethics committee approved recruitment of healthy children in the Cambridge vicinity. REC reference: 13/LO/0974.</w:t>
      </w:r>
    </w:p>
    <w:p w14:paraId="27F7D955" w14:textId="77777777" w:rsidR="00EF32CF" w:rsidRPr="00D03D56" w:rsidRDefault="00EF32CF" w:rsidP="00EF32CF">
      <w:pPr>
        <w:spacing w:line="480" w:lineRule="auto"/>
        <w:rPr>
          <w:rFonts w:ascii="Times New Roman" w:hAnsi="Times New Roman" w:cs="Times New Roman"/>
          <w:sz w:val="22"/>
          <w:szCs w:val="22"/>
          <w:u w:val="single"/>
        </w:rPr>
      </w:pPr>
    </w:p>
    <w:p w14:paraId="6A594C9F" w14:textId="77777777" w:rsidR="00EF32CF" w:rsidRPr="00D03D56" w:rsidRDefault="00EF32CF" w:rsidP="00EF32CF">
      <w:pPr>
        <w:spacing w:line="480" w:lineRule="auto"/>
        <w:rPr>
          <w:rFonts w:ascii="Times New Roman" w:hAnsi="Times New Roman" w:cs="Times New Roman"/>
          <w:i/>
          <w:iCs/>
          <w:sz w:val="22"/>
          <w:szCs w:val="22"/>
        </w:rPr>
      </w:pPr>
      <w:r w:rsidRPr="00D03D56">
        <w:rPr>
          <w:rFonts w:ascii="Times New Roman" w:hAnsi="Times New Roman" w:cs="Times New Roman"/>
          <w:i/>
          <w:iCs/>
          <w:sz w:val="22"/>
          <w:szCs w:val="22"/>
        </w:rPr>
        <w:t>Faecal samples</w:t>
      </w:r>
    </w:p>
    <w:p w14:paraId="7EDD592F" w14:textId="77777777" w:rsidR="00EF32CF" w:rsidRPr="00D03D56" w:rsidRDefault="00EF32CF" w:rsidP="00EF32CF">
      <w:pPr>
        <w:spacing w:line="480" w:lineRule="auto"/>
        <w:rPr>
          <w:rFonts w:ascii="Times New Roman" w:hAnsi="Times New Roman" w:cs="Times New Roman"/>
          <w:sz w:val="22"/>
          <w:szCs w:val="22"/>
        </w:rPr>
      </w:pPr>
      <w:r w:rsidRPr="00D03D56">
        <w:rPr>
          <w:rFonts w:ascii="Times New Roman" w:hAnsi="Times New Roman" w:cs="Times New Roman"/>
          <w:sz w:val="22"/>
          <w:szCs w:val="22"/>
        </w:rPr>
        <w:t>Faecal samples were collected at early (within first 3 days of PICU admission), mid (days 4-7 of PICU admission), and late timepoints (days 8–10 of PICU admission) from critically ill children. A single faecal sample was collected from healthy children. All samples were taken from nappies, placed in sterile plastic containers, and stored at –70°C until use.</w:t>
      </w:r>
    </w:p>
    <w:p w14:paraId="0CB34FB9" w14:textId="77777777" w:rsidR="00EF32CF" w:rsidRPr="00D03D56" w:rsidRDefault="00EF32CF" w:rsidP="00EF32CF">
      <w:pPr>
        <w:spacing w:line="480" w:lineRule="auto"/>
        <w:rPr>
          <w:rFonts w:ascii="Times New Roman" w:hAnsi="Times New Roman" w:cs="Times New Roman"/>
          <w:sz w:val="22"/>
          <w:szCs w:val="22"/>
        </w:rPr>
      </w:pPr>
    </w:p>
    <w:p w14:paraId="56061232" w14:textId="77777777" w:rsidR="00EF32CF" w:rsidRPr="00D03D56" w:rsidRDefault="00EF32CF" w:rsidP="00EF32CF">
      <w:pPr>
        <w:spacing w:line="480" w:lineRule="auto"/>
        <w:rPr>
          <w:rFonts w:ascii="Times New Roman" w:hAnsi="Times New Roman" w:cs="Times New Roman"/>
          <w:i/>
          <w:iCs/>
          <w:sz w:val="22"/>
          <w:szCs w:val="22"/>
        </w:rPr>
      </w:pPr>
      <w:r w:rsidRPr="00D03D56">
        <w:rPr>
          <w:rFonts w:ascii="Times New Roman" w:hAnsi="Times New Roman" w:cs="Times New Roman"/>
          <w:i/>
          <w:iCs/>
          <w:sz w:val="22"/>
          <w:szCs w:val="22"/>
        </w:rPr>
        <w:t>Taxonomic data</w:t>
      </w:r>
    </w:p>
    <w:p w14:paraId="41F4E586" w14:textId="15CA908E" w:rsidR="00EF32CF" w:rsidRPr="00185523" w:rsidRDefault="00EF32CF" w:rsidP="00EF32CF">
      <w:pPr>
        <w:spacing w:line="480" w:lineRule="auto"/>
        <w:rPr>
          <w:rFonts w:ascii="Times New Roman" w:hAnsi="Times New Roman" w:cs="Times New Roman"/>
          <w:sz w:val="22"/>
          <w:szCs w:val="22"/>
        </w:rPr>
      </w:pPr>
      <w:r w:rsidRPr="00D03D56">
        <w:rPr>
          <w:rFonts w:ascii="Times New Roman" w:hAnsi="Times New Roman" w:cs="Times New Roman"/>
          <w:sz w:val="22"/>
          <w:szCs w:val="22"/>
        </w:rPr>
        <w:t>We performed sequencing of the bacterial 16S rRNA gene in the faecal samples and allocated these data into the various taxonomic groups, as described previously by Wijeyesekera</w:t>
      </w:r>
      <w:r w:rsidRPr="00D03D56">
        <w:rPr>
          <w:rFonts w:ascii="Times New Roman" w:hAnsi="Times New Roman" w:cs="Times New Roman"/>
          <w:i/>
          <w:iCs/>
          <w:sz w:val="22"/>
          <w:szCs w:val="22"/>
        </w:rPr>
        <w:t xml:space="preserve"> et al.</w:t>
      </w:r>
      <w:r w:rsidRPr="00D03D56">
        <w:rPr>
          <w:rFonts w:ascii="Times New Roman" w:hAnsi="Times New Roman" w:cs="Times New Roman"/>
          <w:sz w:val="22"/>
          <w:szCs w:val="22"/>
        </w:rPr>
        <w:t xml:space="preserve"> </w:t>
      </w:r>
      <w:r w:rsidRPr="00185523">
        <w:rPr>
          <w:rStyle w:val="FootnoteReference"/>
          <w:rFonts w:ascii="Times New Roman" w:hAnsi="Times New Roman" w:cs="Times New Roman"/>
          <w:sz w:val="22"/>
          <w:szCs w:val="22"/>
        </w:rPr>
        <w:fldChar w:fldCharType="begin" w:fldLock="1"/>
      </w:r>
      <w:r>
        <w:rPr>
          <w:rFonts w:ascii="Times New Roman" w:hAnsi="Times New Roman" w:cs="Times New Roman"/>
          <w:sz w:val="22"/>
          <w:szCs w:val="22"/>
        </w:rPr>
        <w:instrText xml:space="preserve"> ADDIN ZOTERO_ITEM CSL_CITATION {"citationID":"c2rvKTlT","properties":{"formattedCitation":"[1]","plainCitation":"[1]","noteIndex":0},"citationItems":[{"id":"1pWbVwaX/cS8d6rWr","uris":["http://www.mendeley.com/documents/?uuid=97ea3877-4821-4920-baef-3d7938fc2332"],"uri":["http://www.mendeley.com/documents/?uuid=97ea3877-4821-4920-baef-3d7938fc2332"],"itemData":{"DOI":"10.1097/CCM.0000000000003841","ISSN":"0090-3493","abstract":"Objectives: \nAdverse physiology and antibiotic exposure devastate the intestinal microbiome in critical illness. Time and cost implications limit the immediate clinical potential of microbial sequencing to identify or treat intestinal dysbiosis. Here, we examined whether metabolic profiling is a feasible method of monitoring intestinal dysbiosis in critically ill children.\nDesign:\nProspective multicenter cohort study.\nSetting:\nThree U.K.-based PICUs.\nPatients:\nMechanically ventilated critically ill (n = 60) and age-matched healthy children (n = 55).\nInterventions:\nCollection of urine and fecal samples in children admitted to the PICU. A single fecal and urine sample was collected in healthy controls.\nMeasurements and Main Results:\nUntargeted and targeted metabolic profiling using 1H-nuclear magnetic resonance spectroscopy and liquid chromatography-mass spectrometry or urine and fecal samples. This was integrated with analysis of fecal bacterial 16S ribosomal RNA profiles and clinical disease severity indicators. We observed separation of global urinary and fecal metabolic profiles in critically ill compared with healthy children. Urinary excretion of mammalian-microbial co-metabolites hippurate, 4-cresol sulphate, and formate were reduced in critical illness compared with healthy children. Reduced fecal excretion of short-chain fatty acids (including butyrate, propionate, and acetate) were observed in the patient cohort, demonstrating that these metabolites also distinguished between critical illness and health. Dysregulation of intestinal bile metabolism was evidenced by increased primary and reduced secondary fecal bile acid excretion. Fecal butyrate correlated with days free of intensive care at 30 days (r = 0.38; p = 0.03), while urinary formate correlated inversely with vasopressor requirement (r = –0.2; p = 0.037).\nConclusions:\nDisruption to the functional activity of the intestinal microbiome may result in worsening organ failure in the critically ill child. Profiling of bacterial metabolites in fecal and urine samples may support identification and treatment of intestinal dysbiosis in critical illness.","author":[{"dropping-particle":"","family":"Wijeyesekera","given":"Anisha","non-dropping-particle":"","parse-names":false,"suffix":""},{"dropping-particle":"","family":"Wagner","given":"Josef","non-dropping-particle":"","parse-names":false,"suffix":""},{"dropping-particle":"","family":"Goffau","given":"Marcus","non-dropping-particle":"De","parse-names":false,"suffix":""},{"dropping-particle":"","family":"Thurston","given":"Sarah","non-dropping-particle":"","parse-names":false,"suffix":""},{"dropping-particle":"","family":"Rodrigues Sabino","given":"Adilson","non-dropping-particle":"","parse-names":false,"suffix":""},{"dropping-particle":"","family":"Zaher","given":"Sara","non-dropping-particle":"","parse-names":false,"suffix":""},{"dropping-particle":"","family":"White","given":"Deborah","non-dropping-particle":"","parse-names":false,"suffix":""},{"dropping-particle":"","family":"Ridout","given":"Jenna","non-dropping-particle":"","parse-names":false,"suffix":""},{"dropping-particle":"","family":"Peters","given":"Mark J.","non-dropping-particle":"","parse-names":false,"suffix":""},{"dropping-particle":"","family":"Ramnarayan","given":"Padmanabhan","non-dropping-particle":"","parse-names":false,"suffix":""},{"dropping-particle":"","family":"Branco","given":"Ricardo G.","non-dropping-particle":"","parse-names":false,"suffix":""},{"dropping-particle":"","family":"Torok","given":"M. Estee","non-dropping-particle":"","parse-names":false,"suffix":""},{"dropping-particle":"","family":"Valla","given":"Frederic","non-dropping-particle":"","parse-names":false,"suffix":""},{"dropping-particle":"","family":"Meyer","given":"Rosan","non-dropping-particle":"","parse-names":false,"suffix":""},{"dropping-particle":"","family":"Klein","given":"Nigel","non-dropping-particle":"","parse-names":false,"suffix":""},{"dropping-particle":"","family":"Frost","given":"Gary","non-dropping-particle":"","parse-names":false,"suffix":""},{"dropping-particle":"","family":"Parkhill","given":"Julian","non-dropping-particle":"","parse-names":false,"suffix":""},{"dropping-particle":"","family":"Holmes","given":"Elaine","non-dropping-particle":"","parse-names":false,"suffix":""},{"dropping-particle":"","family":"Pathan","given":"Nazima","non-dropping-particle":"","parse-names":false,"suffix":""}],"container-title":"Critical Care Medicine","id":"ITEM-1","issue":"9","issued":{"date-parts":[["2019","9"]]},"page":"e727-e734","publisher":"Lippincott Williams and Wilkins","title":"Multi-Compartment Profiling of Bacterial and Host Metabolites Identifies Intestinal Dysbiosis and Its Functional Consequences in the Critically Ill Child","type":"article-journal","volume":"47"}}],"schema":"https://github.com/citation-style-language/schema/raw/master/csl-citation.json"} </w:instrText>
      </w:r>
      <w:r w:rsidRPr="00185523">
        <w:rPr>
          <w:rStyle w:val="FootnoteReference"/>
          <w:rFonts w:ascii="Times New Roman" w:hAnsi="Times New Roman" w:cs="Times New Roman"/>
          <w:sz w:val="22"/>
          <w:szCs w:val="22"/>
        </w:rPr>
        <w:fldChar w:fldCharType="separate"/>
      </w:r>
      <w:r>
        <w:rPr>
          <w:rFonts w:ascii="Times New Roman" w:hAnsi="Times New Roman" w:cs="Times New Roman"/>
          <w:noProof/>
          <w:sz w:val="22"/>
          <w:szCs w:val="22"/>
        </w:rPr>
        <w:t>[1]</w:t>
      </w:r>
      <w:r w:rsidRPr="00185523">
        <w:rPr>
          <w:rStyle w:val="FootnoteReference"/>
          <w:rFonts w:ascii="Times New Roman" w:hAnsi="Times New Roman" w:cs="Times New Roman"/>
          <w:sz w:val="22"/>
          <w:szCs w:val="22"/>
        </w:rPr>
        <w:fldChar w:fldCharType="end"/>
      </w:r>
      <w:r w:rsidRPr="00D03D56">
        <w:rPr>
          <w:rFonts w:ascii="Times New Roman" w:hAnsi="Times New Roman" w:cs="Times New Roman"/>
          <w:sz w:val="22"/>
          <w:szCs w:val="22"/>
        </w:rPr>
        <w:t xml:space="preserve">. </w:t>
      </w:r>
      <w:r w:rsidRPr="00185523">
        <w:rPr>
          <w:rFonts w:ascii="Times New Roman" w:hAnsi="Times New Roman" w:cs="Times New Roman"/>
          <w:sz w:val="22"/>
          <w:szCs w:val="22"/>
        </w:rPr>
        <w:t>Briefly</w:t>
      </w:r>
      <w:r w:rsidRPr="00D03D56">
        <w:rPr>
          <w:rFonts w:ascii="Times New Roman" w:hAnsi="Times New Roman" w:cs="Times New Roman"/>
          <w:sz w:val="22"/>
          <w:szCs w:val="22"/>
        </w:rPr>
        <w:t xml:space="preserve">, total nucleic acid was extracted from faecal samples using the PowerFecal DNA Isolation Kit (MPBio). The V1V2 region of the bacterial 16S rRNA gene was amplified by PCR and sequenced </w:t>
      </w:r>
      <w:r w:rsidRPr="00D03D56">
        <w:rPr>
          <w:rFonts w:ascii="Times New Roman" w:hAnsi="Times New Roman" w:cs="Times New Roman"/>
          <w:sz w:val="22"/>
          <w:szCs w:val="22"/>
        </w:rPr>
        <w:lastRenderedPageBreak/>
        <w:t xml:space="preserve">using a MiSeq V3 600 cycle flow cell (Illumina) at the Wellcome Sanger Institute, UK. 16S rRNA gene sequences were quality filtered and analysed using Mothur software </w:t>
      </w:r>
      <w:r w:rsidRPr="00185523">
        <w:rPr>
          <w:rStyle w:val="FootnoteReference"/>
          <w:rFonts w:ascii="Times New Roman" w:hAnsi="Times New Roman" w:cs="Times New Roman"/>
          <w:sz w:val="22"/>
          <w:szCs w:val="22"/>
        </w:rPr>
        <w:fldChar w:fldCharType="begin" w:fldLock="1"/>
      </w:r>
      <w:r>
        <w:rPr>
          <w:rFonts w:ascii="Times New Roman" w:hAnsi="Times New Roman" w:cs="Times New Roman"/>
          <w:sz w:val="22"/>
          <w:szCs w:val="22"/>
        </w:rPr>
        <w:instrText xml:space="preserve"> ADDIN ZOTERO_ITEM CSL_CITATION {"citationID":"DdDDd1My","properties":{"formattedCitation":"[2]","plainCitation":"[2]","noteIndex":0},"citationItems":[{"id":"1pWbVwaX/jxEIhuT1","uris":["http://www.mendeley.com/documents/?uuid=4cbafbb0-3cec-310f-8be2-7beddf88505f"],"uri":["http://www.mendeley.com/documents/?uuid=4cbafbb0-3cec-310f-8be2-7beddf88505f"],"itemData":{"DOI":"10.1128/AEM.01541-09","ISSN":"00992240","PMID":"19801464","abstract":"Mothur aims to be a comprehensive software package that allows users to use a single piece of software to analyze community sequence data. It builds upon previous tools to provide a flexible and powerful software package for analyzing sequencing data. As a case study, we used mothur to trim, screen, and align sequences; calculate distances; assign sequences to operational taxonomic units; and describe the α and β diversity of eight marine samples previously characterized by pyrosequencing of 16S rRNA gene fragments. This analysis of more than 222,000 sequences was completed in less than 2 h with a laptop computer. Copyright © 2009, American Society for Microbiology. All Rights Reserved.","author":[{"dropping-particle":"","family":"Schloss","given":"Patrick D.","non-dropping-particle":"","parse-names":false,"suffix":""},{"dropping-particle":"","family":"Westcott","given":"Sarah L.","non-dropping-particle":"","parse-names":false,"suffix":""},{"dropping-particle":"","family":"Ryabin","given":"Thomas","non-dropping-particle":"","parse-names":false,"suffix":""},{"dropping-particle":"","family":"Hall","given":"Justine R.","non-dropping-particle":"","parse-names":false,"suffix":""},{"dropping-particle":"","family":"Hartmann","given":"Martin","non-dropping-particle":"","parse-names":false,"suffix":""},{"dropping-particle":"","family":"Hollister","given":"Emily B.","non-dropping-particle":"","parse-names":false,"suffix":""},{"dropping-particle":"","family":"Lesniewski","given":"Ryan A.","non-dropping-particle":"","parse-names":false,"suffix":""},{"dropping-particle":"","family":"Oakley","given":"Brian B.","non-dropping-particle":"","parse-names":false,"suffix":""},{"dropping-particle":"","family":"Parks","given":"Donovan H.","non-dropping-particle":"","parse-names":false,"suffix":""},{"dropping-particle":"","family":"Robinson","given":"Courtney J.","non-dropping-particle":"","parse-names":false,"suffix":""},{"dropping-particle":"","family":"Sahl","given":"Jason W.","non-dropping-particle":"","parse-names":false,"suffix":""},{"dropping-particle":"","family":"Stres","given":"Blaz","non-dropping-particle":"","parse-names":false,"suffix":""},{"dropping-particle":"","family":"Thallinger","given":"Gerhard G.","non-dropping-particle":"","parse-names":false,"suffix":""},{"dropping-particle":"","family":"Horn","given":"David J.","non-dropping-particle":"Van","parse-names":false,"suffix":""},{"dropping-particle":"","family":"Weber","given":"Carolyn F.","non-dropping-particle":"","parse-names":false,"suffix":""}],"container-title":"Applied and Environmental Microbiology","id":"ITEM-1","issue":"23","issued":{"date-parts":[["2009","12","1"]]},"page":"7537-7541","publisher":"American Society for Microbiology","title":"Introducing mothur: Open-source, platform-independent, community-supported software for describing and comparing microbial communities","type":"article-journal","volume":"75"}}],"schema":"https://github.com/citation-style-language/schema/raw/master/csl-citation.json"} </w:instrText>
      </w:r>
      <w:r w:rsidRPr="00185523">
        <w:rPr>
          <w:rStyle w:val="FootnoteReference"/>
          <w:rFonts w:ascii="Times New Roman" w:hAnsi="Times New Roman" w:cs="Times New Roman"/>
          <w:sz w:val="22"/>
          <w:szCs w:val="22"/>
        </w:rPr>
        <w:fldChar w:fldCharType="separate"/>
      </w:r>
      <w:r>
        <w:rPr>
          <w:rFonts w:ascii="Times New Roman" w:hAnsi="Times New Roman" w:cs="Times New Roman"/>
          <w:noProof/>
          <w:sz w:val="22"/>
          <w:szCs w:val="22"/>
        </w:rPr>
        <w:t>[2]</w:t>
      </w:r>
      <w:r w:rsidRPr="00185523">
        <w:rPr>
          <w:rStyle w:val="FootnoteReference"/>
          <w:rFonts w:ascii="Times New Roman" w:hAnsi="Times New Roman" w:cs="Times New Roman"/>
          <w:sz w:val="22"/>
          <w:szCs w:val="22"/>
        </w:rPr>
        <w:fldChar w:fldCharType="end"/>
      </w:r>
      <w:r w:rsidRPr="00D03D56">
        <w:rPr>
          <w:rFonts w:ascii="Times New Roman" w:hAnsi="Times New Roman" w:cs="Times New Roman"/>
          <w:sz w:val="22"/>
          <w:szCs w:val="22"/>
        </w:rPr>
        <w:t>.</w:t>
      </w:r>
    </w:p>
    <w:p w14:paraId="6B162BF4" w14:textId="77777777" w:rsidR="00EF32CF" w:rsidRPr="00D03D56" w:rsidRDefault="00EF32CF" w:rsidP="00EF32CF">
      <w:pPr>
        <w:spacing w:line="480" w:lineRule="auto"/>
        <w:rPr>
          <w:rFonts w:ascii="Times New Roman" w:hAnsi="Times New Roman" w:cs="Times New Roman"/>
          <w:sz w:val="22"/>
          <w:szCs w:val="22"/>
        </w:rPr>
      </w:pPr>
    </w:p>
    <w:p w14:paraId="4CA12D85" w14:textId="77777777" w:rsidR="00EF32CF" w:rsidRPr="00D03D56" w:rsidRDefault="00EF32CF" w:rsidP="00EF32CF">
      <w:pPr>
        <w:spacing w:line="480" w:lineRule="auto"/>
        <w:rPr>
          <w:rFonts w:ascii="Times New Roman" w:hAnsi="Times New Roman" w:cs="Times New Roman"/>
          <w:i/>
          <w:iCs/>
          <w:sz w:val="22"/>
          <w:szCs w:val="22"/>
        </w:rPr>
      </w:pPr>
      <w:r w:rsidRPr="00D03D56">
        <w:rPr>
          <w:rFonts w:ascii="Times New Roman" w:hAnsi="Times New Roman" w:cs="Times New Roman"/>
          <w:i/>
          <w:iCs/>
          <w:sz w:val="22"/>
          <w:szCs w:val="22"/>
        </w:rPr>
        <w:t>Bile acid quantification</w:t>
      </w:r>
    </w:p>
    <w:p w14:paraId="5E5C2726" w14:textId="66FEFAC6" w:rsidR="00EF32CF" w:rsidRPr="00D03D56" w:rsidRDefault="00EF32CF" w:rsidP="00EF32CF">
      <w:pPr>
        <w:spacing w:line="480" w:lineRule="auto"/>
        <w:rPr>
          <w:rFonts w:ascii="Times New Roman" w:hAnsi="Times New Roman" w:cs="Times New Roman"/>
          <w:sz w:val="22"/>
          <w:szCs w:val="22"/>
        </w:rPr>
      </w:pPr>
      <w:r w:rsidRPr="00D03D56">
        <w:rPr>
          <w:rFonts w:ascii="Times New Roman" w:hAnsi="Times New Roman" w:cs="Times New Roman"/>
          <w:sz w:val="22"/>
          <w:szCs w:val="22"/>
        </w:rPr>
        <w:t>Bile acids were extracted from faeces and assayed using liquid chromatography-mass spectrometry (LC-MS), following the methods described by Sarafian</w:t>
      </w:r>
      <w:r w:rsidRPr="00D03D56">
        <w:rPr>
          <w:rFonts w:ascii="Times New Roman" w:hAnsi="Times New Roman" w:cs="Times New Roman"/>
          <w:i/>
          <w:iCs/>
          <w:sz w:val="22"/>
          <w:szCs w:val="22"/>
        </w:rPr>
        <w:t xml:space="preserve"> et al.</w:t>
      </w:r>
      <w:r w:rsidRPr="00D03D56">
        <w:rPr>
          <w:rFonts w:ascii="Times New Roman" w:hAnsi="Times New Roman" w:cs="Times New Roman"/>
          <w:sz w:val="22"/>
          <w:szCs w:val="22"/>
        </w:rPr>
        <w:t xml:space="preserve"> </w:t>
      </w:r>
      <w:r w:rsidRPr="00185523">
        <w:rPr>
          <w:rStyle w:val="FootnoteReference"/>
          <w:rFonts w:ascii="Times New Roman" w:hAnsi="Times New Roman" w:cs="Times New Roman"/>
          <w:sz w:val="22"/>
          <w:szCs w:val="22"/>
        </w:rPr>
        <w:fldChar w:fldCharType="begin" w:fldLock="1"/>
      </w:r>
      <w:r>
        <w:rPr>
          <w:rFonts w:ascii="Times New Roman" w:hAnsi="Times New Roman" w:cs="Times New Roman"/>
          <w:sz w:val="22"/>
          <w:szCs w:val="22"/>
        </w:rPr>
        <w:instrText xml:space="preserve"> ADDIN ZOTERO_ITEM CSL_CITATION {"citationID":"GITSplmq","properties":{"formattedCitation":"[3]","plainCitation":"[3]","noteIndex":0},"citationItems":[{"id":"1pWbVwaX/yijPgtUL","uris":["http://www.mendeley.com/documents/?uuid=367be79d-c055-3660-9e97-518ed5784502"],"uri":["http://www.mendeley.com/documents/?uuid=367be79d-c055-3660-9e97-518ed5784502"],"itemData":{"DOI":"10.1021/acs.analchem.5b01556","ISSN":"15206882","PMID":"26327313","abstract":"Bile acids are important end products of cholesterol metabolism. While they have been identified as key factors in lipid emulsification and absorption due to their detergent properties, bile acids have also been shown to act as signaling molecules and intermediates between the host and the gut microbiota. To further the investigation of bile acid functions in humans, an advanced platform for high throughput analysis is essential. Herein, we describe the development and application of a 15 min UPLC procedure for the separation of bile acid species from human biofluid samples requiring minimal sample preparation. High resolution time-of-flight mass spectrometry was applied for profiling applications, elucidating rich bile acid profiles in both normal and disease state plasma. In parallel, a second mode of detection was developed utilizing tandem mass spectrometry for sensitive and quantitative targeted analysis of 145 bile acid (BA) species including primary, secondary, and tertiary bile acids. The latter system was validated by testing the linearity (lower limit of quantification, LLOQ, 0.25-10 nM and upper limit of quantification, ULOQ, 2.5-5 μM), precision (≈6.5%), and accuracy (81.2-118.9%) on inter- and intraday analysis achieving good recovery of bile acids (serum/plasma 88% and urine 93%). The ultra performance liquid chromatography-mass spectrometry (UPLC-MS)/MS targeted method was successfully applied to plasma, serum, and urine samples in order to compare the bile acid pool compositional difference between preprandial and postprandial states, demonstrating the utility of such analysis on human biofluids.","author":[{"dropping-particle":"","family":"Sarafian","given":"Magali H.","non-dropping-particle":"","parse-names":false,"suffix":""},{"dropping-particle":"","family":"Lewis","given":"Matthew R.","non-dropping-particle":"","parse-names":false,"suffix":""},{"dropping-particle":"","family":"Pechlivanis","given":"Alexandros","non-dropping-particle":"","parse-names":false,"suffix":""},{"dropping-particle":"","family":"Ralphs","given":"Simon","non-dropping-particle":"","parse-names":false,"suffix":""},{"dropping-particle":"","family":"McPhail","given":"Mark J.W.","non-dropping-particle":"","parse-names":false,"suffix":""},{"dropping-particle":"","family":"Patel","given":"Vishal C.","non-dropping-particle":"","parse-names":false,"suffix":""},{"dropping-particle":"","family":"Dumas","given":"Marc Emmanuel","non-dropping-particle":"","parse-names":false,"suffix":""},{"dropping-particle":"","family":"Holmes","given":"Elaine","non-dropping-particle":"","parse-names":false,"suffix":""},{"dropping-particle":"","family":"Nicholson","given":"Jeremy K.","non-dropping-particle":"","parse-names":false,"suffix":""}],"container-title":"Analytical Chemistry","id":"ITEM-1","issue":"19","issued":{"date-parts":[["2015","9","1"]]},"page":"9662-9670","publisher":"American Chemical Society","title":"Bile Acid Profiling and Quantification in Biofluids Using Ultra-Performance Liquid Chromatography Tandem Mass Spectrometry","type":"article-journal","volume":"87"}}],"schema":"https://github.com/citation-style-language/schema/raw/master/csl-citation.json"} </w:instrText>
      </w:r>
      <w:r w:rsidRPr="00185523">
        <w:rPr>
          <w:rStyle w:val="FootnoteReference"/>
          <w:rFonts w:ascii="Times New Roman" w:hAnsi="Times New Roman" w:cs="Times New Roman"/>
          <w:sz w:val="22"/>
          <w:szCs w:val="22"/>
        </w:rPr>
        <w:fldChar w:fldCharType="separate"/>
      </w:r>
      <w:r>
        <w:rPr>
          <w:rFonts w:ascii="Times New Roman" w:hAnsi="Times New Roman" w:cs="Times New Roman"/>
          <w:noProof/>
          <w:sz w:val="22"/>
          <w:szCs w:val="22"/>
        </w:rPr>
        <w:t>[3]</w:t>
      </w:r>
      <w:r w:rsidRPr="00185523">
        <w:rPr>
          <w:rStyle w:val="FootnoteReference"/>
          <w:rFonts w:ascii="Times New Roman" w:hAnsi="Times New Roman" w:cs="Times New Roman"/>
          <w:sz w:val="22"/>
          <w:szCs w:val="22"/>
        </w:rPr>
        <w:fldChar w:fldCharType="end"/>
      </w:r>
      <w:r w:rsidRPr="00D03D56">
        <w:rPr>
          <w:rFonts w:ascii="Times New Roman" w:hAnsi="Times New Roman" w:cs="Times New Roman"/>
          <w:sz w:val="22"/>
          <w:szCs w:val="22"/>
        </w:rPr>
        <w:t>.</w:t>
      </w:r>
      <w:r w:rsidRPr="00185523">
        <w:rPr>
          <w:rFonts w:ascii="Times New Roman" w:hAnsi="Times New Roman" w:cs="Times New Roman"/>
          <w:sz w:val="22"/>
          <w:szCs w:val="22"/>
        </w:rPr>
        <w:t xml:space="preserve"> Briefly, s</w:t>
      </w:r>
      <w:r w:rsidRPr="00D03D56">
        <w:rPr>
          <w:rFonts w:ascii="Times New Roman" w:hAnsi="Times New Roman" w:cs="Times New Roman"/>
          <w:sz w:val="22"/>
          <w:szCs w:val="22"/>
        </w:rPr>
        <w:t xml:space="preserve">amples were centrifuged, and supernatant was mixed 1:3 with ice-cold methanol. Reverse-phase chromatography was performed using two mobile phases and a short alkyl (C8) stationary phase adapted from Shockcor </w:t>
      </w:r>
      <w:r w:rsidRPr="00D03D56">
        <w:rPr>
          <w:rFonts w:ascii="Times New Roman" w:hAnsi="Times New Roman" w:cs="Times New Roman"/>
          <w:i/>
          <w:iCs/>
          <w:sz w:val="22"/>
          <w:szCs w:val="22"/>
        </w:rPr>
        <w:t>et al.</w:t>
      </w:r>
      <w:r w:rsidRPr="00D03D56">
        <w:rPr>
          <w:rFonts w:ascii="Times New Roman" w:hAnsi="Times New Roman" w:cs="Times New Roman"/>
          <w:sz w:val="22"/>
          <w:szCs w:val="22"/>
        </w:rPr>
        <w:t xml:space="preserve"> </w:t>
      </w:r>
      <w:r w:rsidRPr="00185523">
        <w:rPr>
          <w:rStyle w:val="FootnoteReference"/>
          <w:rFonts w:ascii="Times New Roman" w:hAnsi="Times New Roman" w:cs="Times New Roman"/>
          <w:sz w:val="22"/>
          <w:szCs w:val="22"/>
        </w:rPr>
        <w:fldChar w:fldCharType="begin" w:fldLock="1"/>
      </w:r>
      <w:r>
        <w:rPr>
          <w:rFonts w:ascii="Times New Roman" w:hAnsi="Times New Roman" w:cs="Times New Roman"/>
          <w:sz w:val="22"/>
          <w:szCs w:val="22"/>
        </w:rPr>
        <w:instrText xml:space="preserve"> ADDIN ZOTERO_ITEM CSL_CITATION {"citationID":"7AcdE9Qd","properties":{"formattedCitation":"[4]","plainCitation":"[4]","noteIndex":0},"citationItems":[{"id":"1pWbVwaX/GtU4f1vj","uris":["http://www.mendeley.com/documents/?uuid=76011c4f-ae30-3f95-b023-efe2bc6f62b5"],"uri":["http://www.mendeley.com/documents/?uuid=76011c4f-ae30-3f95-b023-efe2bc6f62b5"],"itemData":{"author":[{"dropping-particle":"","family":"Shockcor","given":"J","non-dropping-particle":"","parse-names":false,"suffix":""},{"dropping-particle":"","family":"Crowe","given":"H","non-dropping-particle":"","parse-names":false,"suffix":""},{"dropping-particle":"","family":"Yu","given":"K","non-dropping-particle":"","parse-names":false,"suffix":""},{"dropping-particle":"","family":"Shion","given":"H","non-dropping-particle":"","parse-names":false,"suffix":""}],"container-title":"Waters Corporation, Milford, MA, USA","id":"ITEM-1","issued":{"date-parts":[["2011"]]},"page":"2-4","title":"Analysis of Intact Lipids from Biologics Matrices by UPLC / Ion Mobility TOF-MS","type":"article-journal"}}],"schema":"https://github.com/citation-style-language/schema/raw/master/csl-citation.json"} </w:instrText>
      </w:r>
      <w:r w:rsidRPr="00185523">
        <w:rPr>
          <w:rStyle w:val="FootnoteReference"/>
          <w:rFonts w:ascii="Times New Roman" w:hAnsi="Times New Roman" w:cs="Times New Roman"/>
          <w:sz w:val="22"/>
          <w:szCs w:val="22"/>
        </w:rPr>
        <w:fldChar w:fldCharType="separate"/>
      </w:r>
      <w:r>
        <w:rPr>
          <w:rFonts w:ascii="Times New Roman" w:hAnsi="Times New Roman" w:cs="Times New Roman"/>
          <w:noProof/>
          <w:sz w:val="22"/>
          <w:szCs w:val="22"/>
        </w:rPr>
        <w:t>[4]</w:t>
      </w:r>
      <w:r w:rsidRPr="00185523">
        <w:rPr>
          <w:rStyle w:val="FootnoteReference"/>
          <w:rFonts w:ascii="Times New Roman" w:hAnsi="Times New Roman" w:cs="Times New Roman"/>
          <w:sz w:val="22"/>
          <w:szCs w:val="22"/>
        </w:rPr>
        <w:fldChar w:fldCharType="end"/>
      </w:r>
      <w:r w:rsidRPr="00D03D56">
        <w:rPr>
          <w:rFonts w:ascii="Times New Roman" w:hAnsi="Times New Roman" w:cs="Times New Roman"/>
          <w:sz w:val="22"/>
          <w:szCs w:val="22"/>
        </w:rPr>
        <w:t>. Mobile phase A consisted of acetonitrile and ultra-pure water (1:10), with a final concentration of 1 mM ammonium acetate and adjusted to pH 4.18 using acetic acid, and mobile phase B consisted of acetonitrile and 2-propanol (1:1). Bile acid</w:t>
      </w:r>
      <w:r w:rsidRPr="00185523">
        <w:rPr>
          <w:rFonts w:ascii="Times New Roman" w:hAnsi="Times New Roman" w:cs="Times New Roman"/>
          <w:sz w:val="22"/>
          <w:szCs w:val="22"/>
        </w:rPr>
        <w:t xml:space="preserve"> </w:t>
      </w:r>
      <w:r w:rsidRPr="00D03D56">
        <w:rPr>
          <w:rFonts w:ascii="Times New Roman" w:hAnsi="Times New Roman" w:cs="Times New Roman"/>
          <w:sz w:val="22"/>
          <w:szCs w:val="22"/>
        </w:rPr>
        <w:t xml:space="preserve">identification was based on </w:t>
      </w:r>
      <w:r>
        <w:rPr>
          <w:rFonts w:ascii="Times New Roman" w:hAnsi="Times New Roman" w:cs="Times New Roman"/>
          <w:sz w:val="22"/>
          <w:szCs w:val="22"/>
        </w:rPr>
        <w:t xml:space="preserve">the </w:t>
      </w:r>
      <w:r w:rsidRPr="00D03D56">
        <w:rPr>
          <w:rFonts w:ascii="Times New Roman" w:hAnsi="Times New Roman" w:cs="Times New Roman"/>
          <w:sz w:val="22"/>
          <w:szCs w:val="22"/>
        </w:rPr>
        <w:t>retention time</w:t>
      </w:r>
      <w:r>
        <w:rPr>
          <w:rFonts w:ascii="Times New Roman" w:hAnsi="Times New Roman" w:cs="Times New Roman"/>
          <w:sz w:val="22"/>
          <w:szCs w:val="22"/>
        </w:rPr>
        <w:t>s</w:t>
      </w:r>
      <w:r w:rsidRPr="00D03D56">
        <w:rPr>
          <w:rFonts w:ascii="Times New Roman" w:hAnsi="Times New Roman" w:cs="Times New Roman"/>
          <w:sz w:val="22"/>
          <w:szCs w:val="22"/>
        </w:rPr>
        <w:t xml:space="preserve"> of individual standards.</w:t>
      </w:r>
    </w:p>
    <w:p w14:paraId="1056C2DC" w14:textId="77777777" w:rsidR="00EF32CF" w:rsidRPr="0056533D" w:rsidRDefault="00EF32CF" w:rsidP="0056533D">
      <w:pPr>
        <w:spacing w:line="480" w:lineRule="auto"/>
        <w:rPr>
          <w:rFonts w:ascii="Times New Roman" w:hAnsi="Times New Roman" w:cs="Times New Roman"/>
          <w:sz w:val="22"/>
          <w:szCs w:val="22"/>
        </w:rPr>
      </w:pPr>
    </w:p>
    <w:p w14:paraId="6B7E3488" w14:textId="77777777" w:rsidR="00EF32CF" w:rsidRPr="0056533D" w:rsidRDefault="00EF32CF" w:rsidP="0056533D">
      <w:pPr>
        <w:spacing w:line="480" w:lineRule="auto"/>
        <w:rPr>
          <w:rFonts w:ascii="Times New Roman" w:hAnsi="Times New Roman" w:cs="Times New Roman"/>
          <w:i/>
          <w:iCs/>
          <w:sz w:val="22"/>
          <w:szCs w:val="22"/>
        </w:rPr>
      </w:pPr>
      <w:r w:rsidRPr="0056533D">
        <w:rPr>
          <w:rFonts w:ascii="Times New Roman" w:hAnsi="Times New Roman" w:cs="Times New Roman"/>
          <w:i/>
          <w:iCs/>
          <w:sz w:val="22"/>
          <w:szCs w:val="22"/>
        </w:rPr>
        <w:t>Statistical analysis</w:t>
      </w:r>
    </w:p>
    <w:p w14:paraId="04CFA179" w14:textId="77777777" w:rsidR="0056533D" w:rsidRPr="0056533D" w:rsidRDefault="00EF32CF" w:rsidP="0056533D">
      <w:pPr>
        <w:pStyle w:val="Bibliography"/>
        <w:spacing w:line="480" w:lineRule="auto"/>
        <w:rPr>
          <w:rFonts w:ascii="Times New Roman" w:eastAsia="Times New Roman" w:hAnsi="Times New Roman" w:cs="Times New Roman"/>
          <w:sz w:val="22"/>
          <w:szCs w:val="22"/>
          <w:lang w:eastAsia="en-GB"/>
        </w:rPr>
      </w:pPr>
      <w:r w:rsidRPr="0056533D">
        <w:rPr>
          <w:rFonts w:ascii="Times New Roman" w:hAnsi="Times New Roman" w:cs="Times New Roman"/>
          <w:sz w:val="22"/>
          <w:szCs w:val="22"/>
        </w:rPr>
        <w:t xml:space="preserve">Data analysis was performed using R v4.0.2 </w:t>
      </w:r>
      <w:r w:rsidRPr="0056533D">
        <w:rPr>
          <w:rStyle w:val="FootnoteReference"/>
          <w:rFonts w:ascii="Times New Roman" w:hAnsi="Times New Roman" w:cs="Times New Roman"/>
          <w:sz w:val="22"/>
          <w:szCs w:val="22"/>
        </w:rPr>
        <w:fldChar w:fldCharType="begin" w:fldLock="1"/>
      </w:r>
      <w:r w:rsidRPr="0056533D">
        <w:rPr>
          <w:rFonts w:ascii="Times New Roman" w:hAnsi="Times New Roman" w:cs="Times New Roman"/>
          <w:sz w:val="22"/>
          <w:szCs w:val="22"/>
        </w:rPr>
        <w:instrText xml:space="preserve"> ADDIN ZOTERO_ITEM CSL_CITATION {"citationID":"2P9A9Rgq","properties":{"formattedCitation":"[5]","plainCitation":"[5]","noteIndex":0},"citationItems":[{"id":"1pWbVwaX/Ie0pZYRR","uris":["http://www.mendeley.com/documents/?uuid=61dc1f59-14a7-42f2-b1bf-889498d3f233"],"uri":["http://www.mendeley.com/documents/?uuid=61dc1f59-14a7-42f2-b1bf-889498d3f233"],"itemData":{"abstract":"R Foundation for Statistical Computing, Vienna, Austria. ISBN 3-900051-07-0, URL http://www.R-project.org/.","author":[{"dropping-particle":"","family":"R Core Team","given":"","non-dropping-particle":"","parse-names":false,"suffix":""}],"container-title":"R Foundation for Statistical Computing","id":"ITEM-1","issued":{"date-parts":[["2020"]]},"title":"R software: Version 4.0.2","type":"article-journal"}}],"schema":"https://github.com/citation-style-language/schema/raw/master/csl-citation.json"} </w:instrText>
      </w:r>
      <w:r w:rsidRPr="0056533D">
        <w:rPr>
          <w:rStyle w:val="FootnoteReference"/>
          <w:rFonts w:ascii="Times New Roman" w:hAnsi="Times New Roman" w:cs="Times New Roman"/>
          <w:sz w:val="22"/>
          <w:szCs w:val="22"/>
        </w:rPr>
        <w:fldChar w:fldCharType="separate"/>
      </w:r>
      <w:r w:rsidRPr="0056533D">
        <w:rPr>
          <w:rFonts w:ascii="Times New Roman" w:hAnsi="Times New Roman" w:cs="Times New Roman"/>
          <w:noProof/>
          <w:sz w:val="22"/>
          <w:szCs w:val="22"/>
        </w:rPr>
        <w:t>[5]</w:t>
      </w:r>
      <w:r w:rsidRPr="0056533D">
        <w:rPr>
          <w:rStyle w:val="FootnoteReference"/>
          <w:rFonts w:ascii="Times New Roman" w:hAnsi="Times New Roman" w:cs="Times New Roman"/>
          <w:sz w:val="22"/>
          <w:szCs w:val="22"/>
        </w:rPr>
        <w:fldChar w:fldCharType="end"/>
      </w:r>
      <w:r w:rsidRPr="0056533D">
        <w:rPr>
          <w:rFonts w:ascii="Times New Roman" w:hAnsi="Times New Roman" w:cs="Times New Roman"/>
          <w:sz w:val="22"/>
          <w:szCs w:val="22"/>
        </w:rPr>
        <w:t xml:space="preserve">. Non-parametric variance was calculated using the Kruskal-Wallis rank sum test </w:t>
      </w:r>
      <w:r w:rsidRPr="0056533D">
        <w:rPr>
          <w:rStyle w:val="FootnoteReference"/>
          <w:rFonts w:ascii="Times New Roman" w:hAnsi="Times New Roman" w:cs="Times New Roman"/>
          <w:sz w:val="22"/>
          <w:szCs w:val="22"/>
        </w:rPr>
        <w:fldChar w:fldCharType="begin" w:fldLock="1"/>
      </w:r>
      <w:r w:rsidRPr="0056533D">
        <w:rPr>
          <w:rFonts w:ascii="Times New Roman" w:hAnsi="Times New Roman" w:cs="Times New Roman"/>
          <w:sz w:val="22"/>
          <w:szCs w:val="22"/>
        </w:rPr>
        <w:instrText xml:space="preserve"> ADDIN ZOTERO_ITEM CSL_CITATION {"citationID":"atoVLPdl","properties":{"formattedCitation":"[6]","plainCitation":"[6]","noteIndex":0},"citationItems":[{"id":"1pWbVwaX/Zme40XaF","uris":["http://www.mendeley.com/documents/?uuid=2ce3dbc5-af84-3eb3-8158-1e482a837b42"],"uri":["http://www.mendeley.com/documents/?uuid=2ce3dbc5-af84-3eb3-8158-1e482a837b42"],"itemData":{"DOI":"10.1080/01621459.1952.10483441","ISSN":"1537274X","abstract":"Given C samples, with ni observations in the ith sample, a test of the hypothesis that the samples are from the same population may be made by ranking the observations from from 1 to Σn i (giving each observation in a group of ties the mean of the ranks tied for), finding the C sums of ranks, and computing a statistic H. Under the stated hypothesis, H is distributed approximately as χ2(C – 1), unless the samples are too small, in which case special approximations or exact tables are provided. One of the most important applications of the test is in detecting differences among the population means. Based in part on research supported by the Office of Naval Research at the Statistical Research Center, University of Chicago. Copyright Taylor &amp; Francis Group, LLC.","author":[{"dropping-particle":"","family":"Kruskal","given":"William H.","non-dropping-particle":"","parse-names":false,"suffix":""},{"dropping-particle":"","family":"Wallis","given":"W. Allen","non-dropping-particle":"","parse-names":false,"suffix":""}],"container-title":"Journal of the American Statistical Association","id":"ITEM-1","issue":"260","issued":{"date-parts":[["1952"]]},"page":"583-621","title":"Use of Ranks in One-Criterion Variance Analysis","type":"article-journal","volume":"47"}}],"schema":"https://github.com/citation-style-language/schema/raw/master/csl-citation.json"} </w:instrText>
      </w:r>
      <w:r w:rsidRPr="0056533D">
        <w:rPr>
          <w:rStyle w:val="FootnoteReference"/>
          <w:rFonts w:ascii="Times New Roman" w:hAnsi="Times New Roman" w:cs="Times New Roman"/>
          <w:sz w:val="22"/>
          <w:szCs w:val="22"/>
        </w:rPr>
        <w:fldChar w:fldCharType="separate"/>
      </w:r>
      <w:r w:rsidRPr="0056533D">
        <w:rPr>
          <w:rFonts w:ascii="Times New Roman" w:hAnsi="Times New Roman" w:cs="Times New Roman"/>
          <w:noProof/>
          <w:sz w:val="22"/>
          <w:szCs w:val="22"/>
        </w:rPr>
        <w:t>[6]</w:t>
      </w:r>
      <w:r w:rsidRPr="0056533D">
        <w:rPr>
          <w:rStyle w:val="FootnoteReference"/>
          <w:rFonts w:ascii="Times New Roman" w:hAnsi="Times New Roman" w:cs="Times New Roman"/>
          <w:sz w:val="22"/>
          <w:szCs w:val="22"/>
        </w:rPr>
        <w:fldChar w:fldCharType="end"/>
      </w:r>
      <w:r w:rsidRPr="0056533D">
        <w:rPr>
          <w:rFonts w:ascii="Times New Roman" w:hAnsi="Times New Roman" w:cs="Times New Roman"/>
          <w:sz w:val="22"/>
          <w:szCs w:val="22"/>
        </w:rPr>
        <w:t>. Conover-Iman rank sum tests were used to perform multiple comparisons when H</w:t>
      </w:r>
      <w:r w:rsidRPr="0056533D">
        <w:rPr>
          <w:rFonts w:ascii="Times New Roman" w:hAnsi="Times New Roman" w:cs="Times New Roman"/>
          <w:sz w:val="22"/>
          <w:szCs w:val="22"/>
          <w:vertAlign w:val="subscript"/>
        </w:rPr>
        <w:t>0</w:t>
      </w:r>
      <w:r w:rsidRPr="0056533D">
        <w:rPr>
          <w:rFonts w:ascii="Times New Roman" w:hAnsi="Times New Roman" w:cs="Times New Roman"/>
          <w:sz w:val="22"/>
          <w:szCs w:val="22"/>
        </w:rPr>
        <w:t xml:space="preserve"> is rejected by a Kruskal-Wallis test </w:t>
      </w:r>
      <w:r w:rsidRPr="0056533D">
        <w:rPr>
          <w:rStyle w:val="FootnoteReference"/>
          <w:rFonts w:ascii="Times New Roman" w:hAnsi="Times New Roman" w:cs="Times New Roman"/>
          <w:sz w:val="22"/>
          <w:szCs w:val="22"/>
        </w:rPr>
        <w:fldChar w:fldCharType="begin" w:fldLock="1"/>
      </w:r>
      <w:r w:rsidRPr="0056533D">
        <w:rPr>
          <w:rFonts w:ascii="Times New Roman" w:hAnsi="Times New Roman" w:cs="Times New Roman"/>
          <w:sz w:val="22"/>
          <w:szCs w:val="22"/>
        </w:rPr>
        <w:instrText xml:space="preserve"> ADDIN ZOTERO_ITEM CSL_CITATION {"citationID":"PTAezM8s","properties":{"formattedCitation":"[7]","plainCitation":"[7]","noteIndex":0},"citationItems":[{"id":"1pWbVwaX/hLCmDouR","uris":["http://www.mendeley.com/documents/?uuid=311ef779-26cd-365d-a968-ca6f47c6773b"],"uri":["http://www.mendeley.com/documents/?uuid=311ef779-26cd-365d-a968-ca6f47c6773b"],"itemData":{"DOI":"10.2307/2683975","ISSN":"00031305","abstract":"Many of the more useful and powerful nonparametric procedures may be presented in a unified manner by treating them as rank transformation procedures. Rank transformation procedures are ones in which the usual parametric procedure is applied to the ranks of the data instead of to the data themselves. This technique should be viewed as a useful tool for developing nonparametric procedures to solve new problems. CR - Copyright &amp;#169; 1981 American Statistical Association","author":[{"dropping-particle":"","family":"Conover","given":"W. J.","non-dropping-particle":"","parse-names":false,"suffix":""},{"dropping-particle":"","family":"Iman","given":"Ronald L.","non-dropping-particle":"","parse-names":false,"suffix":""}],"container-title":"The American Statistician","id":"ITEM-1","issue":"3","issued":{"date-parts":[["1981","8"]]},"page":"124","publisher":"JSTOR","title":"Rank Transformations as a Bridge Between Parametric and Nonparametric Statistics","type":"article-journal","volume":"35"}}],"schema":"https://github.com/citation-style-language/schema/raw/master/csl-citation.json"} </w:instrText>
      </w:r>
      <w:r w:rsidRPr="0056533D">
        <w:rPr>
          <w:rStyle w:val="FootnoteReference"/>
          <w:rFonts w:ascii="Times New Roman" w:hAnsi="Times New Roman" w:cs="Times New Roman"/>
          <w:sz w:val="22"/>
          <w:szCs w:val="22"/>
        </w:rPr>
        <w:fldChar w:fldCharType="separate"/>
      </w:r>
      <w:r w:rsidRPr="0056533D">
        <w:rPr>
          <w:rFonts w:ascii="Times New Roman" w:hAnsi="Times New Roman" w:cs="Times New Roman"/>
          <w:noProof/>
          <w:sz w:val="22"/>
          <w:szCs w:val="22"/>
        </w:rPr>
        <w:t>[7]</w:t>
      </w:r>
      <w:r w:rsidRPr="0056533D">
        <w:rPr>
          <w:rStyle w:val="FootnoteReference"/>
          <w:rFonts w:ascii="Times New Roman" w:hAnsi="Times New Roman" w:cs="Times New Roman"/>
          <w:sz w:val="22"/>
          <w:szCs w:val="22"/>
        </w:rPr>
        <w:fldChar w:fldCharType="end"/>
      </w:r>
      <w:r w:rsidRPr="0056533D">
        <w:rPr>
          <w:rFonts w:ascii="Times New Roman" w:hAnsi="Times New Roman" w:cs="Times New Roman"/>
          <w:sz w:val="22"/>
          <w:szCs w:val="22"/>
        </w:rPr>
        <w:t xml:space="preserve">. Inter-group significance displayed in graphs was calculated using the Conover-Iman test. Conover-Iman tests were performed using the conover.test package for R </w:t>
      </w:r>
      <w:r w:rsidRPr="0056533D">
        <w:rPr>
          <w:rStyle w:val="FootnoteReference"/>
          <w:rFonts w:ascii="Times New Roman" w:hAnsi="Times New Roman" w:cs="Times New Roman"/>
          <w:sz w:val="22"/>
          <w:szCs w:val="22"/>
        </w:rPr>
        <w:fldChar w:fldCharType="begin" w:fldLock="1"/>
      </w:r>
      <w:r w:rsidRPr="0056533D">
        <w:rPr>
          <w:rFonts w:ascii="Times New Roman" w:hAnsi="Times New Roman" w:cs="Times New Roman"/>
          <w:sz w:val="22"/>
          <w:szCs w:val="22"/>
        </w:rPr>
        <w:instrText xml:space="preserve"> ADDIN ZOTERO_ITEM CSL_CITATION {"citationID":"xMBvGS5b","properties":{"formattedCitation":"[8]","plainCitation":"[8]","noteIndex":0},"citationItems":[{"id":"1pWbVwaX/oSoEiKNi","uris":["http://www.mendeley.com/documents/?uuid=2f6f272f-f280-3644-a5ea-e451e4b7273d"],"uri":["http://www.mendeley.com/documents/?uuid=2f6f272f-f280-3644-a5ea-e451e4b7273d"],"itemData":{"author":[{"dropping-particle":"","family":"Dinno","given":"Alexis","non-dropping-particle":"","parse-names":false,"suffix":""}],"id":"ITEM-1","issued":{"date-parts":[["2017"]]},"title":"conover.test: Conover-Iman Test of Multiple Comparisons Using Rank Sums","type":"article"}}],"schema":"https://github.com/citation-style-language/schema/raw/master/csl-citation.json"} </w:instrText>
      </w:r>
      <w:r w:rsidRPr="0056533D">
        <w:rPr>
          <w:rStyle w:val="FootnoteReference"/>
          <w:rFonts w:ascii="Times New Roman" w:hAnsi="Times New Roman" w:cs="Times New Roman"/>
          <w:sz w:val="22"/>
          <w:szCs w:val="22"/>
        </w:rPr>
        <w:fldChar w:fldCharType="separate"/>
      </w:r>
      <w:r w:rsidRPr="0056533D">
        <w:rPr>
          <w:rFonts w:ascii="Times New Roman" w:hAnsi="Times New Roman" w:cs="Times New Roman"/>
          <w:noProof/>
          <w:sz w:val="22"/>
          <w:szCs w:val="22"/>
        </w:rPr>
        <w:t>[8]</w:t>
      </w:r>
      <w:r w:rsidRPr="0056533D">
        <w:rPr>
          <w:rStyle w:val="FootnoteReference"/>
          <w:rFonts w:ascii="Times New Roman" w:hAnsi="Times New Roman" w:cs="Times New Roman"/>
          <w:sz w:val="22"/>
          <w:szCs w:val="22"/>
        </w:rPr>
        <w:fldChar w:fldCharType="end"/>
      </w:r>
      <w:r w:rsidRPr="0056533D">
        <w:rPr>
          <w:rFonts w:ascii="Times New Roman" w:hAnsi="Times New Roman" w:cs="Times New Roman"/>
          <w:sz w:val="22"/>
          <w:szCs w:val="22"/>
        </w:rPr>
        <w:t xml:space="preserve">. Multiple comparisons were corrected using the method proposed by Benjamini and Hochberg, as implemented in conover.test </w:t>
      </w:r>
      <w:r w:rsidRPr="0056533D">
        <w:rPr>
          <w:rStyle w:val="FootnoteReference"/>
          <w:rFonts w:ascii="Times New Roman" w:hAnsi="Times New Roman" w:cs="Times New Roman"/>
          <w:sz w:val="22"/>
          <w:szCs w:val="22"/>
        </w:rPr>
        <w:fldChar w:fldCharType="begin" w:fldLock="1"/>
      </w:r>
      <w:r w:rsidRPr="0056533D">
        <w:rPr>
          <w:rFonts w:ascii="Times New Roman" w:hAnsi="Times New Roman" w:cs="Times New Roman"/>
          <w:sz w:val="22"/>
          <w:szCs w:val="22"/>
        </w:rPr>
        <w:instrText xml:space="preserve"> ADDIN ZOTERO_ITEM CSL_CITATION {"citationID":"VbR8vsxw","properties":{"formattedCitation":"[8, 9]","plainCitation":"[8, 9]","noteIndex":0},"citationItems":[{"id":"1pWbVwaX/zQOvC2Gy","uris":["http://www.mendeley.com/documents/?uuid=f1c9fa6c-03ca-4016-b04d-95f794eb8c89"],"uri":["http://www.mendeley.com/documents/?uuid=f1c9fa6c-03ca-4016-b04d-95f794eb8c89"],"itemData":{"ISSN":"00359246","abstract":"[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author":[{"dropping-particle":"","family":"Benjamini","given":"Yoav","non-dropping-particle":"","parse-names":false,"suffix":""},{"dropping-particle":"","family":"Hochberg","given":"Yosef","non-dropping-particle":"","parse-names":false,"suffix":""}],"container-title":"Journal of the Royal Statistical Society. Series B (Methodological)","id":"ITEM-1","issue":"1","issued":{"date-parts":[["1995","12","11"]]},"page":"289-300","publisher":"[Royal Statistical Society, Wiley]","title":"Controlling the False Discovery Rate: A Practical and Powerful Approach to Multiple Testing","type":"article-journal","volume":"57"}},{"id":"1pWbVwaX/oSoEiKNi","uris":["http://www.mendeley.com/documents/?uuid=2f6f272f-f280-3644-a5ea-e451e4b7273d"],"uri":["http://www.mendeley.com/documents/?uuid=2f6f272f-f280-3644-a5ea-e451e4b7273d"],"itemData":{"author":[{"dropping-particle":"","family":"Dinno","given":"Alexis","non-dropping-particle":"","parse-names":false,"suffix":""}],"id":"ITEM-2","issued":{"date-parts":[["2017"]]},"title":"conover.test: Conover-Iman Test of Multiple Comparisons Using Rank Sums","type":"article"}}],"schema":"https://github.com/citation-style-language/schema/raw/master/csl-citation.json"} </w:instrText>
      </w:r>
      <w:r w:rsidRPr="0056533D">
        <w:rPr>
          <w:rStyle w:val="FootnoteReference"/>
          <w:rFonts w:ascii="Times New Roman" w:hAnsi="Times New Roman" w:cs="Times New Roman"/>
          <w:sz w:val="22"/>
          <w:szCs w:val="22"/>
        </w:rPr>
        <w:fldChar w:fldCharType="separate"/>
      </w:r>
      <w:r w:rsidRPr="0056533D">
        <w:rPr>
          <w:rFonts w:ascii="Times New Roman" w:hAnsi="Times New Roman" w:cs="Times New Roman"/>
          <w:noProof/>
          <w:sz w:val="22"/>
          <w:szCs w:val="22"/>
        </w:rPr>
        <w:t>[8, 9]</w:t>
      </w:r>
      <w:r w:rsidRPr="0056533D">
        <w:rPr>
          <w:rStyle w:val="FootnoteReference"/>
          <w:rFonts w:ascii="Times New Roman" w:hAnsi="Times New Roman" w:cs="Times New Roman"/>
          <w:sz w:val="22"/>
          <w:szCs w:val="22"/>
        </w:rPr>
        <w:fldChar w:fldCharType="end"/>
      </w:r>
      <w:r w:rsidRPr="0056533D">
        <w:rPr>
          <w:rFonts w:ascii="Times New Roman" w:hAnsi="Times New Roman" w:cs="Times New Roman"/>
          <w:sz w:val="22"/>
          <w:szCs w:val="22"/>
        </w:rPr>
        <w:t xml:space="preserve">. Graphs were created using ggplot2 </w:t>
      </w:r>
      <w:r w:rsidRPr="0056533D">
        <w:rPr>
          <w:rStyle w:val="FootnoteReference"/>
          <w:rFonts w:ascii="Times New Roman" w:hAnsi="Times New Roman" w:cs="Times New Roman"/>
          <w:sz w:val="22"/>
          <w:szCs w:val="22"/>
        </w:rPr>
        <w:fldChar w:fldCharType="begin" w:fldLock="1"/>
      </w:r>
      <w:r w:rsidRPr="0056533D">
        <w:rPr>
          <w:rFonts w:ascii="Times New Roman" w:hAnsi="Times New Roman" w:cs="Times New Roman"/>
          <w:sz w:val="22"/>
          <w:szCs w:val="22"/>
        </w:rPr>
        <w:instrText xml:space="preserve"> ADDIN ZOTERO_ITEM CSL_CITATION {"citationID":"tVjPBuCN","properties":{"formattedCitation":"[10]","plainCitation":"[10]","noteIndex":0},"citationItems":[{"id":"1pWbVwaX/6z6AzbqT","uris":["http://www.mendeley.com/documents/?uuid=0a0b8455-e337-4fb5-aae0-e235f2a18ae9"],"uri":["http://www.mendeley.com/documents/?uuid=0a0b8455-e337-4fb5-aae0-e235f2a18ae9"],"itemData":{"DOI":"10.1007/978-0-387-98141-3","ISBN":"9780387981406","ISSN":"0006341X","PMID":"19791908","abstract":"This book describes ggplot2, a new data visualization package for R that uses the insights from Leland Wilkison's Grammar of Graphics to create a powerful and flexible system for creating data graphics. With ggplot2, it's easy to:produce handsome, publication-quality plots, with automatic legends created from the plot specificationsuperpose multiple layers (points, lines, maps, tiles, box plots to name a few) from different data sources, with automatically adjusted common scalesadd customisable smoothers that use the powerful modelling capabilities of R, such as loess, linear models, generalised additive models and robust regressionsave any ggplot2 plot (or part thereof) for later modification or reusecreate custom themes that capture in-house or journal style requirements, and that can easily be applied to multiple plotsapproach your graph from a visual perspective, thinking about how each component of the data is represented on the final plot.This book will be useful to everyone who has struggled with displaying their data in an informative and attractive way. You will need some basic knowledge of R (i.e. you should be able to get your data into R), but ggplot2 is a mini-language specifically tailored for producing graphics, and you'll learn everything you need in the book. After reading this book you'll be able to produce graphics customized precisely for your problems, to and you'll find it easy to get graphics out of your head and on to the screen or page.","author":[{"dropping-particle":"","family":"Wickham","given":"Hadley","non-dropping-particle":"","parse-names":false,"suffix":""}],"container-title":"Springer","id":"ITEM-1","issued":{"date-parts":[["2016"]]},"title":"ggplot2 Elegant Graphics for Data Analysis (Use R!)","type":"book"}}],"schema":"https://github.com/citation-style-language/schema/raw/master/csl-citation.json"} </w:instrText>
      </w:r>
      <w:r w:rsidRPr="0056533D">
        <w:rPr>
          <w:rStyle w:val="FootnoteReference"/>
          <w:rFonts w:ascii="Times New Roman" w:hAnsi="Times New Roman" w:cs="Times New Roman"/>
          <w:sz w:val="22"/>
          <w:szCs w:val="22"/>
        </w:rPr>
        <w:fldChar w:fldCharType="separate"/>
      </w:r>
      <w:r w:rsidRPr="0056533D">
        <w:rPr>
          <w:rFonts w:ascii="Times New Roman" w:hAnsi="Times New Roman" w:cs="Times New Roman"/>
          <w:noProof/>
          <w:sz w:val="22"/>
          <w:szCs w:val="22"/>
        </w:rPr>
        <w:t>[10]</w:t>
      </w:r>
      <w:r w:rsidRPr="0056533D">
        <w:rPr>
          <w:rStyle w:val="FootnoteReference"/>
          <w:rFonts w:ascii="Times New Roman" w:hAnsi="Times New Roman" w:cs="Times New Roman"/>
          <w:sz w:val="22"/>
          <w:szCs w:val="22"/>
        </w:rPr>
        <w:fldChar w:fldCharType="end"/>
      </w:r>
      <w:r w:rsidRPr="0056533D">
        <w:rPr>
          <w:rFonts w:ascii="Times New Roman" w:eastAsia="Times New Roman" w:hAnsi="Times New Roman" w:cs="Times New Roman"/>
          <w:sz w:val="22"/>
          <w:szCs w:val="22"/>
          <w:lang w:eastAsia="en-GB"/>
        </w:rPr>
        <w:t xml:space="preserve">. Data frame melting was performed with reshape2 </w:t>
      </w:r>
      <w:r w:rsidRPr="0056533D">
        <w:rPr>
          <w:rStyle w:val="FootnoteReference"/>
          <w:rFonts w:ascii="Times New Roman" w:eastAsia="Times New Roman" w:hAnsi="Times New Roman" w:cs="Times New Roman"/>
          <w:sz w:val="22"/>
          <w:szCs w:val="22"/>
          <w:lang w:eastAsia="en-GB"/>
        </w:rPr>
        <w:fldChar w:fldCharType="begin" w:fldLock="1"/>
      </w:r>
      <w:r w:rsidRPr="0056533D">
        <w:rPr>
          <w:rFonts w:ascii="Times New Roman" w:eastAsia="Times New Roman" w:hAnsi="Times New Roman" w:cs="Times New Roman"/>
          <w:sz w:val="22"/>
          <w:szCs w:val="22"/>
          <w:lang w:eastAsia="en-GB"/>
        </w:rPr>
        <w:instrText xml:space="preserve"> ADDIN ZOTERO_ITEM CSL_CITATION {"citationID":"4b2qrfe2","properties":{"formattedCitation":"[11]","plainCitation":"[11]","noteIndex":0},"citationItems":[{"id":"1pWbVwaX/cJeZvKbK","uris":["http://www.mendeley.com/documents/?uuid=6663df5d-3d31-4dc1-b1bb-a7896c32b9c9"],"uri":["http://www.mendeley.com/documents/?uuid=6663df5d-3d31-4dc1-b1bb-a7896c32b9c9"],"itemData":{"abstract":"Flexibly restructure and aggregate data using just two functions: melt and 'dcast' (or 'acast').","author":[{"dropping-particle":"","family":"Wickham","given":"Hadley","non-dropping-particle":"","parse-names":false,"suffix":""}],"container-title":"CRAN","id":"ITEM-1","issued":{"date-parts":[["2017"]]},"title":"R: Package ‘reshape2’","type":"webpage"}}],"schema":"https://github.com/citation-style-language/schema/raw/master/csl-citation.json"} </w:instrText>
      </w:r>
      <w:r w:rsidRPr="0056533D">
        <w:rPr>
          <w:rStyle w:val="FootnoteReference"/>
          <w:rFonts w:ascii="Times New Roman" w:eastAsia="Times New Roman" w:hAnsi="Times New Roman" w:cs="Times New Roman"/>
          <w:sz w:val="22"/>
          <w:szCs w:val="22"/>
          <w:lang w:eastAsia="en-GB"/>
        </w:rPr>
        <w:fldChar w:fldCharType="separate"/>
      </w:r>
      <w:r w:rsidRPr="0056533D">
        <w:rPr>
          <w:rFonts w:ascii="Times New Roman" w:eastAsia="Times New Roman" w:hAnsi="Times New Roman" w:cs="Times New Roman"/>
          <w:noProof/>
          <w:sz w:val="22"/>
          <w:szCs w:val="22"/>
          <w:lang w:eastAsia="en-GB"/>
        </w:rPr>
        <w:t>[11]</w:t>
      </w:r>
      <w:r w:rsidRPr="0056533D">
        <w:rPr>
          <w:rStyle w:val="FootnoteReference"/>
          <w:rFonts w:ascii="Times New Roman" w:eastAsia="Times New Roman" w:hAnsi="Times New Roman" w:cs="Times New Roman"/>
          <w:sz w:val="22"/>
          <w:szCs w:val="22"/>
          <w:lang w:eastAsia="en-GB"/>
        </w:rPr>
        <w:fldChar w:fldCharType="end"/>
      </w:r>
      <w:r w:rsidRPr="0056533D">
        <w:rPr>
          <w:rFonts w:ascii="Times New Roman" w:eastAsia="Times New Roman" w:hAnsi="Times New Roman" w:cs="Times New Roman"/>
          <w:sz w:val="22"/>
          <w:szCs w:val="22"/>
          <w:lang w:eastAsia="en-GB"/>
        </w:rPr>
        <w:t xml:space="preserve">. Shannon diversity indices were calculated using the diversity function from vegan 2.5-6 </w:t>
      </w:r>
      <w:r w:rsidRPr="0056533D">
        <w:rPr>
          <w:rStyle w:val="FootnoteReference"/>
          <w:rFonts w:ascii="Times New Roman" w:eastAsia="Times New Roman" w:hAnsi="Times New Roman" w:cs="Times New Roman"/>
          <w:sz w:val="22"/>
          <w:szCs w:val="22"/>
          <w:lang w:eastAsia="en-GB"/>
        </w:rPr>
        <w:fldChar w:fldCharType="begin" w:fldLock="1"/>
      </w:r>
      <w:r w:rsidRPr="0056533D">
        <w:rPr>
          <w:rFonts w:ascii="Times New Roman" w:eastAsia="Times New Roman" w:hAnsi="Times New Roman" w:cs="Times New Roman"/>
          <w:sz w:val="22"/>
          <w:szCs w:val="22"/>
          <w:lang w:eastAsia="en-GB"/>
        </w:rPr>
        <w:instrText xml:space="preserve"> ADDIN ZOTERO_ITEM CSL_CITATION {"citationID":"5Wkpy1xe","properties":{"formattedCitation":"[12]","plainCitation":"[12]","noteIndex":0},"citationItems":[{"id":"1pWbVwaX/Ks9v3P9E","uris":["http://www.mendeley.com/documents/?uuid=874397e6-fc23-42ee-8c78-11a9f628b743"],"uri":["http://www.mendeley.com/documents/?uuid=874397e6-fc23-42ee-8c78-11a9f628b743"],"itemData":{"abstract":"Vegan is a package for community ecologists. This documents explains how the commonly used ordination methods can be done in vegan. The document only is a very basic introduction. Another document (vegan tutorial) (http://cc.oulu. gives a longer and more detailed introduction to ordination. The current document only describes a small part of all vegan functions. For most functions, the canonical references are the vegan help pages, and some of the most important additional functions are listed at this document. 1.","author":[{"dropping-particle":"","family":"Oksanen","given":"J.","non-dropping-particle":"","parse-names":false,"suffix":""},{"dropping-particle":"","family":"Blanchet","given":"F. Guillaume","non-dropping-particle":"","parse-names":false,"suffix":""},{"dropping-particle":"","family":"Friendly","given":"Michael","non-dropping-particle":"","parse-names":false,"suffix":""},{"dropping-particle":"","family":"Kindt","given":"Roeland","non-dropping-particle":"","parse-names":false,"suffix":""},{"dropping-particle":"","family":"Legendre","given":"Pierre","non-dropping-particle":"","parse-names":false,"suffix":""},{"dropping-particle":"","family":"McGlinn","given":"Dan","non-dropping-particle":"","parse-names":false,"suffix":""},{"dropping-particle":"","family":"Minchin","given":"Peter R.","non-dropping-particle":"","parse-names":false,"suffix":""},{"dropping-particle":"","family":"O'Hara","given":"R. B.","non-dropping-particle":"","parse-names":false,"suffix":""},{"dropping-particle":"","family":"Simpson","given":"Gavin L.","non-dropping-particle":"","parse-names":false,"suffix":""},{"dropping-particle":"","family":"Solymos","given":"Peter","non-dropping-particle":"","parse-names":false,"suffix":""},{"dropping-particle":"","family":"Stevens","given":"M. Henry H.","non-dropping-particle":"","parse-names":false,"suffix":""},{"dropping-particle":"","family":"Szoecs","given":"Eduard","non-dropping-particle":"","parse-names":false,"suffix":""},{"dropping-particle":"","family":"Wagner","given":"Helene","non-dropping-particle":"","parse-names":false,"suffix":""}],"container-title":"Cran R","id":"ITEM-1","issued":{"date-parts":[["2019"]]},"title":"vegan: Community Ecology Package. R package version 2.5-2","type":"article-journal"}}],"schema":"https://github.com/citation-style-language/schema/raw/master/csl-citation.json"} </w:instrText>
      </w:r>
      <w:r w:rsidRPr="0056533D">
        <w:rPr>
          <w:rStyle w:val="FootnoteReference"/>
          <w:rFonts w:ascii="Times New Roman" w:eastAsia="Times New Roman" w:hAnsi="Times New Roman" w:cs="Times New Roman"/>
          <w:sz w:val="22"/>
          <w:szCs w:val="22"/>
          <w:lang w:eastAsia="en-GB"/>
        </w:rPr>
        <w:fldChar w:fldCharType="separate"/>
      </w:r>
      <w:r w:rsidRPr="0056533D">
        <w:rPr>
          <w:rFonts w:ascii="Times New Roman" w:eastAsia="Times New Roman" w:hAnsi="Times New Roman" w:cs="Times New Roman"/>
          <w:noProof/>
          <w:sz w:val="22"/>
          <w:szCs w:val="22"/>
          <w:lang w:eastAsia="en-GB"/>
        </w:rPr>
        <w:t>[12]</w:t>
      </w:r>
      <w:r w:rsidRPr="0056533D">
        <w:rPr>
          <w:rStyle w:val="FootnoteReference"/>
          <w:rFonts w:ascii="Times New Roman" w:eastAsia="Times New Roman" w:hAnsi="Times New Roman" w:cs="Times New Roman"/>
          <w:sz w:val="22"/>
          <w:szCs w:val="22"/>
          <w:lang w:eastAsia="en-GB"/>
        </w:rPr>
        <w:fldChar w:fldCharType="end"/>
      </w:r>
      <w:r w:rsidRPr="0056533D">
        <w:rPr>
          <w:rFonts w:ascii="Times New Roman" w:eastAsia="Times New Roman" w:hAnsi="Times New Roman" w:cs="Times New Roman"/>
          <w:sz w:val="22"/>
          <w:szCs w:val="22"/>
          <w:lang w:eastAsia="en-GB"/>
        </w:rPr>
        <w:t xml:space="preserve">. Beta-diversity was calculated using the vegdist function of vegan and plotted with ggplot2. Spearman’s </w:t>
      </w:r>
      <w:r w:rsidRPr="0056533D">
        <w:rPr>
          <w:rFonts w:ascii="Times New Roman" w:eastAsia="Times New Roman" w:hAnsi="Times New Roman" w:cs="Times New Roman"/>
          <w:sz w:val="22"/>
          <w:szCs w:val="22"/>
          <w:lang w:eastAsia="en-GB"/>
        </w:rPr>
        <w:sym w:font="Symbol" w:char="F072"/>
      </w:r>
      <w:r w:rsidRPr="0056533D">
        <w:rPr>
          <w:rFonts w:ascii="Times New Roman" w:eastAsia="Times New Roman" w:hAnsi="Times New Roman" w:cs="Times New Roman"/>
          <w:sz w:val="22"/>
          <w:szCs w:val="22"/>
          <w:lang w:eastAsia="en-GB"/>
        </w:rPr>
        <w:t xml:space="preserve"> was calculated using cor.test in R </w:t>
      </w:r>
      <w:r w:rsidRPr="0056533D">
        <w:rPr>
          <w:rStyle w:val="FootnoteReference"/>
          <w:rFonts w:ascii="Times New Roman" w:eastAsia="Times New Roman" w:hAnsi="Times New Roman" w:cs="Times New Roman"/>
          <w:sz w:val="22"/>
          <w:szCs w:val="22"/>
          <w:lang w:eastAsia="en-GB"/>
        </w:rPr>
        <w:fldChar w:fldCharType="begin" w:fldLock="1"/>
      </w:r>
      <w:r w:rsidRPr="0056533D">
        <w:rPr>
          <w:rFonts w:ascii="Times New Roman" w:eastAsia="Times New Roman" w:hAnsi="Times New Roman" w:cs="Times New Roman"/>
          <w:sz w:val="22"/>
          <w:szCs w:val="22"/>
          <w:lang w:eastAsia="en-GB"/>
        </w:rPr>
        <w:instrText xml:space="preserve"> ADDIN ZOTERO_ITEM CSL_CITATION {"citationID":"J4seWXiv","properties":{"formattedCitation":"[5]","plainCitation":"[5]","noteIndex":0},"citationItems":[{"id":"1pWbVwaX/Ie0pZYRR","uris":["http://www.mendeley.com/documents/?uuid=61dc1f59-14a7-42f2-b1bf-889498d3f233"],"uri":["http://www.mendeley.com/documents/?uuid=61dc1f59-14a7-42f2-b1bf-889498d3f233"],"itemData":{"abstract":"R Foundation for Statistical Computing, Vienna, Austria. ISBN 3-900051-07-0, URL http://www.R-project.org/.","author":[{"dropping-particle":"","family":"R Core Team","given":"","non-dropping-particle":"","parse-names":false,"suffix":""}],"container-title":"R Foundation for Statistical Computing","id":"ITEM-1","issued":{"date-parts":[["2020"]]},"title":"R software: Version 4.0.2","type":"article-journal"}}],"schema":"https://github.com/citation-style-language/schema/raw/master/csl-citation.json"} </w:instrText>
      </w:r>
      <w:r w:rsidRPr="0056533D">
        <w:rPr>
          <w:rStyle w:val="FootnoteReference"/>
          <w:rFonts w:ascii="Times New Roman" w:eastAsia="Times New Roman" w:hAnsi="Times New Roman" w:cs="Times New Roman"/>
          <w:sz w:val="22"/>
          <w:szCs w:val="22"/>
          <w:lang w:eastAsia="en-GB"/>
        </w:rPr>
        <w:fldChar w:fldCharType="separate"/>
      </w:r>
      <w:r w:rsidRPr="0056533D">
        <w:rPr>
          <w:rFonts w:ascii="Times New Roman" w:eastAsia="Times New Roman" w:hAnsi="Times New Roman" w:cs="Times New Roman"/>
          <w:noProof/>
          <w:sz w:val="22"/>
          <w:szCs w:val="22"/>
          <w:lang w:eastAsia="en-GB"/>
        </w:rPr>
        <w:t>[5]</w:t>
      </w:r>
      <w:r w:rsidRPr="0056533D">
        <w:rPr>
          <w:rStyle w:val="FootnoteReference"/>
          <w:rFonts w:ascii="Times New Roman" w:eastAsia="Times New Roman" w:hAnsi="Times New Roman" w:cs="Times New Roman"/>
          <w:sz w:val="22"/>
          <w:szCs w:val="22"/>
          <w:lang w:eastAsia="en-GB"/>
        </w:rPr>
        <w:fldChar w:fldCharType="end"/>
      </w:r>
      <w:r w:rsidRPr="0056533D">
        <w:rPr>
          <w:rFonts w:ascii="Times New Roman" w:eastAsia="Times New Roman" w:hAnsi="Times New Roman" w:cs="Times New Roman"/>
          <w:sz w:val="22"/>
          <w:szCs w:val="22"/>
          <w:lang w:eastAsia="en-GB"/>
        </w:rPr>
        <w:t xml:space="preserve">. Correlation interpretations are based on guidelines published by the British Medical Journal </w:t>
      </w:r>
      <w:r w:rsidRPr="0056533D">
        <w:rPr>
          <w:rStyle w:val="FootnoteReference"/>
          <w:rFonts w:ascii="Times New Roman" w:eastAsia="Times New Roman" w:hAnsi="Times New Roman" w:cs="Times New Roman"/>
          <w:sz w:val="22"/>
          <w:szCs w:val="22"/>
          <w:lang w:eastAsia="en-GB"/>
        </w:rPr>
        <w:fldChar w:fldCharType="begin" w:fldLock="1"/>
      </w:r>
      <w:r w:rsidRPr="0056533D">
        <w:rPr>
          <w:rFonts w:ascii="Times New Roman" w:eastAsia="Times New Roman" w:hAnsi="Times New Roman" w:cs="Times New Roman"/>
          <w:sz w:val="22"/>
          <w:szCs w:val="22"/>
          <w:lang w:eastAsia="en-GB"/>
        </w:rPr>
        <w:instrText xml:space="preserve"> ADDIN ZOTERO_ITEM CSL_CITATION {"citationID":"eQvHxAut","properties":{"formattedCitation":"[13]","plainCitation":"[13]","noteIndex":0},"citationItems":[{"id":3323,"uris":["http://zotero.org/users/1256846/items/FIZJGJF9"],"uri":["http://zotero.org/users/1256846/items/FIZJGJF9"],"itemData":{"id":3323,"type":"webpage","abstract":"The word correlation is used in everyday life to denote some form of association. We might say that we have noticed a correlation between foggy days and attacks of wheeziness. However, in statistical terms we use correlation to denote association between two quantitative variables. We also assume th","container-title":"The BMJ | The BMJ: leading general medical journal. Research. Education. Comment","language":"en","note":"section: Statistics","title":"11. Correlation and regression | The BMJ","URL":"https://www.bmj.com/about-bmj/resources-readers/publications/statistics-square-one/11-correlation-and-regression","accessed":{"date-parts":[["2021",5,18]]},"issued":{"date-parts":[["2020",10,28]]}}}],"schema":"https://github.com/citation-style-language/schema/raw/master/csl-citation.json"} </w:instrText>
      </w:r>
      <w:r w:rsidRPr="0056533D">
        <w:rPr>
          <w:rStyle w:val="FootnoteReference"/>
          <w:rFonts w:ascii="Times New Roman" w:eastAsia="Times New Roman" w:hAnsi="Times New Roman" w:cs="Times New Roman"/>
          <w:sz w:val="22"/>
          <w:szCs w:val="22"/>
          <w:lang w:eastAsia="en-GB"/>
        </w:rPr>
        <w:fldChar w:fldCharType="separate"/>
      </w:r>
      <w:r w:rsidRPr="0056533D">
        <w:rPr>
          <w:rFonts w:ascii="Times New Roman" w:eastAsia="Times New Roman" w:hAnsi="Times New Roman" w:cs="Times New Roman"/>
          <w:noProof/>
          <w:sz w:val="22"/>
          <w:szCs w:val="22"/>
          <w:lang w:eastAsia="en-GB"/>
        </w:rPr>
        <w:t>[13]</w:t>
      </w:r>
      <w:r w:rsidRPr="0056533D">
        <w:rPr>
          <w:rStyle w:val="FootnoteReference"/>
          <w:rFonts w:ascii="Times New Roman" w:eastAsia="Times New Roman" w:hAnsi="Times New Roman" w:cs="Times New Roman"/>
          <w:sz w:val="22"/>
          <w:szCs w:val="22"/>
          <w:lang w:eastAsia="en-GB"/>
        </w:rPr>
        <w:fldChar w:fldCharType="end"/>
      </w:r>
      <w:r w:rsidRPr="0056533D">
        <w:rPr>
          <w:rFonts w:ascii="Times New Roman" w:eastAsia="Times New Roman" w:hAnsi="Times New Roman" w:cs="Times New Roman"/>
          <w:sz w:val="22"/>
          <w:szCs w:val="22"/>
          <w:lang w:eastAsia="en-GB"/>
        </w:rPr>
        <w:t>.</w:t>
      </w:r>
    </w:p>
    <w:p w14:paraId="2BB83840" w14:textId="77777777" w:rsidR="0056533D" w:rsidRDefault="0056533D">
      <w:pPr>
        <w:rPr>
          <w:rFonts w:eastAsia="Times New Roman"/>
          <w:lang w:eastAsia="en-GB"/>
        </w:rPr>
      </w:pPr>
      <w:r>
        <w:rPr>
          <w:rFonts w:eastAsia="Times New Roman"/>
          <w:lang w:eastAsia="en-GB"/>
        </w:rPr>
        <w:br w:type="page"/>
      </w:r>
    </w:p>
    <w:p w14:paraId="503CD50D" w14:textId="565C3DB5" w:rsidR="0056533D" w:rsidRPr="0056533D" w:rsidRDefault="0056533D" w:rsidP="0056533D">
      <w:pPr>
        <w:pStyle w:val="Bibliography"/>
        <w:rPr>
          <w:rFonts w:ascii="Times New Roman" w:hAnsi="Times New Roman" w:cs="Times New Roman"/>
          <w:sz w:val="22"/>
        </w:rPr>
      </w:pPr>
      <w:r>
        <w:rPr>
          <w:rFonts w:eastAsia="Times New Roman"/>
          <w:lang w:eastAsia="en-GB"/>
        </w:rPr>
        <w:lastRenderedPageBreak/>
        <w:fldChar w:fldCharType="begin"/>
      </w:r>
      <w:r>
        <w:rPr>
          <w:rFonts w:eastAsia="Times New Roman"/>
          <w:lang w:eastAsia="en-GB"/>
        </w:rPr>
        <w:instrText xml:space="preserve"> ADDIN ZOTERO_BIBL {"uncited":[],"omitted":[],"custom":[]} CSL_BIBLIOGRAPHY </w:instrText>
      </w:r>
      <w:r>
        <w:rPr>
          <w:rFonts w:eastAsia="Times New Roman"/>
          <w:lang w:eastAsia="en-GB"/>
        </w:rPr>
        <w:fldChar w:fldCharType="separate"/>
      </w:r>
      <w:r w:rsidRPr="0056533D">
        <w:rPr>
          <w:rFonts w:ascii="Times New Roman" w:hAnsi="Times New Roman" w:cs="Times New Roman"/>
          <w:sz w:val="22"/>
        </w:rPr>
        <w:t xml:space="preserve">1. Wijeyesekera A, Wagner J, De </w:t>
      </w:r>
      <w:proofErr w:type="spellStart"/>
      <w:r w:rsidRPr="0056533D">
        <w:rPr>
          <w:rFonts w:ascii="Times New Roman" w:hAnsi="Times New Roman" w:cs="Times New Roman"/>
          <w:sz w:val="22"/>
        </w:rPr>
        <w:t>Goffau</w:t>
      </w:r>
      <w:proofErr w:type="spellEnd"/>
      <w:r w:rsidRPr="0056533D">
        <w:rPr>
          <w:rFonts w:ascii="Times New Roman" w:hAnsi="Times New Roman" w:cs="Times New Roman"/>
          <w:sz w:val="22"/>
        </w:rPr>
        <w:t xml:space="preserve"> M, Thurston S, Rodrigues Sabino A, Zaher S, et al. Multi-Compartment Profiling of Bacterial and Host Metabolites Identifies Intestinal Dysbiosis and Its Functional Consequences in the Critically Ill Child. Crit Care Med. 2019;47:e727–34.</w:t>
      </w:r>
    </w:p>
    <w:p w14:paraId="48C62B77"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 xml:space="preserve">2. Schloss PD, Westcott SL, </w:t>
      </w:r>
      <w:proofErr w:type="spellStart"/>
      <w:r w:rsidRPr="0056533D">
        <w:rPr>
          <w:rFonts w:ascii="Times New Roman" w:hAnsi="Times New Roman" w:cs="Times New Roman"/>
          <w:sz w:val="22"/>
        </w:rPr>
        <w:t>Ryabin</w:t>
      </w:r>
      <w:proofErr w:type="spellEnd"/>
      <w:r w:rsidRPr="0056533D">
        <w:rPr>
          <w:rFonts w:ascii="Times New Roman" w:hAnsi="Times New Roman" w:cs="Times New Roman"/>
          <w:sz w:val="22"/>
        </w:rPr>
        <w:t xml:space="preserve"> T, Hall JR, Hartmann M, Hollister EB, et al. Introducing </w:t>
      </w:r>
      <w:proofErr w:type="spellStart"/>
      <w:r w:rsidRPr="0056533D">
        <w:rPr>
          <w:rFonts w:ascii="Times New Roman" w:hAnsi="Times New Roman" w:cs="Times New Roman"/>
          <w:sz w:val="22"/>
        </w:rPr>
        <w:t>mothur</w:t>
      </w:r>
      <w:proofErr w:type="spellEnd"/>
      <w:r w:rsidRPr="0056533D">
        <w:rPr>
          <w:rFonts w:ascii="Times New Roman" w:hAnsi="Times New Roman" w:cs="Times New Roman"/>
          <w:sz w:val="22"/>
        </w:rPr>
        <w:t xml:space="preserve">: Open-source, platform-independent, community-supported software for describing and comparing microbial communities. </w:t>
      </w:r>
      <w:proofErr w:type="spellStart"/>
      <w:r w:rsidRPr="0056533D">
        <w:rPr>
          <w:rFonts w:ascii="Times New Roman" w:hAnsi="Times New Roman" w:cs="Times New Roman"/>
          <w:sz w:val="22"/>
        </w:rPr>
        <w:t>Appl</w:t>
      </w:r>
      <w:proofErr w:type="spellEnd"/>
      <w:r w:rsidRPr="0056533D">
        <w:rPr>
          <w:rFonts w:ascii="Times New Roman" w:hAnsi="Times New Roman" w:cs="Times New Roman"/>
          <w:sz w:val="22"/>
        </w:rPr>
        <w:t xml:space="preserve"> Environ </w:t>
      </w:r>
      <w:proofErr w:type="spellStart"/>
      <w:r w:rsidRPr="0056533D">
        <w:rPr>
          <w:rFonts w:ascii="Times New Roman" w:hAnsi="Times New Roman" w:cs="Times New Roman"/>
          <w:sz w:val="22"/>
        </w:rPr>
        <w:t>Microbiol</w:t>
      </w:r>
      <w:proofErr w:type="spellEnd"/>
      <w:r w:rsidRPr="0056533D">
        <w:rPr>
          <w:rFonts w:ascii="Times New Roman" w:hAnsi="Times New Roman" w:cs="Times New Roman"/>
          <w:sz w:val="22"/>
        </w:rPr>
        <w:t>. 2009;75:7537–41.</w:t>
      </w:r>
    </w:p>
    <w:p w14:paraId="757E429A"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 xml:space="preserve">3. Sarafian MH, Lewis MR, </w:t>
      </w:r>
      <w:proofErr w:type="spellStart"/>
      <w:r w:rsidRPr="0056533D">
        <w:rPr>
          <w:rFonts w:ascii="Times New Roman" w:hAnsi="Times New Roman" w:cs="Times New Roman"/>
          <w:sz w:val="22"/>
        </w:rPr>
        <w:t>Pechlivanis</w:t>
      </w:r>
      <w:proofErr w:type="spellEnd"/>
      <w:r w:rsidRPr="0056533D">
        <w:rPr>
          <w:rFonts w:ascii="Times New Roman" w:hAnsi="Times New Roman" w:cs="Times New Roman"/>
          <w:sz w:val="22"/>
        </w:rPr>
        <w:t xml:space="preserve"> A, Ralphs S, McPhail MJW, Patel VC, et al. Bile Acid Profiling and Quantification in Biofluids Using Ultra-Performance Liquid Chromatography Tandem Mass Spectrometry. Anal Chem. 2015;87:9662–70.</w:t>
      </w:r>
    </w:p>
    <w:p w14:paraId="07CE0E00"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 xml:space="preserve">4. Shockcor J, Crowe H, Yu K, </w:t>
      </w:r>
      <w:proofErr w:type="spellStart"/>
      <w:r w:rsidRPr="0056533D">
        <w:rPr>
          <w:rFonts w:ascii="Times New Roman" w:hAnsi="Times New Roman" w:cs="Times New Roman"/>
          <w:sz w:val="22"/>
        </w:rPr>
        <w:t>Shion</w:t>
      </w:r>
      <w:proofErr w:type="spellEnd"/>
      <w:r w:rsidRPr="0056533D">
        <w:rPr>
          <w:rFonts w:ascii="Times New Roman" w:hAnsi="Times New Roman" w:cs="Times New Roman"/>
          <w:sz w:val="22"/>
        </w:rPr>
        <w:t xml:space="preserve"> H. Analysis of Intact Lipids from Biologics Matrices by UPLC / Ion Mobility TOF-MS. Waters Corp Milford MA USA. </w:t>
      </w:r>
      <w:proofErr w:type="gramStart"/>
      <w:r w:rsidRPr="0056533D">
        <w:rPr>
          <w:rFonts w:ascii="Times New Roman" w:hAnsi="Times New Roman" w:cs="Times New Roman"/>
          <w:sz w:val="22"/>
        </w:rPr>
        <w:t>2011;:</w:t>
      </w:r>
      <w:proofErr w:type="gramEnd"/>
      <w:r w:rsidRPr="0056533D">
        <w:rPr>
          <w:rFonts w:ascii="Times New Roman" w:hAnsi="Times New Roman" w:cs="Times New Roman"/>
          <w:sz w:val="22"/>
        </w:rPr>
        <w:t>2–4.</w:t>
      </w:r>
    </w:p>
    <w:p w14:paraId="06FBD9D0"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 xml:space="preserve">5. R Core Team. R software: Version 4.0.2. R Found Stat </w:t>
      </w:r>
      <w:proofErr w:type="spellStart"/>
      <w:r w:rsidRPr="0056533D">
        <w:rPr>
          <w:rFonts w:ascii="Times New Roman" w:hAnsi="Times New Roman" w:cs="Times New Roman"/>
          <w:sz w:val="22"/>
        </w:rPr>
        <w:t>Comput</w:t>
      </w:r>
      <w:proofErr w:type="spellEnd"/>
      <w:r w:rsidRPr="0056533D">
        <w:rPr>
          <w:rFonts w:ascii="Times New Roman" w:hAnsi="Times New Roman" w:cs="Times New Roman"/>
          <w:sz w:val="22"/>
        </w:rPr>
        <w:t>. 2020.</w:t>
      </w:r>
    </w:p>
    <w:p w14:paraId="06DFC2CE"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6. Kruskal WH, Wallis WA. Use of Ranks in One-Criterion Variance Analysis. J Am Stat Assoc. 1952;47:583–621.</w:t>
      </w:r>
    </w:p>
    <w:p w14:paraId="5140FBD4"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7. Conover WJ, Iman RL. Rank Transformations as a Bridge Between Parametric and Nonparametric Statistics. Am Stat. 1981;35:124.</w:t>
      </w:r>
    </w:p>
    <w:p w14:paraId="4509C730"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 xml:space="preserve">8. </w:t>
      </w:r>
      <w:proofErr w:type="spellStart"/>
      <w:r w:rsidRPr="0056533D">
        <w:rPr>
          <w:rFonts w:ascii="Times New Roman" w:hAnsi="Times New Roman" w:cs="Times New Roman"/>
          <w:sz w:val="22"/>
        </w:rPr>
        <w:t>Dinno</w:t>
      </w:r>
      <w:proofErr w:type="spellEnd"/>
      <w:r w:rsidRPr="0056533D">
        <w:rPr>
          <w:rFonts w:ascii="Times New Roman" w:hAnsi="Times New Roman" w:cs="Times New Roman"/>
          <w:sz w:val="22"/>
        </w:rPr>
        <w:t xml:space="preserve"> A. conover.test: Conover-Iman Test of Multiple Comparisons Using Rank Sums. 2017.</w:t>
      </w:r>
    </w:p>
    <w:p w14:paraId="232B47BE"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 xml:space="preserve">9. Benjamini Y, Hochberg Y. Controlling the False Discovery Rate: A Practical and Powerful Approach to Multiple Testing. J R Stat Soc Ser B </w:t>
      </w:r>
      <w:proofErr w:type="spellStart"/>
      <w:r w:rsidRPr="0056533D">
        <w:rPr>
          <w:rFonts w:ascii="Times New Roman" w:hAnsi="Times New Roman" w:cs="Times New Roman"/>
          <w:sz w:val="22"/>
        </w:rPr>
        <w:t>Methodol</w:t>
      </w:r>
      <w:proofErr w:type="spellEnd"/>
      <w:r w:rsidRPr="0056533D">
        <w:rPr>
          <w:rFonts w:ascii="Times New Roman" w:hAnsi="Times New Roman" w:cs="Times New Roman"/>
          <w:sz w:val="22"/>
        </w:rPr>
        <w:t>. 1995;57:289–300.</w:t>
      </w:r>
    </w:p>
    <w:p w14:paraId="4E6C0C8E"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10. Wickham H. ggplot2 Elegant Graphics for Data Analysis (Use R!). 2016.</w:t>
      </w:r>
    </w:p>
    <w:p w14:paraId="222A76D5"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11. Wickham H. R: Package ‘reshape2.’ CRAN. 2017.</w:t>
      </w:r>
    </w:p>
    <w:p w14:paraId="521D9BA6"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 xml:space="preserve">12. Oksanen J, Blanchet FG, Friendly M, </w:t>
      </w:r>
      <w:proofErr w:type="spellStart"/>
      <w:r w:rsidRPr="0056533D">
        <w:rPr>
          <w:rFonts w:ascii="Times New Roman" w:hAnsi="Times New Roman" w:cs="Times New Roman"/>
          <w:sz w:val="22"/>
        </w:rPr>
        <w:t>Kindt</w:t>
      </w:r>
      <w:proofErr w:type="spellEnd"/>
      <w:r w:rsidRPr="0056533D">
        <w:rPr>
          <w:rFonts w:ascii="Times New Roman" w:hAnsi="Times New Roman" w:cs="Times New Roman"/>
          <w:sz w:val="22"/>
        </w:rPr>
        <w:t xml:space="preserve"> R, Legendre P, McGlinn D, et al. vegan: Community Ecology Package. R package version 2.5-2. </w:t>
      </w:r>
      <w:proofErr w:type="spellStart"/>
      <w:r w:rsidRPr="0056533D">
        <w:rPr>
          <w:rFonts w:ascii="Times New Roman" w:hAnsi="Times New Roman" w:cs="Times New Roman"/>
          <w:sz w:val="22"/>
        </w:rPr>
        <w:t>Cran</w:t>
      </w:r>
      <w:proofErr w:type="spellEnd"/>
      <w:r w:rsidRPr="0056533D">
        <w:rPr>
          <w:rFonts w:ascii="Times New Roman" w:hAnsi="Times New Roman" w:cs="Times New Roman"/>
          <w:sz w:val="22"/>
        </w:rPr>
        <w:t xml:space="preserve"> R. 2019.</w:t>
      </w:r>
    </w:p>
    <w:p w14:paraId="54E91A14" w14:textId="77777777" w:rsidR="0056533D" w:rsidRPr="0056533D" w:rsidRDefault="0056533D" w:rsidP="0056533D">
      <w:pPr>
        <w:pStyle w:val="Bibliography"/>
        <w:rPr>
          <w:rFonts w:ascii="Times New Roman" w:hAnsi="Times New Roman" w:cs="Times New Roman"/>
          <w:sz w:val="22"/>
        </w:rPr>
      </w:pPr>
      <w:r w:rsidRPr="0056533D">
        <w:rPr>
          <w:rFonts w:ascii="Times New Roman" w:hAnsi="Times New Roman" w:cs="Times New Roman"/>
          <w:sz w:val="22"/>
        </w:rPr>
        <w:t>13. 11. Correlation and regression | The BMJ. The BMJ | The BMJ: leading general medical journal. Research. Education. Comment. 2020. https://www.bmj.com/about-bmj/resources-readers/publications/statistics-square-one/11-correlation-and-regression. Accessed 18 May 2021.</w:t>
      </w:r>
    </w:p>
    <w:p w14:paraId="63B2319A" w14:textId="72518736" w:rsidR="00EF32CF" w:rsidRPr="00185523" w:rsidRDefault="0056533D" w:rsidP="00EF32CF">
      <w:pPr>
        <w:spacing w:line="480" w:lineRule="auto"/>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fldChar w:fldCharType="end"/>
      </w:r>
    </w:p>
    <w:p w14:paraId="52A0BDC0" w14:textId="77777777" w:rsidR="00EF32CF" w:rsidRDefault="00EF32CF"/>
    <w:sectPr w:rsidR="00EF32CF" w:rsidSect="00AB49A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2CF"/>
    <w:rsid w:val="0056533D"/>
    <w:rsid w:val="00AB49AB"/>
    <w:rsid w:val="00C14860"/>
    <w:rsid w:val="00EF32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B73FC7F"/>
  <w15:chartTrackingRefBased/>
  <w15:docId w15:val="{29E8B8C9-9989-CB42-99E9-A586C5E54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EF32CF"/>
    <w:rPr>
      <w:vertAlign w:val="superscript"/>
    </w:rPr>
  </w:style>
  <w:style w:type="paragraph" w:styleId="Bibliography">
    <w:name w:val="Bibliography"/>
    <w:basedOn w:val="Normal"/>
    <w:next w:val="Normal"/>
    <w:uiPriority w:val="37"/>
    <w:unhideWhenUsed/>
    <w:rsid w:val="0056533D"/>
    <w:pPr>
      <w:spacing w:after="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5226</Words>
  <Characters>29793</Characters>
  <Application>Microsoft Office Word</Application>
  <DocSecurity>0</DocSecurity>
  <Lines>248</Lines>
  <Paragraphs>69</Paragraphs>
  <ScaleCrop>false</ScaleCrop>
  <Company/>
  <LinksUpToDate>false</LinksUpToDate>
  <CharactersWithSpaces>34950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Kean</dc:creator>
  <cp:keywords/>
  <dc:description/>
  <cp:lastModifiedBy>Iain Kean</cp:lastModifiedBy>
  <cp:revision>2</cp:revision>
  <dcterms:created xsi:type="dcterms:W3CDTF">2021-05-25T18:52:00Z</dcterms:created>
  <dcterms:modified xsi:type="dcterms:W3CDTF">2021-05-25T19:00:00Z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id="1pWbVwaX"/&gt;&lt;style id="http://www.zotero.org/styles/bmc-genomics" hasBibliography="1" bibliographyStyleHasBeenSet="1"/&gt;&lt;prefs&gt;&lt;pref name="fieldType" value="Field"/&gt;&lt;pref name="automaticJournalAb</vt:lpwstr>
  </property>
  <property fmtid="{D5CDD505-2E9C-101B-9397-08002B2CF9AE}" pid="3" name="ZOTERO_PREF_2">
    <vt:lpwstr>breviations" value="true"/&gt;&lt;/prefs&gt;&lt;/data&gt;</vt:lpwstr>
  </property>
</Properties>
</file>