
<file path=[Content_Types].xml><?xml version="1.0" encoding="utf-8"?>
<Types xmlns="http://schemas.openxmlformats.org/package/2006/content-types">
  <Default Extension="png" ContentType="image/png"/>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C8F835">
      <w:pPr>
        <w:spacing w:line="360" w:lineRule="auto"/>
        <w:rPr>
          <w:rFonts w:ascii="Times New Roman" w:hAnsi="Times New Roman" w:eastAsia="等线" w:cs="Times New Roman"/>
          <w:b/>
          <w:bCs/>
          <w:color w:val="000000"/>
          <w:kern w:val="0"/>
          <w:sz w:val="24"/>
        </w:rPr>
      </w:pPr>
      <w:bookmarkStart w:id="0" w:name="OLE_LINK1"/>
      <w:r>
        <w:rPr>
          <w:rFonts w:hint="eastAsia" w:ascii="Times New Roman" w:hAnsi="Times New Roman" w:eastAsia="等线" w:cs="Times New Roman"/>
          <w:b/>
          <w:bCs/>
          <w:color w:val="000000"/>
          <w:kern w:val="0"/>
          <w:sz w:val="24"/>
        </w:rPr>
        <w:t>Supplementary materials</w:t>
      </w:r>
    </w:p>
    <w:p w14:paraId="7E535D30">
      <w:pPr>
        <w:tabs>
          <w:tab w:val="left" w:pos="1003"/>
        </w:tabs>
        <w:spacing w:line="360" w:lineRule="auto"/>
        <w:rPr>
          <w:rFonts w:ascii="Times New Roman" w:hAnsi="Times New Roman" w:cs="Times New Roman"/>
          <w:b/>
          <w:bCs/>
          <w:sz w:val="24"/>
        </w:rPr>
      </w:pPr>
      <w:r>
        <w:drawing>
          <wp:inline distT="0" distB="0" distL="114300" distR="114300">
            <wp:extent cx="5272405" cy="2803525"/>
            <wp:effectExtent l="0" t="0" r="4445" b="1587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5"/>
                    <a:stretch>
                      <a:fillRect/>
                    </a:stretch>
                  </pic:blipFill>
                  <pic:spPr>
                    <a:xfrm>
                      <a:off x="0" y="0"/>
                      <a:ext cx="5272405" cy="2803525"/>
                    </a:xfrm>
                    <a:prstGeom prst="rect">
                      <a:avLst/>
                    </a:prstGeom>
                    <a:noFill/>
                    <a:ln>
                      <a:noFill/>
                    </a:ln>
                  </pic:spPr>
                </pic:pic>
              </a:graphicData>
            </a:graphic>
          </wp:inline>
        </w:drawing>
      </w:r>
    </w:p>
    <w:p w14:paraId="4CC2ABF4">
      <w:pPr>
        <w:tabs>
          <w:tab w:val="left" w:pos="1003"/>
        </w:tabs>
        <w:spacing w:line="360" w:lineRule="auto"/>
        <w:rPr>
          <w:rFonts w:ascii="Times New Roman" w:hAnsi="Times New Roman" w:cs="Times New Roman"/>
          <w:sz w:val="24"/>
        </w:rPr>
      </w:pPr>
      <w:r>
        <w:rPr>
          <w:rFonts w:ascii="Times New Roman" w:hAnsi="Times New Roman" w:eastAsia="等线" w:cs="Times New Roman"/>
          <w:b/>
          <w:bCs/>
          <w:color w:val="000000"/>
          <w:kern w:val="0"/>
          <w:sz w:val="24"/>
        </w:rPr>
        <w:t>Figure</w:t>
      </w:r>
      <w:r>
        <w:rPr>
          <w:rFonts w:hint="eastAsia" w:ascii="Times New Roman" w:hAnsi="Times New Roman" w:eastAsia="等线" w:cs="Times New Roman"/>
          <w:b/>
          <w:bCs/>
          <w:color w:val="000000"/>
          <w:kern w:val="0"/>
          <w:sz w:val="24"/>
        </w:rPr>
        <w:t xml:space="preserve"> S1</w:t>
      </w:r>
      <w:r>
        <w:rPr>
          <w:rFonts w:hint="eastAsia" w:ascii="Times New Roman" w:hAnsi="Times New Roman" w:cs="Times New Roman"/>
          <w:b/>
          <w:bCs/>
          <w:sz w:val="24"/>
        </w:rPr>
        <w:t>. pTau accumulat</w:t>
      </w:r>
      <w:r>
        <w:rPr>
          <w:rFonts w:ascii="Times New Roman" w:hAnsi="Times New Roman" w:cs="Times New Roman"/>
          <w:b/>
          <w:bCs/>
          <w:sz w:val="24"/>
        </w:rPr>
        <w:t>ion</w:t>
      </w:r>
      <w:r>
        <w:rPr>
          <w:rFonts w:hint="eastAsia" w:ascii="Times New Roman" w:hAnsi="Times New Roman" w:cs="Times New Roman"/>
          <w:b/>
          <w:bCs/>
          <w:sz w:val="24"/>
        </w:rPr>
        <w:t xml:space="preserve"> in hippocampal excitatory neurons </w:t>
      </w:r>
      <w:r>
        <w:rPr>
          <w:rFonts w:ascii="Times New Roman" w:hAnsi="Times New Roman" w:cs="Times New Roman"/>
          <w:b/>
          <w:bCs/>
          <w:sz w:val="24"/>
        </w:rPr>
        <w:t>of</w:t>
      </w:r>
      <w:r>
        <w:rPr>
          <w:rFonts w:hint="eastAsia" w:ascii="Times New Roman" w:hAnsi="Times New Roman" w:cs="Times New Roman"/>
          <w:b/>
          <w:bCs/>
          <w:sz w:val="24"/>
        </w:rPr>
        <w:t xml:space="preserve"> PR5 (P301L) Tg</w:t>
      </w:r>
      <w:r>
        <w:rPr>
          <w:rFonts w:ascii="Times New Roman" w:hAnsi="Times New Roman" w:cs="Times New Roman"/>
          <w:b/>
          <w:bCs/>
          <w:sz w:val="24"/>
        </w:rPr>
        <w:t xml:space="preserve"> </w:t>
      </w:r>
      <w:r>
        <w:rPr>
          <w:rFonts w:hint="eastAsia" w:ascii="Times New Roman" w:hAnsi="Times New Roman" w:cs="Times New Roman"/>
          <w:b/>
          <w:bCs/>
          <w:sz w:val="24"/>
        </w:rPr>
        <w:t>mice.</w:t>
      </w:r>
      <w:r>
        <w:rPr>
          <w:rFonts w:hint="eastAsia" w:ascii="Times New Roman" w:hAnsi="Times New Roman" w:cs="Times New Roman"/>
          <w:sz w:val="24"/>
        </w:rPr>
        <w:t xml:space="preserve"> </w:t>
      </w:r>
      <w:r>
        <w:rPr>
          <w:rFonts w:ascii="Times New Roman" w:hAnsi="Times New Roman" w:cs="Times New Roman"/>
          <w:sz w:val="24"/>
        </w:rPr>
        <w:t>7</w:t>
      </w:r>
      <w:r>
        <w:rPr>
          <w:rFonts w:hint="eastAsia" w:ascii="Times New Roman" w:hAnsi="Times New Roman" w:cs="Times New Roman"/>
          <w:sz w:val="24"/>
        </w:rPr>
        <w:t>-month-old</w:t>
      </w:r>
      <w:r>
        <w:rPr>
          <w:rFonts w:ascii="Times New Roman" w:hAnsi="Times New Roman" w:cs="Times New Roman"/>
          <w:sz w:val="24"/>
        </w:rPr>
        <w:t xml:space="preserve"> PR5 Tg </w:t>
      </w:r>
      <w:r>
        <w:rPr>
          <w:rFonts w:hint="eastAsia" w:ascii="Times New Roman" w:hAnsi="Times New Roman" w:cs="Times New Roman"/>
          <w:sz w:val="24"/>
        </w:rPr>
        <w:t xml:space="preserve">mice exhibited hippocampal-predominant phosphorylated tau (pTau) aggregated (detected by pT205-tau antibodies), particularly in the CA1 pyramidal cell layer and DG granule cell layer.pTau aggregates localized </w:t>
      </w:r>
      <w:r>
        <w:rPr>
          <w:rFonts w:ascii="Times New Roman" w:hAnsi="Times New Roman" w:cs="Times New Roman"/>
          <w:sz w:val="24"/>
        </w:rPr>
        <w:t>main</w:t>
      </w:r>
      <w:r>
        <w:rPr>
          <w:rFonts w:hint="eastAsia" w:ascii="Times New Roman" w:hAnsi="Times New Roman" w:cs="Times New Roman"/>
          <w:sz w:val="24"/>
        </w:rPr>
        <w:t xml:space="preserve">ly to CamkII-positive excitatory neurons, </w:t>
      </w:r>
      <w:r>
        <w:rPr>
          <w:rFonts w:ascii="Times New Roman" w:hAnsi="Times New Roman" w:cs="Times New Roman"/>
          <w:sz w:val="24"/>
        </w:rPr>
        <w:t>almost</w:t>
      </w:r>
      <w:r>
        <w:rPr>
          <w:rFonts w:hint="eastAsia" w:ascii="Times New Roman" w:hAnsi="Times New Roman" w:cs="Times New Roman"/>
          <w:sz w:val="24"/>
        </w:rPr>
        <w:t xml:space="preserve"> no colocalization observed in PV- positive inhibitory neurons.</w:t>
      </w:r>
      <w:r>
        <w:rPr>
          <w:rFonts w:ascii="Times New Roman" w:hAnsi="Times New Roman" w:cs="Times New Roman"/>
          <w:sz w:val="24"/>
        </w:rPr>
        <w:t xml:space="preserve"> </w:t>
      </w:r>
    </w:p>
    <w:p w14:paraId="15581DD6">
      <w:pPr>
        <w:tabs>
          <w:tab w:val="left" w:pos="1003"/>
        </w:tabs>
        <w:spacing w:line="360" w:lineRule="auto"/>
        <w:rPr>
          <w:rFonts w:ascii="Times New Roman" w:hAnsi="Times New Roman" w:eastAsia="等线" w:cs="Times New Roman"/>
          <w:b/>
          <w:bCs/>
          <w:color w:val="000000"/>
          <w:kern w:val="0"/>
          <w:sz w:val="24"/>
        </w:rPr>
      </w:pPr>
    </w:p>
    <w:p w14:paraId="73F0E6EF">
      <w:pPr>
        <w:tabs>
          <w:tab w:val="left" w:pos="1003"/>
        </w:tabs>
        <w:spacing w:line="360" w:lineRule="auto"/>
        <w:rPr>
          <w:rFonts w:ascii="Times New Roman" w:hAnsi="Times New Roman" w:cs="Times New Roman"/>
          <w:b/>
          <w:bCs/>
          <w:sz w:val="24"/>
        </w:rPr>
      </w:pPr>
    </w:p>
    <w:p w14:paraId="10EBA067">
      <w:pPr>
        <w:tabs>
          <w:tab w:val="left" w:pos="1003"/>
        </w:tabs>
        <w:spacing w:line="360" w:lineRule="auto"/>
        <w:rPr>
          <w:rFonts w:ascii="Times New Roman" w:hAnsi="Times New Roman" w:cs="Times New Roman"/>
          <w:b/>
          <w:bCs/>
          <w:sz w:val="24"/>
        </w:rPr>
      </w:pPr>
    </w:p>
    <w:p w14:paraId="3B155629">
      <w:pPr>
        <w:tabs>
          <w:tab w:val="left" w:pos="1003"/>
        </w:tabs>
        <w:spacing w:line="360" w:lineRule="auto"/>
        <w:rPr>
          <w:rFonts w:ascii="Times New Roman" w:hAnsi="Times New Roman" w:cs="Times New Roman"/>
          <w:b/>
          <w:bCs/>
          <w:sz w:val="24"/>
        </w:rPr>
      </w:pPr>
    </w:p>
    <w:p w14:paraId="3956816A">
      <w:pPr>
        <w:tabs>
          <w:tab w:val="left" w:pos="1003"/>
        </w:tabs>
        <w:spacing w:line="360" w:lineRule="auto"/>
        <w:rPr>
          <w:rFonts w:ascii="Times New Roman" w:hAnsi="Times New Roman" w:cs="Times New Roman"/>
          <w:b/>
          <w:bCs/>
          <w:sz w:val="24"/>
        </w:rPr>
      </w:pPr>
    </w:p>
    <w:p w14:paraId="280288F1">
      <w:pPr>
        <w:tabs>
          <w:tab w:val="left" w:pos="1003"/>
        </w:tabs>
        <w:spacing w:line="360" w:lineRule="auto"/>
        <w:rPr>
          <w:rFonts w:ascii="Times New Roman" w:hAnsi="Times New Roman" w:cs="Times New Roman"/>
          <w:b/>
          <w:bCs/>
          <w:sz w:val="24"/>
        </w:rPr>
      </w:pPr>
    </w:p>
    <w:p w14:paraId="505BB4D2">
      <w:pPr>
        <w:tabs>
          <w:tab w:val="left" w:pos="1003"/>
        </w:tabs>
        <w:spacing w:line="360" w:lineRule="auto"/>
        <w:rPr>
          <w:rFonts w:ascii="Times New Roman" w:hAnsi="Times New Roman" w:cs="Times New Roman"/>
          <w:b/>
          <w:bCs/>
          <w:sz w:val="24"/>
        </w:rPr>
      </w:pPr>
    </w:p>
    <w:p w14:paraId="7331CCA8">
      <w:pPr>
        <w:tabs>
          <w:tab w:val="left" w:pos="1003"/>
        </w:tabs>
        <w:spacing w:line="360" w:lineRule="auto"/>
        <w:rPr>
          <w:rFonts w:ascii="Times New Roman" w:hAnsi="Times New Roman" w:cs="Times New Roman"/>
          <w:b/>
          <w:bCs/>
          <w:sz w:val="24"/>
        </w:rPr>
      </w:pPr>
    </w:p>
    <w:p w14:paraId="7560FCA4">
      <w:pPr>
        <w:tabs>
          <w:tab w:val="left" w:pos="1003"/>
        </w:tabs>
        <w:spacing w:line="360" w:lineRule="auto"/>
        <w:rPr>
          <w:rFonts w:ascii="Times New Roman" w:hAnsi="Times New Roman" w:cs="Times New Roman"/>
          <w:b/>
          <w:bCs/>
          <w:sz w:val="24"/>
        </w:rPr>
      </w:pPr>
    </w:p>
    <w:p w14:paraId="336BD07E">
      <w:pPr>
        <w:tabs>
          <w:tab w:val="left" w:pos="1003"/>
        </w:tabs>
        <w:spacing w:line="360" w:lineRule="auto"/>
        <w:rPr>
          <w:rFonts w:ascii="Times New Roman" w:hAnsi="Times New Roman" w:cs="Times New Roman"/>
          <w:b/>
          <w:bCs/>
          <w:sz w:val="24"/>
        </w:rPr>
      </w:pPr>
    </w:p>
    <w:p w14:paraId="54361041">
      <w:pPr>
        <w:tabs>
          <w:tab w:val="left" w:pos="1003"/>
        </w:tabs>
        <w:spacing w:line="360" w:lineRule="auto"/>
        <w:rPr>
          <w:rFonts w:ascii="Times New Roman" w:hAnsi="Times New Roman" w:cs="Times New Roman"/>
          <w:b/>
          <w:bCs/>
          <w:sz w:val="24"/>
        </w:rPr>
      </w:pPr>
      <w:r>
        <w:rPr>
          <w:rFonts w:hint="eastAsia" w:ascii="Times New Roman" w:hAnsi="Times New Roman" w:cs="Times New Roman"/>
          <w:b/>
          <w:bCs/>
          <w:sz w:val="24"/>
        </w:rPr>
        <w:drawing>
          <wp:inline distT="0" distB="0" distL="114300" distR="114300">
            <wp:extent cx="4093845" cy="3811270"/>
            <wp:effectExtent l="0" t="0" r="1905" b="17780"/>
            <wp:docPr id="24" name="图片 24" descr="Figures-gaoy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Figures-gaoyang"/>
                    <pic:cNvPicPr>
                      <a:picLocks noChangeAspect="1"/>
                    </pic:cNvPicPr>
                  </pic:nvPicPr>
                  <pic:blipFill>
                    <a:blip r:embed="rId6"/>
                    <a:srcRect l="19831" t="6210" r="16990" b="53068"/>
                    <a:stretch>
                      <a:fillRect/>
                    </a:stretch>
                  </pic:blipFill>
                  <pic:spPr>
                    <a:xfrm>
                      <a:off x="0" y="0"/>
                      <a:ext cx="4093845" cy="3811270"/>
                    </a:xfrm>
                    <a:prstGeom prst="rect">
                      <a:avLst/>
                    </a:prstGeom>
                  </pic:spPr>
                </pic:pic>
              </a:graphicData>
            </a:graphic>
          </wp:inline>
        </w:drawing>
      </w:r>
    </w:p>
    <w:p w14:paraId="4A52F858">
      <w:pPr>
        <w:tabs>
          <w:tab w:val="left" w:pos="1003"/>
        </w:tabs>
        <w:spacing w:line="360" w:lineRule="auto"/>
        <w:rPr>
          <w:rFonts w:ascii="Times New Roman" w:hAnsi="Times New Roman" w:cs="Times New Roman"/>
          <w:b/>
          <w:bCs/>
          <w:sz w:val="24"/>
        </w:rPr>
      </w:pPr>
      <w:r>
        <w:rPr>
          <w:rFonts w:ascii="Times New Roman" w:hAnsi="Times New Roman" w:eastAsia="等线" w:cs="Times New Roman"/>
          <w:b/>
          <w:bCs/>
          <w:color w:val="000000"/>
          <w:kern w:val="0"/>
          <w:sz w:val="24"/>
        </w:rPr>
        <w:t>Figure</w:t>
      </w:r>
      <w:r>
        <w:rPr>
          <w:rFonts w:hint="eastAsia" w:ascii="Times New Roman" w:hAnsi="Times New Roman" w:eastAsia="等线" w:cs="Times New Roman"/>
          <w:b/>
          <w:bCs/>
          <w:color w:val="000000"/>
          <w:kern w:val="0"/>
          <w:sz w:val="24"/>
        </w:rPr>
        <w:t xml:space="preserve"> S2</w:t>
      </w:r>
      <w:r>
        <w:rPr>
          <w:rFonts w:hint="eastAsia" w:ascii="Times New Roman" w:hAnsi="Times New Roman" w:cs="Times New Roman"/>
          <w:b/>
          <w:bCs/>
          <w:sz w:val="24"/>
        </w:rPr>
        <w:t xml:space="preserve">. Aged 16-month - old Tg hTau368 mice treated with Dox for 2 months  had a shorter latency of generalized seizures (GS) induced by optogenetics. </w:t>
      </w:r>
    </w:p>
    <w:p w14:paraId="00A7E310">
      <w:pPr>
        <w:tabs>
          <w:tab w:val="left" w:pos="1003"/>
        </w:tabs>
        <w:spacing w:line="360" w:lineRule="auto"/>
        <w:rPr>
          <w:rFonts w:ascii="Times New Roman" w:hAnsi="Times New Roman" w:cs="Times New Roman"/>
          <w:sz w:val="24"/>
        </w:rPr>
      </w:pPr>
      <w:r>
        <w:rPr>
          <w:rFonts w:ascii="Times New Roman" w:hAnsi="Times New Roman" w:cs="Times New Roman"/>
          <w:sz w:val="24"/>
        </w:rPr>
        <w:t xml:space="preserve">(A) In the Veh group, one mouse required 327 s of optogenetic seizure induction to reach GS. </w:t>
      </w:r>
      <w:r>
        <w:rPr>
          <w:rFonts w:hint="eastAsia" w:ascii="Times New Roman" w:hAnsi="Times New Roman" w:cs="Times New Roman"/>
          <w:sz w:val="24"/>
        </w:rPr>
        <w:t xml:space="preserve">16 </w:t>
      </w:r>
      <w:r>
        <w:rPr>
          <w:rFonts w:ascii="Times New Roman" w:hAnsi="Times New Roman" w:cs="Times New Roman"/>
          <w:sz w:val="24"/>
        </w:rPr>
        <w:t>s after the seizure, the mouse resumed normal free movement.</w:t>
      </w:r>
    </w:p>
    <w:p w14:paraId="5410CAF3">
      <w:pPr>
        <w:tabs>
          <w:tab w:val="left" w:pos="1003"/>
        </w:tabs>
        <w:spacing w:line="360" w:lineRule="auto"/>
        <w:rPr>
          <w:rFonts w:ascii="Times New Roman" w:hAnsi="Times New Roman" w:cs="Times New Roman"/>
          <w:sz w:val="24"/>
        </w:rPr>
      </w:pPr>
      <w:r>
        <w:rPr>
          <w:rFonts w:ascii="Times New Roman" w:hAnsi="Times New Roman" w:cs="Times New Roman"/>
          <w:sz w:val="24"/>
        </w:rPr>
        <w:t xml:space="preserve">(B) In the Dox group, one mouse needed only 45 s of optogenetic seizure induction to reach GS. </w:t>
      </w:r>
      <w:r>
        <w:rPr>
          <w:rFonts w:hint="eastAsia" w:ascii="Times New Roman" w:hAnsi="Times New Roman" w:cs="Times New Roman"/>
          <w:sz w:val="24"/>
        </w:rPr>
        <w:t>27s</w:t>
      </w:r>
      <w:r>
        <w:rPr>
          <w:rFonts w:ascii="Times New Roman" w:hAnsi="Times New Roman" w:cs="Times New Roman"/>
          <w:sz w:val="24"/>
        </w:rPr>
        <w:t xml:space="preserve"> after the seizure, the mouse returned to normal free - moving behavior.</w:t>
      </w:r>
    </w:p>
    <w:p w14:paraId="4A4D5D8A">
      <w:pPr>
        <w:tabs>
          <w:tab w:val="left" w:pos="1003"/>
        </w:tabs>
        <w:spacing w:line="360" w:lineRule="auto"/>
        <w:rPr>
          <w:rFonts w:ascii="Times New Roman" w:hAnsi="Times New Roman" w:cs="Times New Roman"/>
          <w:b/>
          <w:bCs/>
          <w:sz w:val="24"/>
        </w:rPr>
      </w:pPr>
    </w:p>
    <w:p w14:paraId="070B5ABA">
      <w:pPr>
        <w:tabs>
          <w:tab w:val="left" w:pos="1003"/>
        </w:tabs>
        <w:spacing w:line="360" w:lineRule="auto"/>
        <w:rPr>
          <w:rFonts w:ascii="Times New Roman" w:hAnsi="Times New Roman" w:cs="Times New Roman"/>
          <w:b/>
          <w:bCs/>
          <w:sz w:val="24"/>
        </w:rPr>
      </w:pPr>
    </w:p>
    <w:p w14:paraId="662787EF">
      <w:pPr>
        <w:tabs>
          <w:tab w:val="left" w:pos="1003"/>
        </w:tabs>
        <w:spacing w:line="360" w:lineRule="auto"/>
        <w:rPr>
          <w:rFonts w:ascii="Times New Roman" w:hAnsi="Times New Roman" w:cs="Times New Roman"/>
          <w:b/>
          <w:bCs/>
          <w:sz w:val="24"/>
        </w:rPr>
      </w:pPr>
    </w:p>
    <w:p w14:paraId="0BDF21CC">
      <w:pPr>
        <w:tabs>
          <w:tab w:val="left" w:pos="1003"/>
        </w:tabs>
        <w:spacing w:line="360" w:lineRule="auto"/>
        <w:rPr>
          <w:rFonts w:ascii="Times New Roman" w:hAnsi="Times New Roman" w:cs="Times New Roman"/>
          <w:b/>
          <w:bCs/>
          <w:sz w:val="24"/>
        </w:rPr>
      </w:pPr>
    </w:p>
    <w:p w14:paraId="0A4DD383">
      <w:pPr>
        <w:tabs>
          <w:tab w:val="left" w:pos="1003"/>
        </w:tabs>
        <w:spacing w:line="360" w:lineRule="auto"/>
        <w:rPr>
          <w:rFonts w:ascii="Times New Roman" w:hAnsi="Times New Roman" w:cs="Times New Roman"/>
          <w:b/>
          <w:bCs/>
          <w:sz w:val="24"/>
        </w:rPr>
      </w:pPr>
    </w:p>
    <w:p w14:paraId="1C03406A">
      <w:pPr>
        <w:tabs>
          <w:tab w:val="left" w:pos="1003"/>
        </w:tabs>
        <w:spacing w:line="360" w:lineRule="auto"/>
        <w:rPr>
          <w:rFonts w:ascii="Times New Roman" w:hAnsi="Times New Roman" w:cs="Times New Roman"/>
          <w:b/>
          <w:bCs/>
          <w:sz w:val="24"/>
        </w:rPr>
      </w:pPr>
    </w:p>
    <w:p w14:paraId="6D65C7FC">
      <w:pPr>
        <w:tabs>
          <w:tab w:val="left" w:pos="1003"/>
        </w:tabs>
        <w:spacing w:line="360" w:lineRule="auto"/>
        <w:rPr>
          <w:rFonts w:ascii="Times New Roman" w:hAnsi="Times New Roman" w:cs="Times New Roman"/>
          <w:b/>
          <w:bCs/>
          <w:sz w:val="24"/>
        </w:rPr>
      </w:pPr>
    </w:p>
    <w:p w14:paraId="7EF37E82">
      <w:pPr>
        <w:tabs>
          <w:tab w:val="left" w:pos="1003"/>
        </w:tabs>
        <w:spacing w:line="360" w:lineRule="auto"/>
        <w:rPr>
          <w:rFonts w:ascii="Times New Roman" w:hAnsi="Times New Roman" w:cs="Times New Roman"/>
          <w:b/>
          <w:bCs/>
          <w:sz w:val="24"/>
        </w:rPr>
      </w:pPr>
    </w:p>
    <w:bookmarkEnd w:id="0"/>
    <w:p w14:paraId="4BBF04ED">
      <w:pPr>
        <w:spacing w:line="360" w:lineRule="auto"/>
        <w:rPr>
          <w:rFonts w:ascii="Times New Roman" w:hAnsi="Times New Roman" w:eastAsia="等线" w:cs="Times New Roman"/>
          <w:b/>
          <w:bCs/>
          <w:color w:val="000000"/>
          <w:kern w:val="0"/>
          <w:sz w:val="24"/>
        </w:rPr>
      </w:pPr>
    </w:p>
    <w:p w14:paraId="0F1620C6">
      <w:pPr>
        <w:spacing w:line="360" w:lineRule="auto"/>
        <w:rPr>
          <w:rFonts w:ascii="Times New Roman" w:hAnsi="Times New Roman" w:eastAsia="等线" w:cs="Times New Roman"/>
          <w:b/>
          <w:bCs/>
          <w:color w:val="000000"/>
          <w:kern w:val="0"/>
          <w:sz w:val="24"/>
        </w:rPr>
      </w:pPr>
      <w:r>
        <w:drawing>
          <wp:inline distT="0" distB="0" distL="114300" distR="114300">
            <wp:extent cx="5271135" cy="2111375"/>
            <wp:effectExtent l="0" t="0" r="5715" b="3175"/>
            <wp:docPr id="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pic:cNvPicPr>
                      <a:picLocks noChangeAspect="1"/>
                    </pic:cNvPicPr>
                  </pic:nvPicPr>
                  <pic:blipFill>
                    <a:blip r:embed="rId7"/>
                    <a:stretch>
                      <a:fillRect/>
                    </a:stretch>
                  </pic:blipFill>
                  <pic:spPr>
                    <a:xfrm>
                      <a:off x="0" y="0"/>
                      <a:ext cx="5271135" cy="2111375"/>
                    </a:xfrm>
                    <a:prstGeom prst="rect">
                      <a:avLst/>
                    </a:prstGeom>
                    <a:noFill/>
                    <a:ln>
                      <a:noFill/>
                    </a:ln>
                  </pic:spPr>
                </pic:pic>
              </a:graphicData>
            </a:graphic>
          </wp:inline>
        </w:drawing>
      </w:r>
    </w:p>
    <w:p w14:paraId="29670FE1">
      <w:pPr>
        <w:spacing w:line="360" w:lineRule="auto"/>
        <w:rPr>
          <w:rFonts w:ascii="Times New Roman" w:hAnsi="Times New Roman" w:eastAsia="等线" w:cs="Times New Roman"/>
          <w:b/>
          <w:bCs/>
          <w:color w:val="000000"/>
          <w:kern w:val="0"/>
          <w:sz w:val="24"/>
        </w:rPr>
      </w:pPr>
      <w:r>
        <w:rPr>
          <w:rFonts w:ascii="Times New Roman" w:hAnsi="Times New Roman" w:eastAsia="等线" w:cs="Times New Roman"/>
          <w:b/>
          <w:bCs/>
          <w:color w:val="000000"/>
          <w:kern w:val="0"/>
          <w:sz w:val="24"/>
        </w:rPr>
        <w:t>Figure</w:t>
      </w:r>
      <w:r>
        <w:rPr>
          <w:rFonts w:hint="eastAsia" w:ascii="Times New Roman" w:hAnsi="Times New Roman" w:eastAsia="等线" w:cs="Times New Roman"/>
          <w:b/>
          <w:bCs/>
          <w:color w:val="000000"/>
          <w:kern w:val="0"/>
          <w:sz w:val="24"/>
        </w:rPr>
        <w:t xml:space="preserve"> S3. Increased locomotor activity in </w:t>
      </w:r>
      <w:r>
        <w:rPr>
          <w:rFonts w:ascii="Times New Roman" w:hAnsi="Times New Roman" w:eastAsia="等线" w:cs="Times New Roman"/>
          <w:b/>
          <w:bCs/>
          <w:color w:val="000000"/>
          <w:kern w:val="0"/>
          <w:sz w:val="24"/>
        </w:rPr>
        <w:t>aged</w:t>
      </w:r>
      <w:r>
        <w:rPr>
          <w:rFonts w:hint="eastAsia" w:ascii="Times New Roman" w:hAnsi="Times New Roman" w:eastAsia="等线" w:cs="Times New Roman"/>
          <w:b/>
          <w:bCs/>
          <w:color w:val="000000"/>
          <w:kern w:val="0"/>
          <w:sz w:val="24"/>
        </w:rPr>
        <w:t xml:space="preserve"> </w:t>
      </w:r>
      <w:r>
        <w:rPr>
          <w:rFonts w:ascii="Times New Roman" w:hAnsi="Times New Roman" w:eastAsia="等线" w:cs="Times New Roman"/>
          <w:b/>
          <w:bCs/>
          <w:color w:val="000000"/>
          <w:kern w:val="0"/>
          <w:sz w:val="24"/>
        </w:rPr>
        <w:t xml:space="preserve">Tg </w:t>
      </w:r>
      <w:r>
        <w:rPr>
          <w:rFonts w:hint="eastAsia" w:ascii="Times New Roman" w:hAnsi="Times New Roman" w:eastAsia="等线" w:cs="Times New Roman"/>
          <w:b/>
          <w:bCs/>
          <w:color w:val="000000"/>
          <w:kern w:val="0"/>
          <w:sz w:val="24"/>
        </w:rPr>
        <w:t>Tau-driven mice.</w:t>
      </w:r>
    </w:p>
    <w:p w14:paraId="5DD2AAF3">
      <w:pPr>
        <w:spacing w:line="360" w:lineRule="auto"/>
        <w:rPr>
          <w:rFonts w:ascii="Times New Roman" w:hAnsi="Times New Roman" w:eastAsia="等线" w:cs="Times New Roman"/>
          <w:color w:val="000000"/>
          <w:sz w:val="24"/>
        </w:rPr>
      </w:pPr>
      <w:r>
        <w:rPr>
          <w:rFonts w:hint="eastAsia" w:ascii="Times New Roman" w:hAnsi="Times New Roman" w:eastAsia="等线" w:cs="Times New Roman"/>
          <w:color w:val="000000"/>
          <w:kern w:val="0"/>
          <w:sz w:val="24"/>
        </w:rPr>
        <w:t xml:space="preserve">(A) The number of movements every 5 min at different times within 24 h of aged </w:t>
      </w:r>
      <w:r>
        <w:rPr>
          <w:rFonts w:ascii="Times New Roman" w:hAnsi="Times New Roman" w:eastAsia="等线" w:cs="Times New Roman"/>
          <w:color w:val="000000"/>
          <w:kern w:val="0"/>
          <w:sz w:val="24"/>
        </w:rPr>
        <w:t xml:space="preserve">Tg </w:t>
      </w:r>
      <w:r>
        <w:rPr>
          <w:rFonts w:hint="eastAsia" w:ascii="Times New Roman" w:hAnsi="Times New Roman" w:eastAsia="等线" w:cs="Times New Roman"/>
          <w:color w:val="000000"/>
          <w:kern w:val="0"/>
          <w:sz w:val="24"/>
        </w:rPr>
        <w:t xml:space="preserve">hTau368 mice treated with Veh/Dox for 2 months, and (B) quantitative statistics of mean movements during night (Dark, 19:00-7:00) and day (Light, </w:t>
      </w:r>
      <w:r>
        <w:rPr>
          <w:rFonts w:ascii="Times New Roman" w:hAnsi="Times New Roman" w:eastAsia="等线" w:cs="Times New Roman"/>
          <w:color w:val="000000"/>
          <w:kern w:val="0"/>
          <w:sz w:val="24"/>
        </w:rPr>
        <w:t>7:00-19</w:t>
      </w:r>
      <w:r>
        <w:rPr>
          <w:rFonts w:hint="eastAsia" w:ascii="Times New Roman" w:hAnsi="Times New Roman" w:eastAsia="等线" w:cs="Times New Roman"/>
          <w:color w:val="000000"/>
          <w:kern w:val="0"/>
          <w:sz w:val="24"/>
        </w:rPr>
        <w:t>:</w:t>
      </w:r>
      <w:r>
        <w:rPr>
          <w:rFonts w:ascii="Times New Roman" w:hAnsi="Times New Roman" w:eastAsia="等线" w:cs="Times New Roman"/>
          <w:color w:val="000000"/>
          <w:kern w:val="0"/>
          <w:sz w:val="24"/>
        </w:rPr>
        <w:t>00</w:t>
      </w:r>
      <w:r>
        <w:rPr>
          <w:rFonts w:hint="eastAsia" w:ascii="Times New Roman" w:hAnsi="Times New Roman" w:eastAsia="等线" w:cs="Times New Roman"/>
          <w:color w:val="000000"/>
          <w:kern w:val="0"/>
          <w:sz w:val="24"/>
        </w:rPr>
        <w:t xml:space="preserve">). Unpaired Student’s t - test was used, with **P &lt; 0.01. 16-month - old homozygous mice, 7 - 8 mice per group. Data were presented as Mean±SEM.  </w:t>
      </w:r>
    </w:p>
    <w:p w14:paraId="4048E504">
      <w:pPr>
        <w:spacing w:line="360" w:lineRule="auto"/>
        <w:rPr>
          <w:rFonts w:ascii="Times New Roman" w:hAnsi="Times New Roman" w:cs="Times New Roman"/>
          <w:bCs/>
          <w:sz w:val="24"/>
        </w:rPr>
      </w:pPr>
    </w:p>
    <w:p w14:paraId="2F700EDB">
      <w:pPr>
        <w:spacing w:line="360" w:lineRule="auto"/>
        <w:rPr>
          <w:rFonts w:ascii="Times New Roman" w:hAnsi="Times New Roman" w:cs="Times New Roman"/>
          <w:bCs/>
          <w:sz w:val="24"/>
        </w:rPr>
      </w:pPr>
      <w:r>
        <w:drawing>
          <wp:inline distT="0" distB="0" distL="114300" distR="114300">
            <wp:extent cx="5405755" cy="2839085"/>
            <wp:effectExtent l="0" t="0" r="4445" b="18415"/>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8"/>
                    <a:stretch>
                      <a:fillRect/>
                    </a:stretch>
                  </pic:blipFill>
                  <pic:spPr>
                    <a:xfrm>
                      <a:off x="0" y="0"/>
                      <a:ext cx="5405755" cy="2839085"/>
                    </a:xfrm>
                    <a:prstGeom prst="rect">
                      <a:avLst/>
                    </a:prstGeom>
                    <a:noFill/>
                    <a:ln>
                      <a:noFill/>
                    </a:ln>
                  </pic:spPr>
                </pic:pic>
              </a:graphicData>
            </a:graphic>
          </wp:inline>
        </w:drawing>
      </w:r>
    </w:p>
    <w:p w14:paraId="2741BD76">
      <w:pPr>
        <w:widowControl/>
        <w:spacing w:line="360" w:lineRule="auto"/>
        <w:rPr>
          <w:rFonts w:ascii="Times New Roman" w:hAnsi="Times New Roman" w:cs="Times New Roman"/>
          <w:b/>
          <w:sz w:val="24"/>
        </w:rPr>
      </w:pPr>
      <w:r>
        <w:rPr>
          <w:rFonts w:ascii="Times New Roman" w:hAnsi="Times New Roman" w:cs="Times New Roman"/>
          <w:b/>
          <w:sz w:val="24"/>
        </w:rPr>
        <w:t xml:space="preserve">Figure </w:t>
      </w:r>
      <w:r>
        <w:rPr>
          <w:rFonts w:hint="eastAsia" w:ascii="Times New Roman" w:hAnsi="Times New Roman" w:cs="Times New Roman"/>
          <w:b/>
          <w:sz w:val="24"/>
        </w:rPr>
        <w:t>S4</w:t>
      </w:r>
      <w:r>
        <w:rPr>
          <w:rFonts w:ascii="Times New Roman" w:hAnsi="Times New Roman" w:cs="Times New Roman"/>
          <w:b/>
          <w:sz w:val="24"/>
        </w:rPr>
        <w:t>.</w:t>
      </w:r>
      <w:bookmarkStart w:id="1" w:name="OLE_LINK8"/>
      <w:bookmarkStart w:id="2" w:name="OLE_LINK9"/>
      <w:r>
        <w:rPr>
          <w:rFonts w:ascii="Times New Roman" w:hAnsi="Times New Roman" w:cs="Times New Roman"/>
          <w:b/>
          <w:sz w:val="24"/>
        </w:rPr>
        <w:t xml:space="preserve"> </w:t>
      </w:r>
      <w:bookmarkEnd w:id="1"/>
      <w:bookmarkEnd w:id="2"/>
      <w:r>
        <w:rPr>
          <w:rFonts w:ascii="Times New Roman" w:hAnsi="Times New Roman" w:cs="Times New Roman"/>
          <w:b/>
          <w:sz w:val="24"/>
        </w:rPr>
        <w:t>A correlated h</w:t>
      </w:r>
      <w:r>
        <w:rPr>
          <w:rFonts w:hint="eastAsia" w:ascii="Times New Roman" w:hAnsi="Times New Roman" w:cs="Times New Roman"/>
          <w:b/>
          <w:sz w:val="24"/>
        </w:rPr>
        <w:t xml:space="preserve">ippocampal tau aggregation </w:t>
      </w:r>
      <w:r>
        <w:rPr>
          <w:rFonts w:ascii="Times New Roman" w:hAnsi="Times New Roman" w:cs="Times New Roman"/>
          <w:b/>
          <w:sz w:val="24"/>
        </w:rPr>
        <w:t xml:space="preserve">with </w:t>
      </w:r>
      <w:r>
        <w:rPr>
          <w:rFonts w:hint="eastAsia" w:ascii="Times New Roman" w:hAnsi="Times New Roman" w:cs="Times New Roman"/>
          <w:b/>
          <w:sz w:val="24"/>
        </w:rPr>
        <w:t>reduce</w:t>
      </w:r>
      <w:r>
        <w:rPr>
          <w:rFonts w:ascii="Times New Roman" w:hAnsi="Times New Roman" w:cs="Times New Roman"/>
          <w:b/>
          <w:sz w:val="24"/>
        </w:rPr>
        <w:t>d</w:t>
      </w:r>
      <w:r>
        <w:rPr>
          <w:rFonts w:hint="eastAsia" w:ascii="Times New Roman" w:hAnsi="Times New Roman" w:cs="Times New Roman"/>
          <w:b/>
          <w:sz w:val="24"/>
        </w:rPr>
        <w:t xml:space="preserve"> </w:t>
      </w:r>
      <w:r>
        <w:rPr>
          <w:rFonts w:ascii="Times New Roman" w:hAnsi="Times New Roman" w:cs="Times New Roman"/>
          <w:b/>
          <w:sz w:val="24"/>
        </w:rPr>
        <w:t xml:space="preserve">CB and </w:t>
      </w:r>
      <w:r>
        <w:rPr>
          <w:rFonts w:hint="eastAsia" w:ascii="Times New Roman" w:hAnsi="Times New Roman" w:cs="Times New Roman"/>
          <w:b/>
          <w:sz w:val="24"/>
        </w:rPr>
        <w:t>synapse - related proteins.</w:t>
      </w:r>
    </w:p>
    <w:p w14:paraId="3F2F5F86">
      <w:pPr>
        <w:widowControl/>
        <w:numPr>
          <w:ilvl w:val="0"/>
          <w:numId w:val="1"/>
        </w:numPr>
        <w:spacing w:line="360" w:lineRule="auto"/>
        <w:rPr>
          <w:rFonts w:ascii="Times New Roman" w:hAnsi="Times New Roman" w:cs="Times New Roman"/>
          <w:bCs/>
          <w:sz w:val="24"/>
        </w:rPr>
      </w:pPr>
      <w:r>
        <w:rPr>
          <w:rFonts w:hint="eastAsia" w:ascii="Times New Roman" w:hAnsi="Times New Roman" w:cs="Times New Roman"/>
          <w:bCs/>
          <w:sz w:val="24"/>
        </w:rPr>
        <w:t xml:space="preserve">Representative Western blotting images of hippocampal tissue, and (B - C) Quantitative statistics. In Tg hTau368 mice treated with Dox for 2 months (Dox on), hTau368 and pTau aggregation occurred in the hippocampus, and the levels of CB and synapse - related proteins were reduced. However, after withdrawing Dox for 3 months (Dox - on - off), the clearance of hTau368 and pTau was accompanied by the recovery of the expression of CB and synapse - related proteins. One - way analysis of variance was performed, followed by Post hoc Tukey’s multiple comparison test. *P &lt; 0.05, **P &lt; 0.01, ***P &lt; 0.001 vs Veh group, #P &lt; 0.05, ##P &lt; 0.01, ###P &lt; 0.001 vs Dox - on group. </w:t>
      </w:r>
      <w:r>
        <w:rPr>
          <w:rFonts w:ascii="Times New Roman" w:hAnsi="Times New Roman" w:cs="Times New Roman"/>
          <w:bCs/>
          <w:sz w:val="24"/>
        </w:rPr>
        <w:t>7</w:t>
      </w:r>
      <w:r>
        <w:rPr>
          <w:rFonts w:hint="eastAsia" w:ascii="Times New Roman" w:hAnsi="Times New Roman" w:cs="Times New Roman"/>
          <w:bCs/>
          <w:sz w:val="24"/>
        </w:rPr>
        <w:t xml:space="preserve">- month - old homozygous hTau368 transgenic mice, 3 mice per group. Data are presented as Mean±SEM. </w:t>
      </w:r>
    </w:p>
    <w:p w14:paraId="1E7FC82A">
      <w:pPr>
        <w:widowControl/>
        <w:spacing w:line="360" w:lineRule="auto"/>
        <w:rPr>
          <w:rFonts w:ascii="Times New Roman" w:hAnsi="Times New Roman" w:cs="Times New Roman"/>
          <w:bCs/>
          <w:sz w:val="24"/>
        </w:rPr>
      </w:pPr>
    </w:p>
    <w:p w14:paraId="6DF5AAEF">
      <w:pPr>
        <w:spacing w:line="360" w:lineRule="auto"/>
      </w:pPr>
      <w:r>
        <w:drawing>
          <wp:inline distT="0" distB="0" distL="114300" distR="114300">
            <wp:extent cx="1823085" cy="1347470"/>
            <wp:effectExtent l="0" t="0" r="0" b="5080"/>
            <wp:docPr id="2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2"/>
                    <pic:cNvPicPr>
                      <a:picLocks noChangeAspect="1"/>
                    </pic:cNvPicPr>
                  </pic:nvPicPr>
                  <pic:blipFill>
                    <a:blip r:embed="rId9"/>
                    <a:srcRect l="16004"/>
                    <a:stretch>
                      <a:fillRect/>
                    </a:stretch>
                  </pic:blipFill>
                  <pic:spPr>
                    <a:xfrm>
                      <a:off x="0" y="0"/>
                      <a:ext cx="1823085" cy="1347470"/>
                    </a:xfrm>
                    <a:prstGeom prst="rect">
                      <a:avLst/>
                    </a:prstGeom>
                    <a:noFill/>
                    <a:ln>
                      <a:noFill/>
                    </a:ln>
                  </pic:spPr>
                </pic:pic>
              </a:graphicData>
            </a:graphic>
          </wp:inline>
        </w:drawing>
      </w:r>
    </w:p>
    <w:p w14:paraId="3F2DA034">
      <w:pPr>
        <w:widowControl/>
        <w:spacing w:line="360" w:lineRule="auto"/>
        <w:rPr>
          <w:rFonts w:ascii="Times New Roman" w:hAnsi="Times New Roman" w:cs="Times New Roman"/>
          <w:bCs/>
          <w:sz w:val="24"/>
        </w:rPr>
      </w:pPr>
      <w:r>
        <w:rPr>
          <w:rFonts w:hint="eastAsia" w:ascii="Times New Roman" w:hAnsi="Times New Roman" w:cs="Times New Roman"/>
          <w:b/>
          <w:bCs/>
          <w:sz w:val="24"/>
        </w:rPr>
        <w:t>Supplementary</w:t>
      </w:r>
      <w:r>
        <w:rPr>
          <w:rFonts w:ascii="Times New Roman" w:hAnsi="Times New Roman" w:cs="Times New Roman"/>
          <w:b/>
          <w:bCs/>
          <w:sz w:val="24"/>
        </w:rPr>
        <w:t xml:space="preserve"> Video 1</w:t>
      </w:r>
      <w:r>
        <w:rPr>
          <w:rFonts w:hint="eastAsia" w:ascii="Times New Roman" w:hAnsi="Times New Roman" w:cs="Times New Roman"/>
          <w:b/>
          <w:bCs/>
          <w:sz w:val="24"/>
        </w:rPr>
        <w:t>.</w:t>
      </w:r>
      <w:r>
        <w:rPr>
          <w:rFonts w:hint="eastAsia" w:ascii="Times New Roman" w:hAnsi="Times New Roman" w:cs="Times New Roman"/>
          <w:sz w:val="24"/>
        </w:rPr>
        <w:t xml:space="preserve"> </w:t>
      </w:r>
      <w:r>
        <w:rPr>
          <w:rFonts w:hint="eastAsia" w:ascii="Times New Roman" w:hAnsi="Times New Roman" w:cs="Times New Roman"/>
          <w:b/>
          <w:sz w:val="24"/>
        </w:rPr>
        <w:t xml:space="preserve">Optogenetic seizures induction and in vivo electrophysiological recording. </w:t>
      </w:r>
      <w:r>
        <w:rPr>
          <w:rFonts w:hint="eastAsia" w:ascii="Times New Roman" w:hAnsi="Times New Roman" w:cs="Times New Roman"/>
          <w:bCs/>
          <w:sz w:val="24"/>
        </w:rPr>
        <w:t>This video demonstrated the novel process of optogenetically inducing epileptic seizures in aged mice and synchronously recording brain electrophysiological signals in vivo created by our lab. At the 4s of the video, we turned on the blue light to activate the hippocampus and induce epileptic seizures. At 4 min and 12 s of the video, the mouse began to exhibit grade 4-5 generalized seizures, and the latency period was recorded as 252 s. After continuing the light stimulation for another 15 s, we turned off the blue light and recorded the highest seizure</w:t>
      </w:r>
      <w:r>
        <w:rPr>
          <w:rFonts w:ascii="Times New Roman" w:hAnsi="Times New Roman" w:cs="Times New Roman"/>
          <w:bCs/>
          <w:sz w:val="24"/>
        </w:rPr>
        <w:t xml:space="preserve"> stage</w:t>
      </w:r>
      <w:r>
        <w:rPr>
          <w:rFonts w:hint="eastAsia" w:ascii="Times New Roman" w:hAnsi="Times New Roman" w:cs="Times New Roman"/>
          <w:bCs/>
          <w:sz w:val="24"/>
        </w:rPr>
        <w:t>. Then, the mouse gradu</w:t>
      </w:r>
      <w:bookmarkStart w:id="3" w:name="_GoBack"/>
      <w:bookmarkEnd w:id="3"/>
      <w:r>
        <w:rPr>
          <w:rFonts w:hint="eastAsia" w:ascii="Times New Roman" w:hAnsi="Times New Roman" w:cs="Times New Roman"/>
          <w:bCs/>
          <w:sz w:val="24"/>
        </w:rPr>
        <w:t>ally returned to normal free movement.</w:t>
      </w:r>
    </w:p>
    <w:p w14:paraId="69522879"/>
    <w:sectPr>
      <w:footerReference r:id="rId3" w:type="default"/>
      <w:pgSz w:w="11906" w:h="16838"/>
      <w:pgMar w:top="1440" w:right="1800" w:bottom="1440" w:left="1800" w:header="851" w:footer="992" w:gutter="0"/>
      <w:lnNumType w:countBy="1" w:restart="continuou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86689771"/>
    </w:sdtPr>
    <w:sdtContent>
      <w:p w14:paraId="5F444CF8">
        <w:pPr>
          <w:pStyle w:val="2"/>
          <w:jc w:val="center"/>
        </w:pPr>
        <w:r>
          <w:fldChar w:fldCharType="begin"/>
        </w:r>
        <w:r>
          <w:instrText xml:space="preserve">PAGE   \* MERGEFORMAT</w:instrText>
        </w:r>
        <w:r>
          <w:fldChar w:fldCharType="separate"/>
        </w:r>
        <w:r>
          <w:rPr>
            <w:lang w:val="zh-CN"/>
          </w:rPr>
          <w:t>4</w:t>
        </w:r>
        <w:r>
          <w:fldChar w:fldCharType="end"/>
        </w:r>
      </w:p>
    </w:sdtContent>
  </w:sdt>
  <w:p w14:paraId="1FCFC230"/>
  <w:p w14:paraId="45128D27"/>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516150"/>
    <w:multiLevelType w:val="singleLevel"/>
    <w:tmpl w:val="D4516150"/>
    <w:lvl w:ilvl="0" w:tentative="0">
      <w:start w:val="1"/>
      <w:numFmt w:val="upperLetter"/>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DA7898"/>
    <w:rsid w:val="566764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tiff"/><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493</Words>
  <Characters>2500</Characters>
  <Lines>0</Lines>
  <Paragraphs>0</Paragraphs>
  <TotalTime>1</TotalTime>
  <ScaleCrop>false</ScaleCrop>
  <LinksUpToDate>false</LinksUpToDate>
  <CharactersWithSpaces>2981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2025-03-26T01:51:00Z</dcterms:created>
  <dc:creator>Administrator</dc:creator>
  <cp:lastModifiedBy>高阳</cp:lastModifiedBy>
  <dcterms:modified xsi:type="dcterms:W3CDTF">2025-04-17T07:10:07Z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eyJoZGlkIjoiMmY3MjJiYTUyOTdlNzVjZWQ4ZjExM2M3Yjk2OTlhZTkiLCJ1c2VySWQiOiIxNjYyNDgyNzQzIn0=</vt:lpwstr>
  </property>
  <property fmtid="{D5CDD505-2E9C-101B-9397-08002B2CF9AE}" pid="4" name="ICV">
    <vt:lpwstr>981BC6BFE20A49848CB4DD667DEA86D6_12</vt:lpwstr>
  </property>
</Properties>
</file>