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07D6" w14:textId="77777777" w:rsidR="006D149E" w:rsidRDefault="006D149E" w:rsidP="006D149E">
      <w:pPr>
        <w:pStyle w:val="Heading2"/>
        <w:spacing w:before="0" w:after="0" w:line="240" w:lineRule="auto"/>
        <w:contextualSpacing/>
        <w:rPr>
          <w:b/>
          <w:lang w:val="en-GB"/>
        </w:rPr>
      </w:pPr>
      <w:r w:rsidRPr="002D1AB3">
        <w:rPr>
          <w:b/>
          <w:lang w:val="en-GB"/>
        </w:rPr>
        <w:t>Supplementary materials</w:t>
      </w:r>
      <w:r>
        <w:rPr>
          <w:b/>
          <w:lang w:val="en-GB"/>
        </w:rPr>
        <w:t>:</w:t>
      </w:r>
    </w:p>
    <w:p w14:paraId="56F057A2" w14:textId="77777777" w:rsidR="006D149E" w:rsidRDefault="006D149E" w:rsidP="006D149E">
      <w:pPr>
        <w:contextualSpacing/>
        <w:rPr>
          <w:sz w:val="20"/>
          <w:szCs w:val="20"/>
        </w:rPr>
      </w:pPr>
      <w:r>
        <w:rPr>
          <w:noProof/>
        </w:rPr>
        <w:drawing>
          <wp:inline distT="0" distB="0" distL="0" distR="0" wp14:anchorId="75725CB3" wp14:editId="3F5B2694">
            <wp:extent cx="5299200" cy="3466800"/>
            <wp:effectExtent l="0" t="0" r="0" b="635"/>
            <wp:docPr id="8" name="Picture 8" descr="A graph of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graph of a number of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200" cy="34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Figure_2:_Cumulative"/>
      <w:bookmarkEnd w:id="0"/>
    </w:p>
    <w:p w14:paraId="5D5ED936" w14:textId="0839E221" w:rsidR="006D149E" w:rsidRPr="00EE54B9" w:rsidRDefault="006D149E" w:rsidP="006D149E">
      <w:pPr>
        <w:pStyle w:val="Heading4"/>
        <w:spacing w:before="0" w:after="0" w:line="240" w:lineRule="auto"/>
        <w:contextualSpacing/>
        <w:rPr>
          <w:rFonts w:cstheme="minorHAnsi"/>
          <w:i w:val="0"/>
          <w:iCs w:val="0"/>
        </w:rPr>
      </w:pPr>
      <w:bookmarkStart w:id="1" w:name="_Figure_S2:_Cumulative"/>
      <w:bookmarkStart w:id="2" w:name="_Figure_S1:_Cumulative"/>
      <w:bookmarkEnd w:id="1"/>
      <w:bookmarkEnd w:id="2"/>
      <w:r w:rsidRPr="00EE54B9">
        <w:rPr>
          <w:rFonts w:cstheme="minorHAnsi"/>
          <w:b/>
          <w:bCs/>
          <w:i w:val="0"/>
          <w:iCs w:val="0"/>
        </w:rPr>
        <w:t>Figure S</w:t>
      </w:r>
      <w:r>
        <w:rPr>
          <w:rFonts w:cstheme="minorHAnsi"/>
          <w:b/>
          <w:bCs/>
          <w:i w:val="0"/>
          <w:iCs w:val="0"/>
        </w:rPr>
        <w:t>1</w:t>
      </w:r>
      <w:r w:rsidRPr="00EE54B9">
        <w:rPr>
          <w:rFonts w:cstheme="minorHAnsi"/>
          <w:i w:val="0"/>
          <w:iCs w:val="0"/>
        </w:rPr>
        <w:t xml:space="preserve">: Cumulative number of TB </w:t>
      </w:r>
      <w:r w:rsidR="00570387">
        <w:rPr>
          <w:rFonts w:cstheme="minorHAnsi"/>
          <w:i w:val="0"/>
          <w:iCs w:val="0"/>
        </w:rPr>
        <w:t>patients</w:t>
      </w:r>
      <w:r w:rsidRPr="00EE54B9">
        <w:rPr>
          <w:rFonts w:cstheme="minorHAnsi"/>
          <w:i w:val="0"/>
          <w:iCs w:val="0"/>
        </w:rPr>
        <w:t xml:space="preserve"> and age-specific incidence rate per 100, 000 population by migrant status</w:t>
      </w:r>
    </w:p>
    <w:p w14:paraId="1ABFD405" w14:textId="77777777" w:rsidR="006D149E" w:rsidRPr="00ED579C" w:rsidRDefault="006D149E" w:rsidP="006D149E">
      <w:pPr>
        <w:contextualSpacing/>
        <w:rPr>
          <w:lang w:val="en-GB"/>
        </w:rPr>
      </w:pPr>
    </w:p>
    <w:p w14:paraId="4C3590C4" w14:textId="77777777" w:rsidR="006D149E" w:rsidRDefault="006D149E" w:rsidP="006D149E">
      <w:pPr>
        <w:contextualSpacing/>
      </w:pPr>
      <w:r>
        <w:rPr>
          <w:noProof/>
        </w:rPr>
        <w:drawing>
          <wp:inline distT="0" distB="0" distL="0" distR="0" wp14:anchorId="26E3D6CE" wp14:editId="0DB46AEA">
            <wp:extent cx="5205600" cy="3978000"/>
            <wp:effectExtent l="0" t="0" r="0" b="3810"/>
            <wp:docPr id="4" name="Picture 4" descr="A chart with numbers and a number of peop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hart with numbers and a number of peopl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600" cy="397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FF9DF3" w14:textId="0DE85D4F" w:rsidR="006D149E" w:rsidRPr="00ED579C" w:rsidRDefault="006D149E" w:rsidP="006D149E">
      <w:pPr>
        <w:pStyle w:val="Heading4"/>
        <w:spacing w:before="0" w:after="0" w:line="240" w:lineRule="auto"/>
        <w:contextualSpacing/>
        <w:rPr>
          <w:rFonts w:cstheme="minorHAnsi"/>
          <w:i w:val="0"/>
          <w:iCs w:val="0"/>
        </w:rPr>
      </w:pPr>
      <w:bookmarkStart w:id="3" w:name="_Figure_3:_Interval"/>
      <w:bookmarkStart w:id="4" w:name="_Figure_S1:_Interval"/>
      <w:bookmarkStart w:id="5" w:name="_Figure_S2:_Interval"/>
      <w:bookmarkEnd w:id="3"/>
      <w:bookmarkEnd w:id="4"/>
      <w:bookmarkEnd w:id="5"/>
      <w:r w:rsidRPr="00EE54B9">
        <w:rPr>
          <w:rFonts w:cstheme="minorHAnsi"/>
          <w:b/>
          <w:bCs/>
          <w:i w:val="0"/>
          <w:iCs w:val="0"/>
        </w:rPr>
        <w:t>Figure S</w:t>
      </w:r>
      <w:r>
        <w:rPr>
          <w:rFonts w:cstheme="minorHAnsi"/>
          <w:b/>
          <w:bCs/>
          <w:i w:val="0"/>
          <w:iCs w:val="0"/>
        </w:rPr>
        <w:t>2</w:t>
      </w:r>
      <w:r w:rsidRPr="00EE54B9">
        <w:rPr>
          <w:rFonts w:cstheme="minorHAnsi"/>
          <w:b/>
          <w:bCs/>
          <w:i w:val="0"/>
          <w:iCs w:val="0"/>
        </w:rPr>
        <w:t>:</w:t>
      </w:r>
      <w:r w:rsidRPr="00EE54B9">
        <w:rPr>
          <w:rFonts w:cstheme="minorHAnsi"/>
          <w:i w:val="0"/>
          <w:iCs w:val="0"/>
        </w:rPr>
        <w:t xml:space="preserve"> Interval between onset and diagnosis in months by migrant status for TB </w:t>
      </w:r>
      <w:r w:rsidR="00570387">
        <w:rPr>
          <w:rFonts w:cstheme="minorHAnsi"/>
          <w:i w:val="0"/>
          <w:iCs w:val="0"/>
        </w:rPr>
        <w:t>patients</w:t>
      </w:r>
      <w:r w:rsidRPr="00EE54B9">
        <w:rPr>
          <w:rFonts w:cstheme="minorHAnsi"/>
          <w:i w:val="0"/>
          <w:iCs w:val="0"/>
        </w:rPr>
        <w:t xml:space="preserve"> in Ireland</w:t>
      </w:r>
    </w:p>
    <w:p w14:paraId="125B3897" w14:textId="77777777" w:rsidR="006D149E" w:rsidRDefault="006D149E" w:rsidP="006D149E">
      <w:pPr>
        <w:contextualSpacing/>
        <w:rPr>
          <w:rFonts w:asciiTheme="majorHAnsi" w:eastAsiaTheme="majorEastAsia" w:hAnsiTheme="majorHAnsi" w:cstheme="majorBidi"/>
          <w:i/>
          <w:iCs/>
          <w:color w:val="0F4761" w:themeColor="accent1" w:themeShade="BF"/>
        </w:rPr>
      </w:pPr>
      <w:r>
        <w:br w:type="page"/>
      </w:r>
    </w:p>
    <w:p w14:paraId="5096AD01" w14:textId="77777777" w:rsidR="006D149E" w:rsidRDefault="006D149E" w:rsidP="006D149E">
      <w:pPr>
        <w:contextualSpacing/>
      </w:pPr>
      <w:r w:rsidRPr="00284FAE">
        <w:rPr>
          <w:noProof/>
        </w:rPr>
        <w:lastRenderedPageBreak/>
        <w:drawing>
          <wp:inline distT="0" distB="0" distL="0" distR="0" wp14:anchorId="5D7650D2" wp14:editId="1F0782E0">
            <wp:extent cx="5641200" cy="3560400"/>
            <wp:effectExtent l="0" t="0" r="0" b="2540"/>
            <wp:docPr id="1680582068" name="Picture 3" descr="A graph showing the number of different colored ba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582068" name="Picture 3" descr="A graph showing the number of different colored ba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200" cy="35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77E963" w14:textId="2AB7DF8F" w:rsidR="006D149E" w:rsidRPr="00EE54B9" w:rsidRDefault="006D149E" w:rsidP="006D149E">
      <w:pPr>
        <w:pStyle w:val="Heading4"/>
        <w:spacing w:before="0" w:after="0" w:line="240" w:lineRule="auto"/>
        <w:ind w:left="142"/>
        <w:contextualSpacing/>
        <w:rPr>
          <w:rFonts w:cstheme="minorHAnsi"/>
          <w:b/>
          <w:bCs/>
          <w:i w:val="0"/>
          <w:iCs w:val="0"/>
        </w:rPr>
      </w:pPr>
      <w:bookmarkStart w:id="6" w:name="_Figure_S3:_Annual"/>
      <w:bookmarkEnd w:id="6"/>
      <w:r w:rsidRPr="00EE54B9">
        <w:rPr>
          <w:rFonts w:cstheme="minorHAnsi"/>
          <w:b/>
          <w:bCs/>
          <w:i w:val="0"/>
          <w:iCs w:val="0"/>
        </w:rPr>
        <w:t>Figure S3</w:t>
      </w:r>
      <w:r w:rsidRPr="00EE54B9">
        <w:rPr>
          <w:rFonts w:cstheme="minorHAnsi"/>
          <w:i w:val="0"/>
          <w:iCs w:val="0"/>
        </w:rPr>
        <w:t>: Annual proportion and crude incidence rates by WHO incidence categories for migrant</w:t>
      </w:r>
      <w:r w:rsidR="00570387">
        <w:rPr>
          <w:rFonts w:cstheme="minorHAnsi"/>
          <w:i w:val="0"/>
          <w:iCs w:val="0"/>
        </w:rPr>
        <w:t>s with</w:t>
      </w:r>
      <w:r w:rsidRPr="00EE54B9">
        <w:rPr>
          <w:rFonts w:cstheme="minorHAnsi"/>
          <w:i w:val="0"/>
          <w:iCs w:val="0"/>
        </w:rPr>
        <w:t xml:space="preserve"> TB in Ireland</w:t>
      </w:r>
    </w:p>
    <w:p w14:paraId="764155A0" w14:textId="77777777" w:rsidR="006D149E" w:rsidRDefault="006D149E" w:rsidP="006D149E">
      <w:pPr>
        <w:pStyle w:val="Heading4"/>
        <w:spacing w:before="0" w:after="0" w:line="240" w:lineRule="auto"/>
        <w:contextualSpacing/>
      </w:pPr>
      <w:r>
        <w:br w:type="page"/>
      </w:r>
    </w:p>
    <w:p w14:paraId="437ED316" w14:textId="05C31C2E" w:rsidR="006D149E" w:rsidRDefault="006D149E" w:rsidP="006D149E">
      <w:pPr>
        <w:pStyle w:val="Heading4"/>
        <w:spacing w:before="0" w:after="0" w:line="240" w:lineRule="auto"/>
        <w:contextualSpacing/>
      </w:pPr>
      <w:bookmarkStart w:id="7" w:name="_Table_S1:_Characteristics"/>
      <w:bookmarkEnd w:id="7"/>
      <w:r>
        <w:lastRenderedPageBreak/>
        <w:t>Table S1: Characteristics of migrant</w:t>
      </w:r>
      <w:r w:rsidR="00570387">
        <w:t>s with T</w:t>
      </w:r>
      <w:r>
        <w:t>B by WHO incidence estimate category</w:t>
      </w:r>
      <w:r>
        <w:rPr>
          <w:rStyle w:val="FootnoteReference"/>
        </w:rPr>
        <w:footnoteReference w:id="1"/>
      </w:r>
      <w:r>
        <w:t>, Ireland</w:t>
      </w:r>
    </w:p>
    <w:tbl>
      <w:tblPr>
        <w:tblStyle w:val="Table"/>
        <w:tblpPr w:leftFromText="180" w:rightFromText="180" w:vertAnchor="text" w:tblpXSpec="center" w:tblpY="1"/>
        <w:tblOverlap w:val="never"/>
        <w:tblW w:w="5000" w:type="pct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259"/>
        <w:gridCol w:w="1309"/>
        <w:gridCol w:w="1087"/>
        <w:gridCol w:w="1271"/>
        <w:gridCol w:w="1128"/>
        <w:gridCol w:w="1273"/>
        <w:gridCol w:w="699"/>
      </w:tblGrid>
      <w:tr w:rsidR="006D149E" w:rsidRPr="002A61E6" w14:paraId="63D3EFE3" w14:textId="77777777" w:rsidTr="00C47FA9">
        <w:trPr>
          <w:cantSplit/>
          <w:tblHeader/>
        </w:trPr>
        <w:tc>
          <w:tcPr>
            <w:tcW w:w="1252" w:type="pct"/>
            <w:vMerge w:val="restart"/>
            <w:tcBorders>
              <w:top w:val="single" w:sz="16" w:space="0" w:color="D3D3D3"/>
              <w:left w:val="single" w:sz="0" w:space="0" w:color="D3D3D3"/>
            </w:tcBorders>
          </w:tcPr>
          <w:p w14:paraId="7374C57C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Characteristic</w:t>
            </w:r>
          </w:p>
        </w:tc>
        <w:tc>
          <w:tcPr>
            <w:tcW w:w="3361" w:type="pct"/>
            <w:gridSpan w:val="5"/>
            <w:tcBorders>
              <w:top w:val="single" w:sz="16" w:space="0" w:color="D3D3D3"/>
              <w:bottom w:val="single" w:sz="16" w:space="0" w:color="D3D3D3"/>
            </w:tcBorders>
          </w:tcPr>
          <w:p w14:paraId="61C925B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WHO TB incidence category</w:t>
            </w:r>
          </w:p>
        </w:tc>
        <w:tc>
          <w:tcPr>
            <w:tcW w:w="388" w:type="pct"/>
            <w:vMerge w:val="restart"/>
            <w:tcBorders>
              <w:top w:val="single" w:sz="16" w:space="0" w:color="D3D3D3"/>
              <w:right w:val="single" w:sz="0" w:space="0" w:color="D3D3D3"/>
            </w:tcBorders>
          </w:tcPr>
          <w:p w14:paraId="7CB917D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p-value</w:t>
            </w:r>
            <w:r w:rsidRPr="002A61E6">
              <w:rPr>
                <w:rStyle w:val="FootnoteReference"/>
                <w:rFonts w:ascii="Aptos Narrow" w:hAnsi="Aptos Narrow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6D149E" w:rsidRPr="002A61E6" w14:paraId="1A3D1581" w14:textId="77777777" w:rsidTr="00C47FA9">
        <w:trPr>
          <w:cantSplit/>
          <w:tblHeader/>
        </w:trPr>
        <w:tc>
          <w:tcPr>
            <w:tcW w:w="1252" w:type="pct"/>
            <w:vMerge/>
            <w:tcBorders>
              <w:left w:val="single" w:sz="0" w:space="0" w:color="D3D3D3"/>
              <w:bottom w:val="single" w:sz="16" w:space="0" w:color="D3D3D3"/>
            </w:tcBorders>
          </w:tcPr>
          <w:p w14:paraId="54A6C994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25" w:type="pct"/>
            <w:tcBorders>
              <w:bottom w:val="single" w:sz="16" w:space="0" w:color="D3D3D3"/>
            </w:tcBorders>
          </w:tcPr>
          <w:p w14:paraId="1D90251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Overall</w:t>
            </w:r>
            <w:r w:rsidRPr="002A61E6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  <w:p w14:paraId="3DEC5DB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N = 1,602</w:t>
            </w:r>
          </w:p>
        </w:tc>
        <w:tc>
          <w:tcPr>
            <w:tcW w:w="602" w:type="pct"/>
            <w:tcBorders>
              <w:bottom w:val="single" w:sz="16" w:space="0" w:color="D3D3D3"/>
            </w:tcBorders>
          </w:tcPr>
          <w:p w14:paraId="2FD323D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Low</w:t>
            </w:r>
            <w:r w:rsidRPr="002A61E6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  <w:p w14:paraId="521204E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N = 30</w:t>
            </w:r>
          </w:p>
        </w:tc>
        <w:tc>
          <w:tcPr>
            <w:tcW w:w="704" w:type="pct"/>
            <w:tcBorders>
              <w:bottom w:val="single" w:sz="16" w:space="0" w:color="D3D3D3"/>
            </w:tcBorders>
          </w:tcPr>
          <w:p w14:paraId="18540FE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Medium</w:t>
            </w:r>
            <w:r w:rsidRPr="002A61E6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  <w:p w14:paraId="6BF2EAE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N = 193</w:t>
            </w:r>
          </w:p>
        </w:tc>
        <w:tc>
          <w:tcPr>
            <w:tcW w:w="625" w:type="pct"/>
            <w:tcBorders>
              <w:bottom w:val="single" w:sz="16" w:space="0" w:color="D3D3D3"/>
            </w:tcBorders>
          </w:tcPr>
          <w:p w14:paraId="612AA5E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High</w:t>
            </w:r>
            <w:r w:rsidRPr="002A61E6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  <w:p w14:paraId="3C2AECF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N = 280</w:t>
            </w:r>
          </w:p>
        </w:tc>
        <w:tc>
          <w:tcPr>
            <w:tcW w:w="704" w:type="pct"/>
            <w:tcBorders>
              <w:bottom w:val="single" w:sz="16" w:space="0" w:color="D3D3D3"/>
            </w:tcBorders>
          </w:tcPr>
          <w:p w14:paraId="55D201C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Very high</w:t>
            </w:r>
            <w:r w:rsidRPr="002A61E6">
              <w:rPr>
                <w:rFonts w:ascii="Aptos Narrow" w:hAnsi="Aptos Narrow" w:cstheme="minorHAnsi"/>
                <w:sz w:val="20"/>
                <w:szCs w:val="20"/>
              </w:rPr>
              <w:t xml:space="preserve"> </w:t>
            </w:r>
          </w:p>
          <w:p w14:paraId="749BB3D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N = 1,099</w:t>
            </w:r>
          </w:p>
        </w:tc>
        <w:tc>
          <w:tcPr>
            <w:tcW w:w="388" w:type="pct"/>
            <w:vMerge/>
            <w:tcBorders>
              <w:bottom w:val="single" w:sz="16" w:space="0" w:color="D3D3D3"/>
              <w:right w:val="single" w:sz="0" w:space="0" w:color="D3D3D3"/>
            </w:tcBorders>
          </w:tcPr>
          <w:p w14:paraId="144E486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6FF53C5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6EA72B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Median age (years), (IQR)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0FE40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34.0 (16.0)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ABBE5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43.5 (25.5)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7B26C6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36.0 (23.3)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F62A0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35.0 (16.0)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B70A4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33.0 (15.0)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117D4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&lt;0.001</w:t>
            </w:r>
          </w:p>
        </w:tc>
      </w:tr>
      <w:tr w:rsidR="006D149E" w:rsidRPr="002A61E6" w14:paraId="2D0C5F79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3DA400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C9825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0.1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9B3F6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2DCBB9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0.5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159A4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CB4F8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&lt;0.1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EB6FCC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310CDD0A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B75E20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Sex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A2E22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CB5EB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FD7D4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BAFA3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1E9E8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B5370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0.035</w:t>
            </w:r>
          </w:p>
        </w:tc>
      </w:tr>
      <w:tr w:rsidR="006D149E" w:rsidRPr="002A61E6" w14:paraId="69E321B9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8885C6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Female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80DF2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687 (43%)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FE06C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11 (37%)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55F27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74 (39%)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432BF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104 (37%)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FAD58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498 (45%)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DDC53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2C058261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919B23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Male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F95AE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911 (57%)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20BA1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19 (63%)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90C9E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118 (61%)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9F1EF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176 (63%)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74382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598 (55%)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9B407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2B8B1547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6798F4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63C10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0.2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F1E59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01B1D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0.5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1052B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42B0A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0.3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8056B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31575064" w14:textId="77777777" w:rsidTr="00C47FA9">
        <w:trPr>
          <w:cantSplit/>
        </w:trPr>
        <w:tc>
          <w:tcPr>
            <w:tcW w:w="1976" w:type="pct"/>
            <w:gridSpan w:val="2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BC0F20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International Protection Applicant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9CF94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1494B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998AF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74196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4FEE30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&lt;0.001</w:t>
            </w:r>
          </w:p>
        </w:tc>
      </w:tr>
      <w:tr w:rsidR="006D149E" w:rsidRPr="002A61E6" w14:paraId="02C59B01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B3DA8D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i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No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D4455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1,088 (88%)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74E6A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24 (100%)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C1A2F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155 (95%)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95685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194 (93%)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D1D66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715 (85%)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1B422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</w:tr>
      <w:tr w:rsidR="006D149E" w:rsidRPr="002A61E6" w14:paraId="00DE1C81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D817C1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i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Yes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A142F4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148 (12%)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36620B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 (0%)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00E9B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8 (4.9%)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E13BD6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14 (6.7%)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6568FD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126 (15%)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D8AFD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</w:tr>
      <w:tr w:rsidR="006D149E" w:rsidRPr="002A61E6" w14:paraId="73AE0F75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F83516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4197DF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030E8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D52278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16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C3BDB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26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50D9A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3BA0DB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  <w:highlight w:val="yellow"/>
              </w:rPr>
            </w:pPr>
          </w:p>
        </w:tc>
      </w:tr>
      <w:tr w:rsidR="006D149E" w:rsidRPr="002A61E6" w14:paraId="348EB2DB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793E8BF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People living with HIV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54E14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353E87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09FE7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B74E0C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E0AE5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8D8E0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0.20</w:t>
            </w:r>
          </w:p>
        </w:tc>
      </w:tr>
      <w:tr w:rsidR="006D149E" w:rsidRPr="002A61E6" w14:paraId="007C4515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704F40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Negative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9D465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711 (87%)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9FFCE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13 (93%)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B6E5F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73 (91%)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A114B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129 (91%)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A47E1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496 (85%)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86B28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16882D28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72EE27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Positive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27187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106 (13%)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E3ACA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 (7.1%)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629D4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 (8.8%)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B3902F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13 (9.2%)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5328FF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85 (15%)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FCA14A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7D885D5A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1391820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5F26C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49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5F0E5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53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B4E19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59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40611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49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6D8A01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47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82872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1953B143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7232B7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Disease site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F107B6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5B386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8F5F0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3D24F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3C03C5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0D7FEB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&lt;0.001</w:t>
            </w:r>
          </w:p>
        </w:tc>
      </w:tr>
      <w:tr w:rsidR="006D149E" w:rsidRPr="002A61E6" w14:paraId="7B63BE52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AC417B4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Pulmonary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CE2F5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916 (58%)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FB7D2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24 (80%)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FD9C9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157 (82%)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96BEDC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204 (73%)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C8E686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531 (49%)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E48013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17D730E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894F18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Extrapulmonary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AC169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667 (42%)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6EACA7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6 (20%)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66E32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35 (18%)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25C69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75 (27%)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A40136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551 (51%)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36198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D29D921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B3D055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4C041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1.2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462E4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B69B1D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0.5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D8FF9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0.4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D2264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1.5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14987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4EAA0055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7BC756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Outbreak associated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9B344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931D31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7B51B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FB0D8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4306C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866E69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0.021</w:t>
            </w:r>
          </w:p>
        </w:tc>
      </w:tr>
      <w:tr w:rsidR="006D149E" w:rsidRPr="002A61E6" w14:paraId="31B0AC02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DB9AE9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Not linked to outbreak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D2DB4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1,527 (95%)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532E56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27 (90%)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C96384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177 (92%)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FA535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266 (95%)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5CE08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1,057 (96%)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D1DF79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F2975FC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1C39347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Outbreak associated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F600B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75 (4.7%)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86DC0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 (10%)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EB3C71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16 (8.3%)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E8BEC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14 (5.0%)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ECA05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42 (3.8%)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CF98E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374CA776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A03ADC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1FEDC9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608DE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831A27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32F2F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9EF27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C8ED8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18B1DB96" w14:textId="77777777" w:rsidTr="00C47FA9">
        <w:trPr>
          <w:cantSplit/>
        </w:trPr>
        <w:tc>
          <w:tcPr>
            <w:tcW w:w="1976" w:type="pct"/>
            <w:gridSpan w:val="2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2C130CA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Previous TB screening in Ireland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87968F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BB717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FCB78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18781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4C445A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0.072</w:t>
            </w:r>
          </w:p>
        </w:tc>
      </w:tr>
      <w:tr w:rsidR="006D149E" w:rsidRPr="002A61E6" w14:paraId="799B4465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41C5E2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No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851586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1,042 (89%)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3B83CA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22 (100%)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FBD47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136 (90%)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111E3F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192 (92%)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66370B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692 (87%)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FE9061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4B96B3DC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9BBEB1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Yes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5EF6AA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134 (11%)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CDABCF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 (0%)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9124B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15 (9.9%)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13AE64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17 (8.1%)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BA15BF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102 (13%)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8518CE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7F6A1F6F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7EDF21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42D78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27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C52DDC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27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212509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22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AA870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25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0AC6A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28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74AEF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B136AD6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544EB5F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Previous TB diagnosis)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0673B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91923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A308F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A9AF1F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541B0E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2D5B4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0.14</w:t>
            </w:r>
          </w:p>
        </w:tc>
      </w:tr>
      <w:tr w:rsidR="006D149E" w:rsidRPr="002A61E6" w14:paraId="55BCCFA4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2F68ED9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No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D3057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1,097 (92%)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851F2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22 (96%)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F0A4B6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136 (93%)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8FC906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180 (88%)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3BB5C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759 (93%)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B9534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D59C014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776A25D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Yes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3FB72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92 (7.7%)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063410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 (4.3%)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AC31AF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11 (7.5%)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EE32A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24 (12%)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19E61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56 (6.9%)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69CEDC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5729877B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72ABD99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DB853A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26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36DE292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999B7A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24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277FD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27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B607D2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26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FAEFCE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094F6A9A" w14:textId="77777777" w:rsidTr="00C47FA9">
        <w:trPr>
          <w:cantSplit/>
        </w:trPr>
        <w:tc>
          <w:tcPr>
            <w:tcW w:w="1976" w:type="pct"/>
            <w:gridSpan w:val="2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3F57CA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First line drug resistance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C17E5F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BDEA2E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1D48B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7BA6F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7C12FB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0.94</w:t>
            </w:r>
          </w:p>
        </w:tc>
      </w:tr>
      <w:tr w:rsidR="006D149E" w:rsidRPr="002A61E6" w14:paraId="5C5118FB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6B94C7E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Sensitive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DB8609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1,017 (83%)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5EE43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16 (80%)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464E30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125 (84%)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D6631F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192 (82%)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498F52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684 (83%)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B01BA3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673E9A4A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3848F3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Resistant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535E1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213 (17%)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94E04C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 (20%)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1193CE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24 (16%)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041324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42 (18%)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032533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143 (17%)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5AE354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77F2663F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7B1FD3F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24D3719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747926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33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FC918FD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D0A75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16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FB13B3B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25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3A12D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27A52E11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9498768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M/XDR-TB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4DC78D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913FA8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E7F495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42D53D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9F632A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501F87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b/>
                <w:sz w:val="20"/>
                <w:szCs w:val="20"/>
              </w:rPr>
              <w:t>0.038</w:t>
            </w:r>
          </w:p>
        </w:tc>
      </w:tr>
      <w:tr w:rsidR="006D149E" w:rsidRPr="002A61E6" w14:paraId="4B852794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06E5174C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No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DBB7F46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1,187 (97%)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0E70E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20 (100%)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E0E2AE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141 (95%)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090C9B8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220 (94%)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D975D9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806 (97%)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2EEBAE7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417EE81D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4E4C35C0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Yes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5CB6F08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43 (3.5%)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13716FA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0 (0%)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69797924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8 (5.4%)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2951E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14 (6.0%)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0375C4F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21 (2.5%)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6DD43CE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  <w:tr w:rsidR="006D149E" w:rsidRPr="002A61E6" w14:paraId="7AB8A2F8" w14:textId="77777777" w:rsidTr="00C47FA9">
        <w:trPr>
          <w:cantSplit/>
        </w:trPr>
        <w:tc>
          <w:tcPr>
            <w:tcW w:w="125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C9B75CE" w14:textId="77777777" w:rsidR="006D149E" w:rsidRPr="002A61E6" w:rsidRDefault="006D149E" w:rsidP="006D149E">
            <w:pPr>
              <w:keepNext/>
              <w:contextualSpacing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i/>
                <w:sz w:val="20"/>
                <w:szCs w:val="20"/>
              </w:rPr>
              <w:t>    (% missing)</w:t>
            </w:r>
          </w:p>
        </w:tc>
        <w:tc>
          <w:tcPr>
            <w:tcW w:w="7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33032E70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602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C1946E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33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0C2831C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23</w:t>
            </w:r>
          </w:p>
        </w:tc>
        <w:tc>
          <w:tcPr>
            <w:tcW w:w="625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112C8591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16</w:t>
            </w:r>
          </w:p>
        </w:tc>
        <w:tc>
          <w:tcPr>
            <w:tcW w:w="704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740CCE95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  <w:r w:rsidRPr="002A61E6">
              <w:rPr>
                <w:rFonts w:ascii="Aptos Narrow" w:hAnsi="Aptos Narrow" w:cstheme="minorHAnsi"/>
                <w:sz w:val="20"/>
                <w:szCs w:val="20"/>
              </w:rPr>
              <w:t>25</w:t>
            </w:r>
          </w:p>
        </w:tc>
        <w:tc>
          <w:tcPr>
            <w:tcW w:w="388" w:type="pct"/>
            <w:tcBorders>
              <w:top w:val="single" w:sz="0" w:space="0" w:color="D3D3D3"/>
              <w:left w:val="single" w:sz="0" w:space="0" w:color="D3D3D3"/>
              <w:bottom w:val="single" w:sz="0" w:space="0" w:color="D3D3D3"/>
              <w:right w:val="single" w:sz="0" w:space="0" w:color="D3D3D3"/>
            </w:tcBorders>
          </w:tcPr>
          <w:p w14:paraId="2A5E3233" w14:textId="77777777" w:rsidR="006D149E" w:rsidRPr="002A61E6" w:rsidRDefault="006D149E" w:rsidP="006D149E">
            <w:pPr>
              <w:keepNext/>
              <w:contextualSpacing/>
              <w:jc w:val="center"/>
              <w:rPr>
                <w:rFonts w:ascii="Aptos Narrow" w:hAnsi="Aptos Narrow" w:cstheme="minorHAnsi"/>
                <w:sz w:val="20"/>
                <w:szCs w:val="20"/>
              </w:rPr>
            </w:pPr>
          </w:p>
        </w:tc>
      </w:tr>
    </w:tbl>
    <w:p w14:paraId="1850F922" w14:textId="77777777" w:rsidR="006D149E" w:rsidRDefault="006D149E" w:rsidP="006D149E">
      <w:pPr>
        <w:contextualSpacing/>
        <w:rPr>
          <w:lang w:val="en-GB"/>
        </w:rPr>
      </w:pPr>
    </w:p>
    <w:p w14:paraId="04F54BED" w14:textId="77777777" w:rsidR="00430CA2" w:rsidRDefault="00430CA2" w:rsidP="006D149E">
      <w:pPr>
        <w:contextualSpacing/>
      </w:pPr>
    </w:p>
    <w:sectPr w:rsidR="00430CA2" w:rsidSect="006D149E">
      <w:footnotePr>
        <w:numFmt w:val="lowerLetter"/>
      </w:foot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AC26" w14:textId="77777777" w:rsidR="006D149E" w:rsidRDefault="006D149E" w:rsidP="006D149E">
      <w:r>
        <w:separator/>
      </w:r>
    </w:p>
  </w:endnote>
  <w:endnote w:type="continuationSeparator" w:id="0">
    <w:p w14:paraId="58400C41" w14:textId="77777777" w:rsidR="006D149E" w:rsidRDefault="006D149E" w:rsidP="006D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E581" w14:textId="77777777" w:rsidR="006D149E" w:rsidRDefault="006D149E" w:rsidP="006D149E">
      <w:r>
        <w:separator/>
      </w:r>
    </w:p>
  </w:footnote>
  <w:footnote w:type="continuationSeparator" w:id="0">
    <w:p w14:paraId="74478B09" w14:textId="77777777" w:rsidR="006D149E" w:rsidRDefault="006D149E" w:rsidP="006D149E">
      <w:r>
        <w:continuationSeparator/>
      </w:r>
    </w:p>
  </w:footnote>
  <w:footnote w:id="1">
    <w:p w14:paraId="7E348524" w14:textId="56525AC8" w:rsidR="006D149E" w:rsidRPr="006D149E" w:rsidRDefault="006D149E" w:rsidP="006D149E">
      <w:pPr>
        <w:pStyle w:val="FootnoteText"/>
        <w:rPr>
          <w:sz w:val="16"/>
          <w:szCs w:val="16"/>
          <w:lang w:val="en-GB"/>
        </w:rPr>
      </w:pPr>
      <w:r w:rsidRPr="006D149E">
        <w:rPr>
          <w:rStyle w:val="FootnoteReference"/>
          <w:sz w:val="16"/>
          <w:szCs w:val="16"/>
        </w:rPr>
        <w:footnoteRef/>
      </w:r>
      <w:r w:rsidRPr="006D149E">
        <w:rPr>
          <w:sz w:val="16"/>
          <w:szCs w:val="16"/>
        </w:rPr>
        <w:t xml:space="preserve">WHO incidence estimates were not available for two countries, Kosovo (n=2 </w:t>
      </w:r>
      <w:r w:rsidR="00570387">
        <w:rPr>
          <w:sz w:val="16"/>
          <w:szCs w:val="16"/>
        </w:rPr>
        <w:t>patients</w:t>
      </w:r>
      <w:r w:rsidRPr="006D149E">
        <w:rPr>
          <w:sz w:val="16"/>
          <w:szCs w:val="16"/>
        </w:rPr>
        <w:t xml:space="preserve">) and Reunion (n=1 </w:t>
      </w:r>
      <w:r w:rsidR="00570387">
        <w:rPr>
          <w:sz w:val="16"/>
          <w:szCs w:val="16"/>
        </w:rPr>
        <w:t>patient</w:t>
      </w:r>
      <w:r w:rsidRPr="006D149E">
        <w:rPr>
          <w:sz w:val="16"/>
          <w:szCs w:val="16"/>
        </w:rPr>
        <w:t>), in the Irish dataset.</w:t>
      </w:r>
    </w:p>
  </w:footnote>
  <w:footnote w:id="2">
    <w:p w14:paraId="3FE4B801" w14:textId="77777777" w:rsidR="006D149E" w:rsidRPr="00426975" w:rsidRDefault="006D149E" w:rsidP="006D149E">
      <w:pPr>
        <w:pStyle w:val="FootnoteText"/>
        <w:rPr>
          <w:rFonts w:eastAsiaTheme="minorEastAsia" w:cstheme="minorHAnsi"/>
          <w:sz w:val="16"/>
          <w:szCs w:val="16"/>
        </w:rPr>
      </w:pPr>
      <w:r w:rsidRPr="006D149E">
        <w:rPr>
          <w:rStyle w:val="FootnoteReference"/>
          <w:rFonts w:cstheme="minorHAnsi"/>
          <w:sz w:val="16"/>
          <w:szCs w:val="16"/>
        </w:rPr>
        <w:footnoteRef/>
      </w:r>
      <w:r w:rsidRPr="006D149E">
        <w:rPr>
          <w:rFonts w:cstheme="minorHAnsi"/>
          <w:sz w:val="16"/>
          <w:szCs w:val="16"/>
        </w:rPr>
        <w:t xml:space="preserve"> Kruskal-</w:t>
      </w:r>
      <w:proofErr w:type="gramStart"/>
      <w:r w:rsidRPr="006D149E">
        <w:rPr>
          <w:rFonts w:cstheme="minorHAnsi"/>
          <w:sz w:val="16"/>
          <w:szCs w:val="16"/>
        </w:rPr>
        <w:t>Wallis</w:t>
      </w:r>
      <w:proofErr w:type="gramEnd"/>
      <w:r w:rsidRPr="006D149E">
        <w:rPr>
          <w:rFonts w:cstheme="minorHAnsi"/>
          <w:sz w:val="16"/>
          <w:szCs w:val="16"/>
        </w:rPr>
        <w:t xml:space="preserve"> rank sum test; Pearson's Chi-squared test; Fisher's exact test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49E"/>
    <w:rsid w:val="00430CA2"/>
    <w:rsid w:val="00570387"/>
    <w:rsid w:val="006B0989"/>
    <w:rsid w:val="006D149E"/>
    <w:rsid w:val="008F53BA"/>
    <w:rsid w:val="00DC2B97"/>
    <w:rsid w:val="00E2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3091"/>
  <w15:chartTrackingRefBased/>
  <w15:docId w15:val="{27F50BB3-1C27-4B91-8840-5A6B380F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49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4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14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4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4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4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49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49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49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49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4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D14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4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14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4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4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4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4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4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4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1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49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14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49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14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49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14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4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49E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semiHidden/>
    <w:unhideWhenUsed/>
    <w:qFormat/>
    <w:rsid w:val="006D149E"/>
    <w:pPr>
      <w:spacing w:after="200" w:line="240" w:lineRule="auto"/>
    </w:pPr>
    <w:rPr>
      <w:kern w:val="0"/>
      <w:sz w:val="20"/>
      <w:szCs w:val="20"/>
      <w:lang w:val="en-US" w:eastAsia="en-IE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iPriority w:val="9"/>
    <w:unhideWhenUsed/>
    <w:qFormat/>
    <w:rsid w:val="006D1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6D149E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nhideWhenUsed/>
    <w:rsid w:val="006D14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Jackson</dc:creator>
  <cp:keywords/>
  <dc:description/>
  <cp:lastModifiedBy>Sarah Jackson</cp:lastModifiedBy>
  <cp:revision>2</cp:revision>
  <dcterms:created xsi:type="dcterms:W3CDTF">2025-03-09T20:00:00Z</dcterms:created>
  <dcterms:modified xsi:type="dcterms:W3CDTF">2025-04-25T12:31:00Z</dcterms:modified>
</cp:coreProperties>
</file>