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CE0AE" w14:textId="77777777" w:rsidR="009D3D59" w:rsidRPr="00F64937" w:rsidRDefault="009D3D59" w:rsidP="009D3D59">
      <w:pPr>
        <w:pStyle w:val="NormalWeb"/>
        <w:spacing w:before="0" w:beforeAutospacing="0" w:after="0" w:afterAutospacing="0" w:line="360" w:lineRule="auto"/>
        <w:rPr>
          <w:rFonts w:ascii="Times New Roman" w:eastAsia="DengXian" w:hAnsi="Times New Roman" w:cs="Times New Roman"/>
          <w:color w:val="000000"/>
          <w:kern w:val="24"/>
          <w:szCs w:val="28"/>
        </w:rPr>
      </w:pPr>
    </w:p>
    <w:tbl>
      <w:tblPr>
        <w:tblW w:w="884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60"/>
        <w:gridCol w:w="1300"/>
        <w:gridCol w:w="1300"/>
        <w:gridCol w:w="1300"/>
        <w:gridCol w:w="1300"/>
        <w:gridCol w:w="982"/>
      </w:tblGrid>
      <w:tr w:rsidR="009D3D59" w:rsidRPr="00F64937" w14:paraId="29893EA6" w14:textId="77777777" w:rsidTr="000363A3">
        <w:trPr>
          <w:trHeight w:val="414"/>
        </w:trPr>
        <w:tc>
          <w:tcPr>
            <w:tcW w:w="26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35F456F1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Strain</w:t>
            </w:r>
          </w:p>
        </w:tc>
        <w:tc>
          <w:tcPr>
            <w:tcW w:w="618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hideMark/>
          </w:tcPr>
          <w:p w14:paraId="79B82C52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MIC values (</w:t>
            </w:r>
            <w:proofErr w:type="gramStart"/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µg</w:t>
            </w:r>
            <w:proofErr w:type="gramEnd"/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/mL)</w:t>
            </w:r>
          </w:p>
        </w:tc>
      </w:tr>
      <w:tr w:rsidR="009D3D59" w:rsidRPr="00F64937" w14:paraId="0AE0DAF0" w14:textId="77777777" w:rsidTr="000363A3">
        <w:trPr>
          <w:trHeight w:val="41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353FB3" w14:textId="77777777" w:rsidR="009D3D59" w:rsidRPr="00F64937" w:rsidRDefault="009D3D59" w:rsidP="000363A3">
            <w:pPr>
              <w:widowControl/>
              <w:jc w:val="left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hideMark/>
          </w:tcPr>
          <w:p w14:paraId="42D95DE4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EGCG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hideMark/>
          </w:tcPr>
          <w:p w14:paraId="27F3BF95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GTE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hideMark/>
          </w:tcPr>
          <w:p w14:paraId="4D09831B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TF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hideMark/>
          </w:tcPr>
          <w:p w14:paraId="00F783B2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L-T</w:t>
            </w:r>
          </w:p>
        </w:tc>
        <w:tc>
          <w:tcPr>
            <w:tcW w:w="9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hideMark/>
          </w:tcPr>
          <w:p w14:paraId="3283F1D2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CPC</w:t>
            </w:r>
          </w:p>
        </w:tc>
      </w:tr>
      <w:tr w:rsidR="009D3D59" w:rsidRPr="00F64937" w14:paraId="6832512E" w14:textId="77777777" w:rsidTr="000363A3">
        <w:trPr>
          <w:trHeight w:val="737"/>
        </w:trPr>
        <w:tc>
          <w:tcPr>
            <w:tcW w:w="26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6F3BD967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2"/>
                <w:szCs w:val="22"/>
              </w:rPr>
              <w:t>Porphyromonas gingivalis</w:t>
            </w:r>
            <w:r w:rsidRPr="00F64937">
              <w:rPr>
                <w:rFonts w:ascii="Times New Roman" w:eastAsia="DengXian" w:hAnsi="Times New Roman" w:cs="Times New Roman"/>
                <w:color w:val="000000"/>
                <w:kern w:val="24"/>
                <w:sz w:val="22"/>
                <w:szCs w:val="22"/>
              </w:rPr>
              <w:t xml:space="preserve"> ATCC 33277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66102D0E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625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159D5239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625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4F6809E8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2500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6550E1C5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&gt;10000</w:t>
            </w:r>
          </w:p>
        </w:tc>
        <w:tc>
          <w:tcPr>
            <w:tcW w:w="9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6AF23042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7.81</w:t>
            </w:r>
          </w:p>
        </w:tc>
      </w:tr>
      <w:tr w:rsidR="009D3D59" w:rsidRPr="00F64937" w14:paraId="30EEB126" w14:textId="77777777" w:rsidTr="000363A3">
        <w:trPr>
          <w:trHeight w:val="737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6D613FA1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2"/>
                <w:szCs w:val="22"/>
              </w:rPr>
              <w:t>Fusobacterium nucleatum</w:t>
            </w:r>
            <w:r w:rsidRPr="00F64937">
              <w:rPr>
                <w:rFonts w:ascii="Times New Roman" w:eastAsia="DengXian" w:hAnsi="Times New Roman" w:cs="Times New Roman"/>
                <w:color w:val="000000"/>
                <w:kern w:val="24"/>
                <w:sz w:val="22"/>
                <w:szCs w:val="22"/>
              </w:rPr>
              <w:t xml:space="preserve"> ATCC 10953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46D2EF3C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625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2530B26E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625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5839F370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1250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423CE27C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&gt;10000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34C97DDF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7.81</w:t>
            </w:r>
          </w:p>
        </w:tc>
      </w:tr>
      <w:tr w:rsidR="009D3D59" w:rsidRPr="00F64937" w14:paraId="1D9789A2" w14:textId="77777777" w:rsidTr="000363A3">
        <w:trPr>
          <w:trHeight w:val="737"/>
        </w:trPr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500ED02D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  <w:sz w:val="22"/>
                <w:szCs w:val="22"/>
              </w:rPr>
              <w:t>Prevotella intermedia</w:t>
            </w:r>
            <w:r w:rsidRPr="00F64937">
              <w:rPr>
                <w:rFonts w:ascii="Times New Roman" w:eastAsia="DengXian" w:hAnsi="Times New Roman" w:cs="Times New Roman"/>
                <w:color w:val="000000"/>
                <w:kern w:val="24"/>
                <w:sz w:val="22"/>
                <w:szCs w:val="22"/>
              </w:rPr>
              <w:t xml:space="preserve"> </w:t>
            </w:r>
          </w:p>
          <w:p w14:paraId="6355323A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DengXian" w:hAnsi="Times New Roman" w:cs="Times New Roman"/>
                <w:color w:val="000000"/>
                <w:kern w:val="24"/>
                <w:sz w:val="22"/>
                <w:szCs w:val="22"/>
              </w:rPr>
              <w:t>ATCC 25611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5674B9C7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1250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5707F7E9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5000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67BE7FB5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2500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12362955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&gt;10000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8" w:type="dxa"/>
              <w:left w:w="116" w:type="dxa"/>
              <w:bottom w:w="58" w:type="dxa"/>
              <w:right w:w="116" w:type="dxa"/>
            </w:tcMar>
            <w:vAlign w:val="center"/>
            <w:hideMark/>
          </w:tcPr>
          <w:p w14:paraId="42DC6EE8" w14:textId="77777777" w:rsidR="009D3D59" w:rsidRPr="00F64937" w:rsidRDefault="009D3D59" w:rsidP="000363A3">
            <w:pPr>
              <w:widowControl/>
              <w:jc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F64937">
              <w:rPr>
                <w:rFonts w:ascii="Times New Roman" w:eastAsia="SimSun" w:hAnsi="Times New Roman" w:cs="Times New Roman"/>
                <w:color w:val="000000"/>
                <w:kern w:val="24"/>
                <w:sz w:val="22"/>
                <w:szCs w:val="22"/>
              </w:rPr>
              <w:t>3.91</w:t>
            </w:r>
          </w:p>
        </w:tc>
      </w:tr>
    </w:tbl>
    <w:p w14:paraId="5987CD0A" w14:textId="77777777" w:rsidR="009D3D59" w:rsidRPr="002A6000" w:rsidRDefault="009D3D59" w:rsidP="009D3D59">
      <w:pPr>
        <w:pStyle w:val="NormalWeb"/>
        <w:spacing w:before="0" w:beforeAutospacing="0" w:after="0" w:afterAutospacing="0" w:line="360" w:lineRule="auto"/>
        <w:rPr>
          <w:rFonts w:ascii="Times New Roman" w:eastAsia="DengXian" w:hAnsi="Times New Roman" w:cs="Times New Roman"/>
          <w:color w:val="000000"/>
          <w:kern w:val="24"/>
        </w:rPr>
      </w:pPr>
      <w:r w:rsidRPr="002A6000">
        <w:rPr>
          <w:rFonts w:ascii="Times New Roman" w:eastAsia="DengXian" w:hAnsi="Times New Roman" w:cs="Times New Roman"/>
          <w:b/>
          <w:color w:val="000000"/>
          <w:kern w:val="24"/>
        </w:rPr>
        <w:t>Table 1</w:t>
      </w:r>
      <w:r w:rsidRPr="002A6000">
        <w:rPr>
          <w:rFonts w:ascii="Times New Roman" w:eastAsia="DengXian" w:hAnsi="Times New Roman" w:cs="Times New Roman"/>
          <w:color w:val="000000"/>
          <w:kern w:val="24"/>
        </w:rPr>
        <w:t xml:space="preserve"> Minimal inhibitory concentration (MIC) values of the four tea-derived bioactives against </w:t>
      </w:r>
      <w:r w:rsidRPr="002A6000">
        <w:rPr>
          <w:rFonts w:ascii="Times New Roman" w:eastAsia="DengXian" w:hAnsi="Times New Roman" w:cs="Times New Roman"/>
          <w:i/>
          <w:iCs/>
          <w:color w:val="000000"/>
          <w:kern w:val="24"/>
        </w:rPr>
        <w:t>P. gingivalis</w:t>
      </w:r>
      <w:r w:rsidRPr="002A6000">
        <w:rPr>
          <w:rFonts w:ascii="Times New Roman" w:eastAsia="DengXian" w:hAnsi="Times New Roman" w:cs="Times New Roman"/>
          <w:color w:val="000000"/>
          <w:kern w:val="24"/>
        </w:rPr>
        <w:t xml:space="preserve">, </w:t>
      </w:r>
      <w:r w:rsidRPr="002A6000">
        <w:rPr>
          <w:rFonts w:ascii="Times New Roman" w:eastAsia="DengXian" w:hAnsi="Times New Roman" w:cs="Times New Roman"/>
          <w:i/>
          <w:iCs/>
          <w:color w:val="000000"/>
          <w:kern w:val="24"/>
        </w:rPr>
        <w:t>F. nucleatum</w:t>
      </w:r>
      <w:r w:rsidRPr="002A6000">
        <w:rPr>
          <w:rFonts w:ascii="Times New Roman" w:eastAsia="DengXian" w:hAnsi="Times New Roman" w:cs="Times New Roman"/>
          <w:color w:val="000000"/>
          <w:kern w:val="24"/>
        </w:rPr>
        <w:t xml:space="preserve">, and </w:t>
      </w:r>
      <w:r w:rsidRPr="002A6000">
        <w:rPr>
          <w:rFonts w:ascii="Times New Roman" w:eastAsia="DengXian" w:hAnsi="Times New Roman" w:cs="Times New Roman"/>
          <w:i/>
          <w:iCs/>
          <w:color w:val="000000"/>
          <w:kern w:val="24"/>
        </w:rPr>
        <w:t>P.intermedia</w:t>
      </w:r>
      <w:r w:rsidRPr="002A6000">
        <w:rPr>
          <w:rFonts w:ascii="Times New Roman" w:eastAsia="DengXian" w:hAnsi="Times New Roman" w:cs="Times New Roman"/>
          <w:color w:val="000000"/>
          <w:kern w:val="24"/>
        </w:rPr>
        <w:t>. EGCG: Epigallocatechin gallate; GTE: Green tea extract; TF: Theaflavin; L-T: L-theanine; CPC: Cetylpyridinium chloride.</w:t>
      </w:r>
    </w:p>
    <w:p w14:paraId="49D1D385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tbl>
      <w:tblPr>
        <w:tblW w:w="8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0"/>
        <w:gridCol w:w="1240"/>
        <w:gridCol w:w="1240"/>
        <w:gridCol w:w="1240"/>
        <w:gridCol w:w="1240"/>
        <w:gridCol w:w="1240"/>
        <w:gridCol w:w="1280"/>
      </w:tblGrid>
      <w:tr w:rsidR="009D3D59" w:rsidRPr="00297AF3" w14:paraId="2116ED59" w14:textId="77777777" w:rsidTr="000363A3">
        <w:trPr>
          <w:trHeight w:val="567"/>
        </w:trPr>
        <w:tc>
          <w:tcPr>
            <w:tcW w:w="8720" w:type="dxa"/>
            <w:gridSpan w:val="7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AC7BD2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Relative fold change in virulence gene expression</w:t>
            </w:r>
          </w:p>
        </w:tc>
      </w:tr>
      <w:tr w:rsidR="009D3D59" w:rsidRPr="00297AF3" w14:paraId="6A22578D" w14:textId="77777777" w:rsidTr="000363A3">
        <w:trPr>
          <w:trHeight w:val="567"/>
        </w:trPr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9C42CE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</w:rPr>
              <w:t>Genes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BB99A7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</w:rPr>
              <w:t>62.5ppm EGCG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0253B8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</w:rPr>
              <w:t>125 ppm EGCG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526839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</w:rPr>
              <w:t>75 ppm GTE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753D41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</w:rPr>
              <w:t>125 ppm GTE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BBCBB2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</w:rPr>
              <w:t>833 ppm TF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82206B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</w:rPr>
              <w:t>1666 ppm TF</w:t>
            </w:r>
          </w:p>
        </w:tc>
      </w:tr>
      <w:tr w:rsidR="009D3D59" w:rsidRPr="00297AF3" w14:paraId="7802B97B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859C48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kgp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DB6D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C94AC1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(0.492±0.031)**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DD1E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45845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0.680±0.023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4798D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F3AABF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(0.281±0.078)**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358ECD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EA1564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(0.211±0.091)**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3E93C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43530E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(0.247±0.019)**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8BBEE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D60821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0.546±0.055</w:t>
            </w:r>
          </w:p>
        </w:tc>
      </w:tr>
      <w:tr w:rsidR="009D3D59" w:rsidRPr="00297AF3" w14:paraId="751A58F2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B92A3F7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rgpA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CB5D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A8ED01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(0.489±0.024)**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65A9D9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993AFE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(0.399±0.036)**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3C91C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79173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(0.237±0.066)**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2685C9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7D4764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(0.150±0.070)**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2B88C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28A510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(0.169±0.037)**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3C92C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513992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(0.239±0.021)**</w:t>
            </w:r>
          </w:p>
        </w:tc>
      </w:tr>
      <w:tr w:rsidR="009D3D59" w:rsidRPr="00297AF3" w14:paraId="673F4ACA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D343F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fimA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4B9AD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E3EEF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(0.298±0.010)**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5EA5D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5454F3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(0.372±0.010)**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318BCC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4BBD79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(0.194±0.090)**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1E80C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B0CAEF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(0.118±0.053)**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0975C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6615F4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(0.036±0.006)**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0874C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651764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(0.034±0.007)**</w:t>
            </w:r>
          </w:p>
        </w:tc>
      </w:tr>
      <w:tr w:rsidR="009D3D59" w:rsidRPr="00297AF3" w14:paraId="687E875E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252411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hagA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7DFF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E55D3E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0.783±0.029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1F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36EECA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1.220±0.177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5DA4D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738F00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(0.367±0.103)**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4496D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41E81C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(0.268±0.087)**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5FA5D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7276C8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(0.376±0.040)**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65A8D9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438CD5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(0.398±0.088)**</w:t>
            </w:r>
          </w:p>
        </w:tc>
      </w:tr>
      <w:tr w:rsidR="009D3D59" w:rsidRPr="00297AF3" w14:paraId="6B422248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1BFFA2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hagB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BEDBE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22AC591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0.749±0.050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EA0BB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1.381±0.208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8CBEE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D1371C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0.552±0.207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BB5D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3C2B20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(0.485±0.225)*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60A6D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4F5180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(0.378±0.031)**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6BACD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F68466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(0.423±0.059)**</w:t>
            </w:r>
          </w:p>
        </w:tc>
      </w:tr>
      <w:tr w:rsidR="009D3D59" w:rsidRPr="00297AF3" w14:paraId="13D920AA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2A0D47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hem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CB5D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4C5700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(0.488±0.070)**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5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B27EA8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1.164±0.058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DB6D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B1BCD5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(0.494±0.165)**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5FA5D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A6345B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(0.373±0.154)**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5B1DC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33865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(0.460±0.036)**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5DEF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B668A3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0.773±0.085</w:t>
            </w:r>
          </w:p>
        </w:tc>
      </w:tr>
      <w:tr w:rsidR="009D3D59" w:rsidRPr="00297AF3" w14:paraId="5DCEA266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C6DF85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htrA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8888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79A8E9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(2.880±0.046)**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0D0D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51EA4E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(4.808±0.353)**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DBD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968F3E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(1.575±0.411)*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D6D6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0246B7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(1.644±0.511)*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727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5FCACB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(3.214±0.412)**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303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F3D8BE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(4.261±0.897)**</w:t>
            </w:r>
          </w:p>
        </w:tc>
      </w:tr>
      <w:tr w:rsidR="009D3D59" w:rsidRPr="00297AF3" w14:paraId="2AAFEA5E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3917CB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mgl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9CC7E6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52A070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0.613±0.032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EEE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E1AC6C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1.275±0.244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0D3E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A08CD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0.693±0.178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8EBFE3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48EE1F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0.557±0.046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60A6D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E41492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(0.378±0.024)**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093C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F601CD" w14:textId="77777777" w:rsidR="009D3D59" w:rsidRPr="00297AF3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297AF3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(0.251±0.012)**</w:t>
            </w:r>
          </w:p>
        </w:tc>
      </w:tr>
    </w:tbl>
    <w:p w14:paraId="39BEEA45" w14:textId="77777777" w:rsidR="009D3D59" w:rsidRDefault="009D3D59" w:rsidP="009D3D59">
      <w:pPr>
        <w:spacing w:line="360" w:lineRule="auto"/>
        <w:ind w:firstLineChars="2800" w:firstLine="6720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  <w:r>
        <w:rPr>
          <w:rFonts w:ascii="Times New Roman" w:eastAsia="DengXian" w:hAnsi="Times New Roman" w:cs="Times New Roman"/>
          <w:noProof/>
          <w:color w:val="222222"/>
          <w:kern w:val="24"/>
          <w:sz w:val="24"/>
          <w:szCs w:val="24"/>
        </w:rPr>
        <w:drawing>
          <wp:inline distT="0" distB="0" distL="0" distR="0" wp14:anchorId="0803E512" wp14:editId="187786FC">
            <wp:extent cx="2115185" cy="2863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28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2E35E6" w14:textId="77777777" w:rsidR="009D3D59" w:rsidRPr="005C55B9" w:rsidRDefault="009D3D59" w:rsidP="009D3D5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C55B9">
        <w:rPr>
          <w:rFonts w:ascii="Times New Roman" w:hAnsi="Times New Roman" w:cs="Times New Roman"/>
          <w:b/>
          <w:sz w:val="24"/>
          <w:szCs w:val="24"/>
        </w:rPr>
        <w:t xml:space="preserve">Table 2 </w:t>
      </w:r>
      <w:r w:rsidRPr="005C55B9">
        <w:rPr>
          <w:rFonts w:ascii="Times New Roman" w:hAnsi="Times New Roman" w:cs="Times New Roman"/>
          <w:sz w:val="24"/>
          <w:szCs w:val="24"/>
        </w:rPr>
        <w:t xml:space="preserve">Comparison of the effects of three tea polyphenols on </w:t>
      </w:r>
      <w:r w:rsidRPr="005C55B9">
        <w:rPr>
          <w:rFonts w:ascii="Times New Roman" w:hAnsi="Times New Roman" w:cs="Times New Roman"/>
          <w:i/>
          <w:iCs/>
          <w:sz w:val="24"/>
          <w:szCs w:val="24"/>
        </w:rPr>
        <w:t xml:space="preserve">Porphyromonas gingivalis </w:t>
      </w:r>
      <w:r w:rsidRPr="005C55B9">
        <w:rPr>
          <w:rFonts w:ascii="Times New Roman" w:hAnsi="Times New Roman" w:cs="Times New Roman"/>
          <w:sz w:val="24"/>
          <w:szCs w:val="24"/>
        </w:rPr>
        <w:t>virulence gene expression.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Fold changes in virulence gene expression were determined relative to the control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lastRenderedPageBreak/>
        <w:t>condition through the 2</w:t>
      </w:r>
      <w:r w:rsidRPr="005C55B9">
        <w:rPr>
          <w:rFonts w:ascii="Times New Roman" w:eastAsia="DengXian" w:hAnsi="Times New Roman" w:cs="Times New Roman"/>
          <w:color w:val="222222"/>
          <w:kern w:val="24"/>
          <w:position w:val="8"/>
          <w:sz w:val="24"/>
          <w:szCs w:val="24"/>
          <w:vertAlign w:val="superscript"/>
        </w:rPr>
        <w:t>−ΔΔCt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 method (n = 3). All substrates were dissolved in PBS 0.1% (w/v). Since the maximum value was close to 5, the value of the right endpoint was set to 5 in this experiment. Values between 0 and 1 represent relative downregulation, values &gt; 1 relative upregulation. Statistically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significantly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values relative to the control (PBS) that are &lt; 0.5 (&gt; 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two fold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downregulated) or &gt; 1.5 (&gt; 1.5-fold upregulated) were considered biologically relevant and marked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with ‘*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’ (</w:t>
      </w:r>
      <w:r w:rsidRPr="005C55B9">
        <w:rPr>
          <w:rFonts w:ascii="Times New Roman" w:eastAsia="DengXian" w:hAnsi="Times New Roman" w:cs="Times New Roman"/>
          <w:i/>
          <w:iCs/>
          <w:color w:val="222222"/>
          <w:kern w:val="24"/>
          <w:sz w:val="24"/>
          <w:szCs w:val="24"/>
        </w:rPr>
        <w:t xml:space="preserve">p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&lt; 0.05, t-test)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or ‘*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*’ (</w:t>
      </w:r>
      <w:r w:rsidRPr="005C55B9">
        <w:rPr>
          <w:rFonts w:ascii="Times New Roman" w:eastAsia="DengXian" w:hAnsi="Times New Roman" w:cs="Times New Roman"/>
          <w:i/>
          <w:iCs/>
          <w:color w:val="222222"/>
          <w:kern w:val="24"/>
          <w:sz w:val="24"/>
          <w:szCs w:val="24"/>
        </w:rPr>
        <w:t xml:space="preserve">p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&lt; 0.01, t-test). EGCG: Epigallocatechin gallate; GTE: Green tea extract; TF: Theaflavin.</w:t>
      </w:r>
    </w:p>
    <w:p w14:paraId="43D6BAC8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p w14:paraId="1FC858CF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p w14:paraId="6403C1FB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p w14:paraId="7F35B0A4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p w14:paraId="49C68A73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tbl>
      <w:tblPr>
        <w:tblW w:w="8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0"/>
        <w:gridCol w:w="1240"/>
        <w:gridCol w:w="1240"/>
        <w:gridCol w:w="1240"/>
        <w:gridCol w:w="1240"/>
        <w:gridCol w:w="1240"/>
        <w:gridCol w:w="1280"/>
      </w:tblGrid>
      <w:tr w:rsidR="009D3D59" w:rsidRPr="00663532" w14:paraId="62AF7D2C" w14:textId="77777777" w:rsidTr="000363A3">
        <w:trPr>
          <w:trHeight w:val="567"/>
        </w:trPr>
        <w:tc>
          <w:tcPr>
            <w:tcW w:w="8720" w:type="dxa"/>
            <w:gridSpan w:val="7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BA35D1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Relative fold change in virulence gene expression</w:t>
            </w:r>
          </w:p>
        </w:tc>
      </w:tr>
      <w:tr w:rsidR="009D3D59" w:rsidRPr="00663532" w14:paraId="20D76CBC" w14:textId="77777777" w:rsidTr="000363A3">
        <w:trPr>
          <w:trHeight w:val="567"/>
        </w:trPr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61F08F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Genes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563CD2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62.5ppm EGCG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86817D5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125 ppm EGCG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674006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104 ppm GTE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100F28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208 ppm GTE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22375D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208 ppm TF</w:t>
            </w:r>
          </w:p>
        </w:tc>
        <w:tc>
          <w:tcPr>
            <w:tcW w:w="12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B2CFB8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1666 ppm TF</w:t>
            </w:r>
          </w:p>
        </w:tc>
      </w:tr>
      <w:tr w:rsidR="009D3D59" w:rsidRPr="00663532" w14:paraId="4233A7E6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732632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fadA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5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8CF1A0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1.166±0.237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EB6D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1E8070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(0.495±0.103)**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5CCE8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31FF2A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0.648±0.185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89BDE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16A3C2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0.540±0.056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EE3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9522FA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0.808±0.132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BAD8E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6BBCB7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0.732±0.112</w:t>
            </w:r>
          </w:p>
        </w:tc>
      </w:tr>
      <w:tr w:rsidR="009D3D59" w:rsidRPr="00663532" w14:paraId="48F37FC5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BD0037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aid1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2F2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BE19C5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1.210±0.202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AE1F1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2EF619A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0.793±0.142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6F6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800BEB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1.156±0.277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EFE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55E7F9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1.254±0.191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5F5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B11EBC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1.166±0.206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0F0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F505FC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1.237±0.258</w:t>
            </w:r>
          </w:p>
        </w:tc>
      </w:tr>
      <w:tr w:rsidR="009D3D59" w:rsidRPr="00663532" w14:paraId="5F3AF077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797FB5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fomA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1F7F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025261D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0.946±0.118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2EEF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33D476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0.887±0.092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6AC054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1.008±0.182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4F4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615451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1.173±0.117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D1E5F3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ECA6BB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0.821±0.063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BAD8EE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C51ECB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0.733±0.009</w:t>
            </w:r>
          </w:p>
        </w:tc>
      </w:tr>
      <w:tr w:rsidR="009D3D59" w:rsidRPr="00663532" w14:paraId="5C263199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27F134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transp.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0F0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5D3EEA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(4.779±0.369)**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438DEB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1.000±0.014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ABA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A85453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(2.323±0.622)*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9494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B7D9D4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(2.685±0.514)**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7F7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2C8683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(3.011±0.475)**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4B4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F312A07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(3.832±0.161)**</w:t>
            </w:r>
          </w:p>
        </w:tc>
      </w:tr>
      <w:tr w:rsidR="009D3D59" w:rsidRPr="00663532" w14:paraId="30D14331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49995E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megl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BF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8D7C5E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1.064±0.226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7EB7DF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E91E74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(0.498±0.131)*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6FAFC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422F17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0.968±0.140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EEF5FA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157539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0.935±0.083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CFC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3EECD0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1.058±0.062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8D7ED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0FD0FD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0.722±0.273</w:t>
            </w:r>
          </w:p>
        </w:tc>
      </w:tr>
    </w:tbl>
    <w:p w14:paraId="670B7B00" w14:textId="77777777" w:rsidR="009D3D59" w:rsidRDefault="009D3D59" w:rsidP="009D3D59">
      <w:pPr>
        <w:spacing w:line="360" w:lineRule="auto"/>
        <w:ind w:firstLineChars="2800" w:firstLine="6720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  <w:r>
        <w:rPr>
          <w:rFonts w:ascii="Times New Roman" w:eastAsia="DengXian" w:hAnsi="Times New Roman" w:cs="Times New Roman"/>
          <w:noProof/>
          <w:color w:val="222222"/>
          <w:kern w:val="24"/>
          <w:sz w:val="24"/>
          <w:szCs w:val="24"/>
        </w:rPr>
        <w:drawing>
          <wp:inline distT="0" distB="0" distL="0" distR="0" wp14:anchorId="3C8221CD" wp14:editId="67578E69">
            <wp:extent cx="2115185" cy="2863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28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7AA4CA" w14:textId="77777777" w:rsidR="009D3D59" w:rsidRPr="005C55B9" w:rsidRDefault="009D3D59" w:rsidP="009D3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55B9">
        <w:rPr>
          <w:rFonts w:ascii="Times New Roman" w:hAnsi="Times New Roman" w:cs="Times New Roman"/>
          <w:b/>
          <w:sz w:val="24"/>
          <w:szCs w:val="24"/>
        </w:rPr>
        <w:t>Table 3</w:t>
      </w:r>
      <w:r w:rsidRPr="005C55B9">
        <w:rPr>
          <w:rFonts w:ascii="Times New Roman" w:hAnsi="Times New Roman" w:cs="Times New Roman"/>
          <w:sz w:val="24"/>
          <w:szCs w:val="24"/>
        </w:rPr>
        <w:t xml:space="preserve"> Comparison of the effects of three tea polyphenols on </w:t>
      </w:r>
      <w:r w:rsidRPr="005C55B9">
        <w:rPr>
          <w:rFonts w:ascii="Times New Roman" w:hAnsi="Times New Roman" w:cs="Times New Roman"/>
          <w:i/>
          <w:iCs/>
          <w:sz w:val="24"/>
          <w:szCs w:val="24"/>
        </w:rPr>
        <w:t xml:space="preserve">Fusobacterium nucleatum </w:t>
      </w:r>
      <w:r w:rsidRPr="005C55B9">
        <w:rPr>
          <w:rFonts w:ascii="Times New Roman" w:hAnsi="Times New Roman" w:cs="Times New Roman"/>
          <w:sz w:val="24"/>
          <w:szCs w:val="24"/>
        </w:rPr>
        <w:t xml:space="preserve">virulence gene expression.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Fold changes in virulence gene expression were determined relative to the control condition through the 2</w:t>
      </w:r>
      <w:r w:rsidRPr="005C55B9">
        <w:rPr>
          <w:rFonts w:ascii="Times New Roman" w:eastAsia="DengXian" w:hAnsi="Times New Roman" w:cs="Times New Roman"/>
          <w:color w:val="222222"/>
          <w:kern w:val="24"/>
          <w:position w:val="7"/>
          <w:sz w:val="24"/>
          <w:szCs w:val="24"/>
          <w:vertAlign w:val="superscript"/>
        </w:rPr>
        <w:t>−ΔΔCt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 method (n = 3). All substrates were dissolved in PBS 0.1% (w/v). Since the maximum value was close to 5, the value of the right endpoint was set to 5 in this experiment. Values between 0 and 1 represent relative downregulation, values &gt; 1 relative upregulation. Statistically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significantly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values relative to the control (PBS) that are &lt; 0.5 (&gt; 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two fold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downregulated) or &gt; 1.5 (&gt; 1.5-fold upregulated) were considered biologically relevant and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lastRenderedPageBreak/>
        <w:t xml:space="preserve">marked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with ‘*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’ (</w:t>
      </w:r>
      <w:r w:rsidRPr="005C55B9">
        <w:rPr>
          <w:rFonts w:ascii="Times New Roman" w:eastAsia="DengXian" w:hAnsi="Times New Roman" w:cs="Times New Roman"/>
          <w:i/>
          <w:iCs/>
          <w:color w:val="222222"/>
          <w:kern w:val="24"/>
          <w:sz w:val="24"/>
          <w:szCs w:val="24"/>
        </w:rPr>
        <w:t xml:space="preserve">p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&lt; 0.05, t-test)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or ‘*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*’ (</w:t>
      </w:r>
      <w:r w:rsidRPr="005C55B9">
        <w:rPr>
          <w:rFonts w:ascii="Times New Roman" w:eastAsia="DengXian" w:hAnsi="Times New Roman" w:cs="Times New Roman"/>
          <w:i/>
          <w:iCs/>
          <w:color w:val="222222"/>
          <w:kern w:val="24"/>
          <w:sz w:val="24"/>
          <w:szCs w:val="24"/>
        </w:rPr>
        <w:t xml:space="preserve">p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&lt; 0.01, t-test). EGCG: Epigallocatechin gallate; GTE: Green tea extract; TF: Theaflavin.</w:t>
      </w:r>
    </w:p>
    <w:p w14:paraId="0210A18B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tbl>
      <w:tblPr>
        <w:tblW w:w="87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40"/>
        <w:gridCol w:w="1240"/>
        <w:gridCol w:w="1240"/>
        <w:gridCol w:w="1240"/>
        <w:gridCol w:w="1240"/>
        <w:gridCol w:w="1240"/>
        <w:gridCol w:w="1280"/>
      </w:tblGrid>
      <w:tr w:rsidR="009D3D59" w:rsidRPr="00663532" w14:paraId="74DFBB6E" w14:textId="77777777" w:rsidTr="000363A3">
        <w:trPr>
          <w:trHeight w:val="567"/>
        </w:trPr>
        <w:tc>
          <w:tcPr>
            <w:tcW w:w="8720" w:type="dxa"/>
            <w:gridSpan w:val="7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1201E6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24"/>
                <w:szCs w:val="24"/>
              </w:rPr>
              <w:t>Relative fold change in virulence gene expression</w:t>
            </w:r>
          </w:p>
        </w:tc>
      </w:tr>
      <w:tr w:rsidR="009D3D59" w:rsidRPr="00663532" w14:paraId="13FEFA77" w14:textId="77777777" w:rsidTr="000363A3">
        <w:trPr>
          <w:trHeight w:val="567"/>
        </w:trPr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6266ADD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Genes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DE7C86" w14:textId="77777777" w:rsidR="009D3D59" w:rsidRPr="00663532" w:rsidRDefault="009D3D59" w:rsidP="000363A3">
            <w:pPr>
              <w:widowControl/>
              <w:jc w:val="center"/>
              <w:textAlignment w:val="bottom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312 ppm EGCG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5BEB28" w14:textId="77777777" w:rsidR="009D3D59" w:rsidRPr="00663532" w:rsidRDefault="009D3D59" w:rsidP="000363A3">
            <w:pPr>
              <w:widowControl/>
              <w:jc w:val="center"/>
              <w:textAlignment w:val="bottom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625 ppm EGCG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594C80" w14:textId="77777777" w:rsidR="009D3D59" w:rsidRPr="00663532" w:rsidRDefault="009D3D59" w:rsidP="000363A3">
            <w:pPr>
              <w:widowControl/>
              <w:jc w:val="center"/>
              <w:textAlignment w:val="bottom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1250 ppm GTE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DD8A4B7" w14:textId="77777777" w:rsidR="009D3D59" w:rsidRPr="00663532" w:rsidRDefault="009D3D59" w:rsidP="000363A3">
            <w:pPr>
              <w:widowControl/>
              <w:jc w:val="center"/>
              <w:textAlignment w:val="bottom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2500 ppm GTE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33CEA1" w14:textId="77777777" w:rsidR="009D3D59" w:rsidRPr="00663532" w:rsidRDefault="009D3D59" w:rsidP="000363A3">
            <w:pPr>
              <w:widowControl/>
              <w:jc w:val="center"/>
              <w:textAlignment w:val="bottom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625 ppm TF</w:t>
            </w:r>
          </w:p>
        </w:tc>
        <w:tc>
          <w:tcPr>
            <w:tcW w:w="12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8AE1A3" w14:textId="77777777" w:rsidR="009D3D59" w:rsidRPr="00663532" w:rsidRDefault="009D3D59" w:rsidP="000363A3">
            <w:pPr>
              <w:widowControl/>
              <w:jc w:val="center"/>
              <w:textAlignment w:val="bottom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</w:rPr>
              <w:t>1250 ppm TF</w:t>
            </w:r>
          </w:p>
        </w:tc>
      </w:tr>
      <w:tr w:rsidR="009D3D59" w:rsidRPr="00663532" w14:paraId="19433B1C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DB6F50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ecf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197EC6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4A1FDC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(0.101±0.018)**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4C9AD2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B525EB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(0.299±0.024)**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CFC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7C90E6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1.055±0.065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1C7FC6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CF89F1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(0.110±0.023)**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9B4D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EBB9D9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(0.477±0.092)**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FFF4F4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D455E65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1.177±0.135</w:t>
            </w:r>
          </w:p>
        </w:tc>
      </w:tr>
      <w:tr w:rsidR="009D3D59" w:rsidRPr="00663532" w14:paraId="78652DEF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33F62BC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inpA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E4EFF8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1BB9DA9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0.895±0.022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2B0DC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9C54A8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(0.448±0.053)**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5DA4D7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68790A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(0.366±0.056)**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3990C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F83D76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(0.227±0.020)**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73B0DC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5AC6FC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(0.451±0.073)**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62A7D8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9099B2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(0.386±0.045)**</w:t>
            </w:r>
          </w:p>
        </w:tc>
      </w:tr>
      <w:tr w:rsidR="009D3D59" w:rsidRPr="00663532" w14:paraId="0CF3BAF9" w14:textId="77777777" w:rsidTr="000363A3">
        <w:trPr>
          <w:trHeight w:val="567"/>
        </w:trPr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A015B8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i/>
                <w:iCs/>
                <w:color w:val="000000"/>
                <w:kern w:val="24"/>
              </w:rPr>
              <w:t>groES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2685C9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6E2344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(0.150±0.057)**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BFDFE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4B9F01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0.988±0.166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B6D6ED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01F9ECA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0.716±0.142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197EC6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1B726B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(0.101±0.004)**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6F6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012DD6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1.147±0.148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5F9FC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486911" w14:textId="77777777" w:rsidR="009D3D59" w:rsidRPr="00663532" w:rsidRDefault="009D3D59" w:rsidP="000363A3">
            <w:pPr>
              <w:widowControl/>
              <w:jc w:val="center"/>
              <w:textAlignment w:val="center"/>
              <w:rPr>
                <w:rFonts w:ascii="Arial" w:eastAsia="SimSun" w:hAnsi="Arial" w:cs="Arial"/>
                <w:kern w:val="0"/>
                <w:sz w:val="36"/>
                <w:szCs w:val="36"/>
              </w:rPr>
            </w:pPr>
            <w:r w:rsidRPr="00663532">
              <w:rPr>
                <w:rFonts w:ascii="Times New Roman" w:eastAsia="DengXian" w:hAnsi="Times New Roman" w:cs="Times New Roman"/>
                <w:color w:val="000000"/>
                <w:kern w:val="24"/>
                <w:sz w:val="15"/>
                <w:szCs w:val="15"/>
              </w:rPr>
              <w:t>0.963±0.097</w:t>
            </w:r>
          </w:p>
        </w:tc>
      </w:tr>
    </w:tbl>
    <w:p w14:paraId="7D58976E" w14:textId="77777777" w:rsidR="009D3D59" w:rsidRDefault="009D3D59" w:rsidP="009D3D59">
      <w:pPr>
        <w:spacing w:line="360" w:lineRule="auto"/>
        <w:ind w:firstLineChars="2800" w:firstLine="6720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  <w:r>
        <w:rPr>
          <w:rFonts w:ascii="Times New Roman" w:eastAsia="DengXian" w:hAnsi="Times New Roman" w:cs="Times New Roman"/>
          <w:noProof/>
          <w:color w:val="222222"/>
          <w:kern w:val="24"/>
          <w:sz w:val="24"/>
          <w:szCs w:val="24"/>
        </w:rPr>
        <w:drawing>
          <wp:inline distT="0" distB="0" distL="0" distR="0" wp14:anchorId="24FF434A" wp14:editId="6FC52BFF">
            <wp:extent cx="2115185" cy="2863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28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B640E9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  <w:r w:rsidRPr="005C55B9">
        <w:rPr>
          <w:rFonts w:ascii="Times New Roman" w:hAnsi="Times New Roman" w:cs="Times New Roman"/>
          <w:b/>
          <w:sz w:val="24"/>
          <w:szCs w:val="24"/>
        </w:rPr>
        <w:t xml:space="preserve">Table 4 </w:t>
      </w:r>
      <w:r w:rsidRPr="005C55B9">
        <w:rPr>
          <w:rFonts w:ascii="Times New Roman" w:hAnsi="Times New Roman" w:cs="Times New Roman"/>
          <w:sz w:val="24"/>
          <w:szCs w:val="24"/>
        </w:rPr>
        <w:t xml:space="preserve">Comparison of the effects of three tea polyphenols on </w:t>
      </w:r>
      <w:r w:rsidRPr="005C55B9">
        <w:rPr>
          <w:rFonts w:ascii="Times New Roman" w:hAnsi="Times New Roman" w:cs="Times New Roman"/>
          <w:i/>
          <w:iCs/>
          <w:sz w:val="24"/>
          <w:szCs w:val="24"/>
        </w:rPr>
        <w:t xml:space="preserve">Prevotella intermedia </w:t>
      </w:r>
      <w:r w:rsidRPr="005C55B9">
        <w:rPr>
          <w:rFonts w:ascii="Times New Roman" w:hAnsi="Times New Roman" w:cs="Times New Roman"/>
          <w:sz w:val="24"/>
          <w:szCs w:val="24"/>
        </w:rPr>
        <w:t>virulence gene expression.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Fold changes in virulence gene expression were determined relative to the control condition through the 2</w:t>
      </w:r>
      <w:r w:rsidRPr="005C55B9">
        <w:rPr>
          <w:rFonts w:ascii="Times New Roman" w:eastAsia="DengXian" w:hAnsi="Times New Roman" w:cs="Times New Roman"/>
          <w:color w:val="222222"/>
          <w:kern w:val="24"/>
          <w:position w:val="8"/>
          <w:sz w:val="24"/>
          <w:szCs w:val="24"/>
          <w:vertAlign w:val="superscript"/>
        </w:rPr>
        <w:t>−ΔΔCt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 method (n = 3). All substrates were dissolved in PBS 0.1% (w/v). Since the maximum value was close to 5, the value of the right endpoint was set to 5 in this experiment. Values between 0 and 1 represent relative downregulation, values &gt; 1 relative upregulation. Statistically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significantly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values relative to the control (PBS) that are &lt; 0.5 (&gt; 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two fold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 downregulated) or &gt; 1.5 (&gt; 1.5-fold upregulated) were considered biologically relevant and marked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with ‘*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’ (</w:t>
      </w:r>
      <w:r w:rsidRPr="005C55B9">
        <w:rPr>
          <w:rFonts w:ascii="Times New Roman" w:eastAsia="DengXian" w:hAnsi="Times New Roman" w:cs="Times New Roman"/>
          <w:i/>
          <w:iCs/>
          <w:color w:val="222222"/>
          <w:kern w:val="24"/>
          <w:sz w:val="24"/>
          <w:szCs w:val="24"/>
        </w:rPr>
        <w:t xml:space="preserve">p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 xml:space="preserve">&lt; 0.05, t-test) </w:t>
      </w:r>
      <w:proofErr w:type="gramStart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or ‘*</w:t>
      </w:r>
      <w:proofErr w:type="gramEnd"/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*’ (</w:t>
      </w:r>
      <w:r>
        <w:rPr>
          <w:rFonts w:ascii="Times New Roman" w:eastAsia="DengXian" w:hAnsi="Times New Roman" w:cs="Times New Roman"/>
          <w:i/>
          <w:iCs/>
          <w:color w:val="222222"/>
          <w:kern w:val="24"/>
          <w:sz w:val="24"/>
          <w:szCs w:val="24"/>
        </w:rPr>
        <w:t>p</w:t>
      </w:r>
      <w:r w:rsidRPr="005C55B9">
        <w:rPr>
          <w:rFonts w:ascii="Times New Roman" w:eastAsia="DengXian" w:hAnsi="Times New Roman" w:cs="Times New Roman"/>
          <w:i/>
          <w:iCs/>
          <w:color w:val="222222"/>
          <w:kern w:val="24"/>
          <w:sz w:val="24"/>
          <w:szCs w:val="24"/>
        </w:rPr>
        <w:t xml:space="preserve"> </w:t>
      </w:r>
      <w:r w:rsidRPr="005C55B9"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  <w:t>&lt; 0.01, t-test). EGCG: Epigallocatechin gallate; GTE: Green tea extract; TF: Theaflavin.</w:t>
      </w:r>
    </w:p>
    <w:p w14:paraId="4CE4FE7D" w14:textId="77777777" w:rsidR="009D3D59" w:rsidRDefault="009D3D59" w:rsidP="009D3D59">
      <w:pPr>
        <w:spacing w:line="360" w:lineRule="auto"/>
        <w:rPr>
          <w:rFonts w:ascii="Times New Roman" w:eastAsia="DengXian" w:hAnsi="Times New Roman" w:cs="Times New Roman"/>
          <w:color w:val="222222"/>
          <w:kern w:val="24"/>
          <w:sz w:val="24"/>
          <w:szCs w:val="24"/>
        </w:rPr>
      </w:pPr>
    </w:p>
    <w:p w14:paraId="528D572A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D59"/>
    <w:rsid w:val="00264C10"/>
    <w:rsid w:val="00470242"/>
    <w:rsid w:val="00726E03"/>
    <w:rsid w:val="008C6912"/>
    <w:rsid w:val="009542D6"/>
    <w:rsid w:val="009D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C2FE2"/>
  <w15:chartTrackingRefBased/>
  <w15:docId w15:val="{964C52C2-3F70-4C0F-882C-AF56D195A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D59"/>
    <w:pPr>
      <w:widowControl w:val="0"/>
      <w:spacing w:after="0" w:line="240" w:lineRule="auto"/>
      <w:jc w:val="both"/>
    </w:pPr>
    <w:rPr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3D5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D5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D5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D5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D5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D5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D5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D5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D5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D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D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D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D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D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D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D5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3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D5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3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D59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3D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D59"/>
    <w:pPr>
      <w:widowControl/>
      <w:spacing w:after="160" w:line="278" w:lineRule="auto"/>
      <w:ind w:left="720"/>
      <w:contextualSpacing/>
      <w:jc w:val="left"/>
    </w:pPr>
    <w:rPr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3D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D5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D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D5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D3D5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712</Words>
  <Characters>4062</Characters>
  <Application>Microsoft Office Word</Application>
  <DocSecurity>0</DocSecurity>
  <Lines>33</Lines>
  <Paragraphs>9</Paragraphs>
  <ScaleCrop>false</ScaleCrop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2025-08-11T13:01:00Z</dcterms:created>
  <dcterms:modified xsi:type="dcterms:W3CDTF">2025-08-11T13:02:00Z</dcterms:modified>
</cp:coreProperties>
</file>