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C6AB6" w14:textId="77777777" w:rsidR="00B43CFC" w:rsidRPr="00BC4879" w:rsidRDefault="00B43CFC" w:rsidP="00B43CFC">
      <w:pPr>
        <w:keepNext/>
        <w:keepLines/>
        <w:spacing w:before="360" w:after="80"/>
        <w:jc w:val="center"/>
        <w:outlineLvl w:val="0"/>
        <w:rPr>
          <w:rFonts w:ascii="Aptos Display" w:eastAsia="Times New Roman" w:hAnsi="Aptos Display" w:cs="Times New Roman"/>
          <w:b/>
          <w:color w:val="000000"/>
          <w:sz w:val="28"/>
          <w:szCs w:val="40"/>
          <w14:ligatures w14:val="none"/>
        </w:rPr>
      </w:pPr>
      <w:r w:rsidRPr="00BC4879">
        <w:rPr>
          <w:rFonts w:ascii="Aptos Display" w:eastAsia="Times New Roman" w:hAnsi="Aptos Display" w:cs="Times New Roman"/>
          <w:b/>
          <w:color w:val="000000"/>
          <w:sz w:val="28"/>
          <w:szCs w:val="40"/>
          <w14:ligatures w14:val="none"/>
        </w:rPr>
        <w:t>Supplemental Information</w:t>
      </w:r>
    </w:p>
    <w:p w14:paraId="7256B476" w14:textId="77777777" w:rsidR="00B43CFC" w:rsidRPr="00BC4879" w:rsidRDefault="00B43CFC" w:rsidP="00B43CFC">
      <w:pPr>
        <w:keepNext/>
        <w:keepLines/>
        <w:spacing w:before="360" w:after="80"/>
        <w:jc w:val="center"/>
        <w:outlineLvl w:val="0"/>
        <w:rPr>
          <w:rFonts w:ascii="Aptos Display" w:eastAsia="Times New Roman" w:hAnsi="Aptos Display" w:cs="Times New Roman"/>
          <w:b/>
          <w:color w:val="000000"/>
          <w:sz w:val="28"/>
          <w:szCs w:val="40"/>
          <w14:ligatures w14:val="none"/>
        </w:rPr>
      </w:pPr>
      <w:r w:rsidRPr="00BC4879">
        <w:rPr>
          <w:rFonts w:ascii="Aptos Display" w:eastAsia="Times New Roman" w:hAnsi="Aptos Display" w:cs="Times New Roman"/>
          <w:b/>
          <w:color w:val="000000"/>
          <w:sz w:val="28"/>
          <w:szCs w:val="40"/>
          <w14:ligatures w14:val="none"/>
        </w:rPr>
        <w:t>Base modifications reshape RNA folding landscapes and structure–function relationships in synthetic and natural RNAs</w:t>
      </w:r>
    </w:p>
    <w:p w14:paraId="035605BC"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14:ligatures w14:val="none"/>
        </w:rPr>
        <w:t>Deepak Kumar Yadav</w:t>
      </w:r>
      <w:r w:rsidRPr="00BC4879">
        <w:rPr>
          <w:rFonts w:ascii="Aptos" w:eastAsia="Aptos" w:hAnsi="Aptos" w:cs="Times New Roman"/>
          <w:vertAlign w:val="superscript"/>
          <w14:ligatures w14:val="none"/>
        </w:rPr>
        <w:t>1</w:t>
      </w:r>
      <w:r w:rsidRPr="00BC4879">
        <w:rPr>
          <w:rFonts w:ascii="Aptos" w:eastAsia="Aptos" w:hAnsi="Aptos" w:cs="Times New Roman"/>
          <w14:ligatures w14:val="none"/>
        </w:rPr>
        <w:t>, Haoyun Yang</w:t>
      </w:r>
      <w:r w:rsidRPr="00BC4879">
        <w:rPr>
          <w:rFonts w:ascii="Aptos" w:eastAsia="Aptos" w:hAnsi="Aptos" w:cs="Times New Roman"/>
          <w:vertAlign w:val="superscript"/>
          <w14:ligatures w14:val="none"/>
        </w:rPr>
        <w:t>1</w:t>
      </w:r>
      <w:r w:rsidRPr="00BC4879">
        <w:rPr>
          <w:rFonts w:ascii="Aptos" w:eastAsia="Aptos" w:hAnsi="Aptos" w:cs="Times New Roman"/>
          <w14:ligatures w14:val="none"/>
        </w:rPr>
        <w:t>, Sukyeong Lee</w:t>
      </w:r>
      <w:r w:rsidRPr="00BC4879">
        <w:rPr>
          <w:rFonts w:ascii="Aptos" w:eastAsia="Aptos" w:hAnsi="Aptos" w:cs="Times New Roman"/>
          <w:vertAlign w:val="superscript"/>
          <w14:ligatures w14:val="none"/>
        </w:rPr>
        <w:t>2,3</w:t>
      </w:r>
      <w:r w:rsidRPr="00BC4879">
        <w:rPr>
          <w:rFonts w:ascii="Aptos" w:eastAsia="Aptos" w:hAnsi="Aptos" w:cs="Times New Roman"/>
          <w14:ligatures w14:val="none"/>
        </w:rPr>
        <w:t>, Ewan K.S. McRae</w:t>
      </w:r>
      <w:r w:rsidRPr="00BC4879">
        <w:rPr>
          <w:rFonts w:ascii="Aptos" w:eastAsia="Aptos" w:hAnsi="Aptos" w:cs="Times New Roman"/>
          <w:vertAlign w:val="superscript"/>
          <w14:ligatures w14:val="none"/>
        </w:rPr>
        <w:t>1,4</w:t>
      </w:r>
      <w:r w:rsidRPr="00BC4879">
        <w:rPr>
          <w:rFonts w:ascii="Aptos" w:eastAsia="Aptos" w:hAnsi="Aptos" w:cs="Times New Roman"/>
          <w14:ligatures w14:val="none"/>
        </w:rPr>
        <w:t>*</w:t>
      </w:r>
    </w:p>
    <w:p w14:paraId="1626C24F"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vertAlign w:val="superscript"/>
          <w14:ligatures w14:val="none"/>
        </w:rPr>
        <w:t>1</w:t>
      </w:r>
      <w:r w:rsidRPr="00BC4879">
        <w:rPr>
          <w:rFonts w:ascii="Aptos" w:eastAsia="Aptos" w:hAnsi="Aptos" w:cs="Times New Roman"/>
          <w14:ligatures w14:val="none"/>
        </w:rPr>
        <w:t>Houston Methodist Research Institute (HMRI), Houston, Texas, USA</w:t>
      </w:r>
    </w:p>
    <w:p w14:paraId="67F90F56"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vertAlign w:val="superscript"/>
          <w14:ligatures w14:val="none"/>
        </w:rPr>
        <w:t xml:space="preserve"> 2</w:t>
      </w:r>
      <w:r w:rsidRPr="00BC4879">
        <w:rPr>
          <w:rFonts w:ascii="Aptos" w:eastAsia="Aptos" w:hAnsi="Aptos" w:cs="Times New Roman"/>
          <w14:ligatures w14:val="none"/>
        </w:rPr>
        <w:t xml:space="preserve"> Verna and Marrs McLean Department of Biochemistry and Molecular Pharmacology, Baylor College of Medicine, Houston, TX, USA </w:t>
      </w:r>
    </w:p>
    <w:p w14:paraId="58CE50C0"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vertAlign w:val="superscript"/>
          <w14:ligatures w14:val="none"/>
        </w:rPr>
        <w:t>3</w:t>
      </w:r>
      <w:r w:rsidRPr="00BC4879">
        <w:rPr>
          <w:rFonts w:ascii="Aptos" w:eastAsia="Aptos" w:hAnsi="Aptos" w:cs="Times New Roman"/>
          <w14:ligatures w14:val="none"/>
        </w:rPr>
        <w:t xml:space="preserve"> Advanced Technology Core for Macromolecular X-ray Crystallography, Baylor College of Medicine, Houston, TX, US</w:t>
      </w:r>
    </w:p>
    <w:p w14:paraId="7DFCAEE9"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vertAlign w:val="superscript"/>
          <w14:ligatures w14:val="none"/>
        </w:rPr>
        <w:t>4</w:t>
      </w:r>
      <w:r w:rsidRPr="00BC4879">
        <w:rPr>
          <w:rFonts w:ascii="Aptos" w:eastAsia="Aptos" w:hAnsi="Aptos" w:cs="Times New Roman"/>
          <w14:ligatures w14:val="none"/>
        </w:rPr>
        <w:t xml:space="preserve"> Department of Biochemistry in Medicine, Weill Cornell Medical College, Cornell University</w:t>
      </w:r>
    </w:p>
    <w:p w14:paraId="61CF26B1" w14:textId="77777777" w:rsidR="00B43CFC" w:rsidRPr="00BC4879" w:rsidRDefault="00B43CFC" w:rsidP="00B43CFC">
      <w:pPr>
        <w:rPr>
          <w:rFonts w:ascii="Aptos" w:eastAsia="Aptos" w:hAnsi="Aptos" w:cs="Times New Roman"/>
          <w14:ligatures w14:val="none"/>
        </w:rPr>
      </w:pPr>
      <w:r w:rsidRPr="00BC4879">
        <w:rPr>
          <w:rFonts w:ascii="Aptos" w:eastAsia="Aptos" w:hAnsi="Aptos" w:cs="Times New Roman"/>
          <w14:ligatures w14:val="none"/>
        </w:rPr>
        <w:t xml:space="preserve">*Corresponding author: Ewan K.S. McRae, Email: </w:t>
      </w:r>
      <w:hyperlink r:id="rId4" w:history="1">
        <w:r w:rsidRPr="00BC4879">
          <w:rPr>
            <w:rFonts w:ascii="Aptos" w:eastAsia="Aptos" w:hAnsi="Aptos" w:cs="Times New Roman"/>
            <w:color w:val="467886"/>
            <w:u w:val="single"/>
            <w14:ligatures w14:val="none"/>
          </w:rPr>
          <w:t>ekmcrae@houstonmethodist.org</w:t>
        </w:r>
      </w:hyperlink>
    </w:p>
    <w:p w14:paraId="630C2C7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kern w:val="0"/>
          <w:sz w:val="24"/>
          <w:szCs w:val="24"/>
          <w:bdr w:val="nil"/>
          <w:lang w:eastAsia="ja-JP"/>
          <w14:ligatures w14:val="none"/>
        </w:rPr>
      </w:pPr>
      <w:r w:rsidRPr="00BC4879">
        <w:rPr>
          <w:rFonts w:ascii="Times New Roman" w:eastAsia="Calibri" w:hAnsi="Times New Roman" w:cs="Times New Roman"/>
          <w:b/>
          <w:kern w:val="0"/>
          <w:sz w:val="24"/>
          <w:szCs w:val="24"/>
          <w:bdr w:val="nil"/>
          <w:lang w:eastAsia="ja-JP"/>
          <w14:ligatures w14:val="none"/>
        </w:rPr>
        <w:br w:type="page"/>
      </w:r>
    </w:p>
    <w:p w14:paraId="6513AF9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kern w:val="0"/>
          <w:sz w:val="24"/>
          <w:szCs w:val="24"/>
          <w:bdr w:val="nil"/>
          <w:lang w:eastAsia="ja-JP"/>
          <w14:ligatures w14:val="none"/>
        </w:rPr>
      </w:pPr>
      <w:r w:rsidRPr="00BC4879">
        <w:rPr>
          <w:rFonts w:ascii="Times New Roman" w:eastAsia="Calibri" w:hAnsi="Times New Roman" w:cs="Times New Roman"/>
          <w:b/>
          <w:kern w:val="0"/>
          <w:sz w:val="24"/>
          <w:szCs w:val="24"/>
          <w:bdr w:val="nil"/>
          <w:lang w:eastAsia="ja-JP"/>
          <w14:ligatures w14:val="none"/>
        </w:rPr>
        <w:lastRenderedPageBreak/>
        <w:t>Cryo-EM data collection, refinement and validation statistics</w:t>
      </w:r>
    </w:p>
    <w:p w14:paraId="3F44418C"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tbl>
      <w:tblPr>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1755"/>
        <w:gridCol w:w="1186"/>
        <w:gridCol w:w="1075"/>
        <w:gridCol w:w="983"/>
        <w:gridCol w:w="866"/>
        <w:gridCol w:w="800"/>
        <w:gridCol w:w="800"/>
        <w:gridCol w:w="530"/>
        <w:gridCol w:w="336"/>
        <w:gridCol w:w="525"/>
      </w:tblGrid>
      <w:tr w:rsidR="00B43CFC" w:rsidRPr="00BC4879" w14:paraId="1771E64C" w14:textId="77777777" w:rsidTr="0056132E">
        <w:trPr>
          <w:gridAfter w:val="1"/>
          <w:wAfter w:w="525" w:type="dxa"/>
        </w:trPr>
        <w:tc>
          <w:tcPr>
            <w:tcW w:w="1755" w:type="dxa"/>
            <w:tcBorders>
              <w:bottom w:val="single" w:sz="6" w:space="0" w:color="008000"/>
            </w:tcBorders>
          </w:tcPr>
          <w:p w14:paraId="38935DD8"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1186" w:type="dxa"/>
            <w:tcBorders>
              <w:bottom w:val="single" w:sz="6" w:space="0" w:color="008000"/>
            </w:tcBorders>
          </w:tcPr>
          <w:p w14:paraId="0883F3F9"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5mC-6HBC-monomer</w:t>
            </w:r>
          </w:p>
          <w:p w14:paraId="49335C64"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(EMD-70035)</w:t>
            </w:r>
          </w:p>
          <w:p w14:paraId="526C465D"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1075" w:type="dxa"/>
            <w:tcBorders>
              <w:bottom w:val="single" w:sz="6" w:space="0" w:color="008000"/>
            </w:tcBorders>
          </w:tcPr>
          <w:p w14:paraId="1ED4360E"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5mC-6HBC-T1-dimer</w:t>
            </w:r>
          </w:p>
          <w:p w14:paraId="4E2A6983"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(EMD-70036)</w:t>
            </w:r>
          </w:p>
          <w:p w14:paraId="4C1EA9CB"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983" w:type="dxa"/>
            <w:tcBorders>
              <w:bottom w:val="single" w:sz="6" w:space="0" w:color="008000"/>
            </w:tcBorders>
          </w:tcPr>
          <w:p w14:paraId="4F64BD77"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5mC-TC-6HBC-monomer (EMD-70037)</w:t>
            </w:r>
          </w:p>
        </w:tc>
        <w:tc>
          <w:tcPr>
            <w:tcW w:w="866" w:type="dxa"/>
            <w:tcBorders>
              <w:bottom w:val="single" w:sz="6" w:space="0" w:color="008000"/>
            </w:tcBorders>
          </w:tcPr>
          <w:p w14:paraId="66C56D92"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5mC-TC-6HBC-T2-dimer (EMD-70038)</w:t>
            </w:r>
          </w:p>
        </w:tc>
        <w:tc>
          <w:tcPr>
            <w:tcW w:w="800" w:type="dxa"/>
            <w:tcBorders>
              <w:bottom w:val="single" w:sz="6" w:space="0" w:color="008000"/>
            </w:tcBorders>
          </w:tcPr>
          <w:p w14:paraId="3F097718"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N1Ψ -TC-6HBC-T1-dimer (EMD-70039)</w:t>
            </w:r>
          </w:p>
        </w:tc>
        <w:tc>
          <w:tcPr>
            <w:tcW w:w="800" w:type="dxa"/>
            <w:tcBorders>
              <w:bottom w:val="single" w:sz="6" w:space="0" w:color="008000"/>
            </w:tcBorders>
          </w:tcPr>
          <w:p w14:paraId="692AB3A0"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N1Ψ -TC-6HBC-T2-dimer (EMD-70040)</w:t>
            </w:r>
          </w:p>
        </w:tc>
        <w:tc>
          <w:tcPr>
            <w:tcW w:w="866" w:type="dxa"/>
            <w:gridSpan w:val="2"/>
            <w:tcBorders>
              <w:bottom w:val="single" w:sz="6" w:space="0" w:color="008000"/>
            </w:tcBorders>
          </w:tcPr>
          <w:p w14:paraId="2639EE26"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5mC-TR (EMD-70041)</w:t>
            </w:r>
          </w:p>
        </w:tc>
      </w:tr>
      <w:tr w:rsidR="00B43CFC" w:rsidRPr="00BC4879" w14:paraId="3C3A7097" w14:textId="77777777" w:rsidTr="0056132E">
        <w:trPr>
          <w:gridAfter w:val="1"/>
          <w:wAfter w:w="525" w:type="dxa"/>
        </w:trPr>
        <w:tc>
          <w:tcPr>
            <w:tcW w:w="1755" w:type="dxa"/>
            <w:tcBorders>
              <w:top w:val="single" w:sz="6" w:space="0" w:color="008000"/>
            </w:tcBorders>
          </w:tcPr>
          <w:p w14:paraId="079CB7D2"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b/>
                <w:bCs/>
                <w:kern w:val="0"/>
                <w:sz w:val="20"/>
                <w:szCs w:val="20"/>
                <w:bdr w:val="nil"/>
                <w:lang w:eastAsia="ja-JP"/>
                <w14:ligatures w14:val="none"/>
              </w:rPr>
            </w:pPr>
            <w:r w:rsidRPr="00BC4879">
              <w:rPr>
                <w:rFonts w:ascii="Times New Roman" w:eastAsia="Calibri" w:hAnsi="Times New Roman" w:cs="Times New Roman"/>
                <w:b/>
                <w:bCs/>
                <w:kern w:val="0"/>
                <w:sz w:val="20"/>
                <w:szCs w:val="20"/>
                <w:bdr w:val="nil"/>
                <w:lang w:eastAsia="ja-JP"/>
                <w14:ligatures w14:val="none"/>
              </w:rPr>
              <w:t>Data collection and processing</w:t>
            </w:r>
          </w:p>
        </w:tc>
        <w:tc>
          <w:tcPr>
            <w:tcW w:w="1186" w:type="dxa"/>
            <w:tcBorders>
              <w:top w:val="single" w:sz="6" w:space="0" w:color="008000"/>
            </w:tcBorders>
          </w:tcPr>
          <w:p w14:paraId="2244AE56"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1075" w:type="dxa"/>
            <w:tcBorders>
              <w:top w:val="single" w:sz="6" w:space="0" w:color="008000"/>
            </w:tcBorders>
          </w:tcPr>
          <w:p w14:paraId="3FE0D1D0"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983" w:type="dxa"/>
            <w:tcBorders>
              <w:top w:val="single" w:sz="6" w:space="0" w:color="008000"/>
            </w:tcBorders>
          </w:tcPr>
          <w:p w14:paraId="2EDDF7B9"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66" w:type="dxa"/>
            <w:tcBorders>
              <w:top w:val="single" w:sz="6" w:space="0" w:color="008000"/>
            </w:tcBorders>
          </w:tcPr>
          <w:p w14:paraId="147541E9"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00" w:type="dxa"/>
            <w:tcBorders>
              <w:top w:val="single" w:sz="6" w:space="0" w:color="008000"/>
            </w:tcBorders>
          </w:tcPr>
          <w:p w14:paraId="716E48FB"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00" w:type="dxa"/>
            <w:tcBorders>
              <w:top w:val="single" w:sz="6" w:space="0" w:color="008000"/>
            </w:tcBorders>
          </w:tcPr>
          <w:p w14:paraId="2EF2AE02"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66" w:type="dxa"/>
            <w:gridSpan w:val="2"/>
            <w:tcBorders>
              <w:top w:val="single" w:sz="6" w:space="0" w:color="008000"/>
            </w:tcBorders>
          </w:tcPr>
          <w:p w14:paraId="2F0A6110"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r>
      <w:tr w:rsidR="00B43CFC" w:rsidRPr="00BC4879" w14:paraId="335AB238" w14:textId="77777777" w:rsidTr="0056132E">
        <w:tc>
          <w:tcPr>
            <w:tcW w:w="1755" w:type="dxa"/>
          </w:tcPr>
          <w:p w14:paraId="28FE192A"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 xml:space="preserve">Magnification   </w:t>
            </w:r>
          </w:p>
        </w:tc>
        <w:tc>
          <w:tcPr>
            <w:tcW w:w="7101" w:type="dxa"/>
            <w:gridSpan w:val="9"/>
          </w:tcPr>
          <w:p w14:paraId="37181E99"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130,000</w:t>
            </w:r>
          </w:p>
        </w:tc>
      </w:tr>
      <w:tr w:rsidR="00B43CFC" w:rsidRPr="00BC4879" w14:paraId="01870BB1" w14:textId="77777777" w:rsidTr="0056132E">
        <w:trPr>
          <w:trHeight w:val="22"/>
        </w:trPr>
        <w:tc>
          <w:tcPr>
            <w:tcW w:w="1755" w:type="dxa"/>
          </w:tcPr>
          <w:p w14:paraId="3973D1A1"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Voltage (kV)</w:t>
            </w:r>
          </w:p>
        </w:tc>
        <w:tc>
          <w:tcPr>
            <w:tcW w:w="7101" w:type="dxa"/>
            <w:gridSpan w:val="9"/>
          </w:tcPr>
          <w:p w14:paraId="2B3DEBAD"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200</w:t>
            </w:r>
          </w:p>
        </w:tc>
      </w:tr>
      <w:tr w:rsidR="00B43CFC" w:rsidRPr="00BC4879" w14:paraId="4AE1CD2E" w14:textId="77777777" w:rsidTr="0056132E">
        <w:trPr>
          <w:trHeight w:val="22"/>
        </w:trPr>
        <w:tc>
          <w:tcPr>
            <w:tcW w:w="1755" w:type="dxa"/>
          </w:tcPr>
          <w:p w14:paraId="34D82F7D"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bCs/>
                <w:iCs/>
                <w:kern w:val="0"/>
                <w:sz w:val="20"/>
                <w:szCs w:val="20"/>
                <w:bdr w:val="nil"/>
                <w:lang w:eastAsia="ja-JP"/>
                <w14:ligatures w14:val="none"/>
              </w:rPr>
              <w:t>Electron exposure (e–/Å</w:t>
            </w:r>
            <w:r w:rsidRPr="00BC4879">
              <w:rPr>
                <w:rFonts w:ascii="Times New Roman" w:eastAsia="Calibri" w:hAnsi="Times New Roman" w:cs="Times New Roman"/>
                <w:bCs/>
                <w:iCs/>
                <w:kern w:val="0"/>
                <w:sz w:val="20"/>
                <w:szCs w:val="20"/>
                <w:bdr w:val="nil"/>
                <w:vertAlign w:val="superscript"/>
                <w:lang w:eastAsia="ja-JP"/>
                <w14:ligatures w14:val="none"/>
              </w:rPr>
              <w:t>2</w:t>
            </w:r>
            <w:r w:rsidRPr="00BC4879">
              <w:rPr>
                <w:rFonts w:ascii="Times New Roman" w:eastAsia="Calibri" w:hAnsi="Times New Roman" w:cs="Times New Roman"/>
                <w:bCs/>
                <w:iCs/>
                <w:kern w:val="0"/>
                <w:sz w:val="20"/>
                <w:szCs w:val="20"/>
                <w:bdr w:val="nil"/>
                <w:lang w:eastAsia="ja-JP"/>
                <w14:ligatures w14:val="none"/>
              </w:rPr>
              <w:t>)</w:t>
            </w:r>
          </w:p>
        </w:tc>
        <w:tc>
          <w:tcPr>
            <w:tcW w:w="7101" w:type="dxa"/>
            <w:gridSpan w:val="9"/>
          </w:tcPr>
          <w:p w14:paraId="64A28C00"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40</w:t>
            </w:r>
          </w:p>
        </w:tc>
      </w:tr>
      <w:tr w:rsidR="00B43CFC" w:rsidRPr="00BC4879" w14:paraId="11598CE9" w14:textId="77777777" w:rsidTr="0056132E">
        <w:trPr>
          <w:trHeight w:val="22"/>
        </w:trPr>
        <w:tc>
          <w:tcPr>
            <w:tcW w:w="1755" w:type="dxa"/>
          </w:tcPr>
          <w:p w14:paraId="53893287"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Defocus range (μm)</w:t>
            </w:r>
          </w:p>
        </w:tc>
        <w:tc>
          <w:tcPr>
            <w:tcW w:w="7101" w:type="dxa"/>
            <w:gridSpan w:val="9"/>
          </w:tcPr>
          <w:p w14:paraId="5164568F"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-0.7 to -2</w:t>
            </w:r>
          </w:p>
        </w:tc>
      </w:tr>
      <w:tr w:rsidR="00B43CFC" w:rsidRPr="00BC4879" w14:paraId="14426BD0" w14:textId="77777777" w:rsidTr="0056132E">
        <w:trPr>
          <w:trHeight w:val="22"/>
        </w:trPr>
        <w:tc>
          <w:tcPr>
            <w:tcW w:w="1755" w:type="dxa"/>
          </w:tcPr>
          <w:p w14:paraId="337F7BC5"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Pixel size (Å)</w:t>
            </w:r>
          </w:p>
        </w:tc>
        <w:tc>
          <w:tcPr>
            <w:tcW w:w="7101" w:type="dxa"/>
            <w:gridSpan w:val="9"/>
          </w:tcPr>
          <w:p w14:paraId="3CBC0617"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0.92</w:t>
            </w:r>
          </w:p>
        </w:tc>
      </w:tr>
      <w:tr w:rsidR="00B43CFC" w:rsidRPr="00BC4879" w14:paraId="62BDBED1" w14:textId="77777777" w:rsidTr="0056132E">
        <w:trPr>
          <w:gridAfter w:val="1"/>
          <w:wAfter w:w="525" w:type="dxa"/>
          <w:trHeight w:val="22"/>
        </w:trPr>
        <w:tc>
          <w:tcPr>
            <w:tcW w:w="1755" w:type="dxa"/>
          </w:tcPr>
          <w:p w14:paraId="532EBAAA"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Symmetry imposed</w:t>
            </w:r>
          </w:p>
        </w:tc>
        <w:tc>
          <w:tcPr>
            <w:tcW w:w="1186" w:type="dxa"/>
          </w:tcPr>
          <w:p w14:paraId="42BBFD20"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C1</w:t>
            </w:r>
          </w:p>
        </w:tc>
        <w:tc>
          <w:tcPr>
            <w:tcW w:w="1075" w:type="dxa"/>
          </w:tcPr>
          <w:p w14:paraId="40EA87A5"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C1</w:t>
            </w:r>
          </w:p>
        </w:tc>
        <w:tc>
          <w:tcPr>
            <w:tcW w:w="983" w:type="dxa"/>
          </w:tcPr>
          <w:p w14:paraId="0062A8AD"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C1</w:t>
            </w:r>
          </w:p>
        </w:tc>
        <w:tc>
          <w:tcPr>
            <w:tcW w:w="866" w:type="dxa"/>
          </w:tcPr>
          <w:p w14:paraId="63ED9F41"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C1</w:t>
            </w:r>
          </w:p>
        </w:tc>
        <w:tc>
          <w:tcPr>
            <w:tcW w:w="800" w:type="dxa"/>
          </w:tcPr>
          <w:p w14:paraId="2E03797A"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C2</w:t>
            </w:r>
          </w:p>
        </w:tc>
        <w:tc>
          <w:tcPr>
            <w:tcW w:w="800" w:type="dxa"/>
          </w:tcPr>
          <w:p w14:paraId="5657FEA8"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C2</w:t>
            </w:r>
          </w:p>
        </w:tc>
        <w:tc>
          <w:tcPr>
            <w:tcW w:w="866" w:type="dxa"/>
            <w:gridSpan w:val="2"/>
          </w:tcPr>
          <w:p w14:paraId="08D15BDC"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C1</w:t>
            </w:r>
          </w:p>
        </w:tc>
      </w:tr>
      <w:tr w:rsidR="00B43CFC" w:rsidRPr="00BC4879" w14:paraId="55A2CC3C" w14:textId="77777777" w:rsidTr="0056132E">
        <w:trPr>
          <w:gridAfter w:val="1"/>
          <w:wAfter w:w="525" w:type="dxa"/>
          <w:trHeight w:val="22"/>
        </w:trPr>
        <w:tc>
          <w:tcPr>
            <w:tcW w:w="1755" w:type="dxa"/>
          </w:tcPr>
          <w:p w14:paraId="244E4519"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Initial particle images (no.)</w:t>
            </w:r>
          </w:p>
        </w:tc>
        <w:tc>
          <w:tcPr>
            <w:tcW w:w="2261" w:type="dxa"/>
            <w:gridSpan w:val="2"/>
          </w:tcPr>
          <w:p w14:paraId="69BD9C82"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17,826</w:t>
            </w:r>
          </w:p>
        </w:tc>
        <w:tc>
          <w:tcPr>
            <w:tcW w:w="983" w:type="dxa"/>
          </w:tcPr>
          <w:p w14:paraId="2A2A0B8F"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144,174</w:t>
            </w:r>
          </w:p>
        </w:tc>
        <w:tc>
          <w:tcPr>
            <w:tcW w:w="866" w:type="dxa"/>
          </w:tcPr>
          <w:p w14:paraId="2A0A28BE"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73,602</w:t>
            </w:r>
          </w:p>
        </w:tc>
        <w:tc>
          <w:tcPr>
            <w:tcW w:w="1600" w:type="dxa"/>
            <w:gridSpan w:val="2"/>
          </w:tcPr>
          <w:p w14:paraId="62C9D8EA"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59,647</w:t>
            </w:r>
          </w:p>
        </w:tc>
        <w:tc>
          <w:tcPr>
            <w:tcW w:w="866" w:type="dxa"/>
            <w:gridSpan w:val="2"/>
          </w:tcPr>
          <w:p w14:paraId="74936551"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599,317</w:t>
            </w:r>
          </w:p>
        </w:tc>
      </w:tr>
      <w:tr w:rsidR="00B43CFC" w:rsidRPr="00BC4879" w14:paraId="6C88C7FA" w14:textId="77777777" w:rsidTr="0056132E">
        <w:trPr>
          <w:gridAfter w:val="1"/>
          <w:wAfter w:w="525" w:type="dxa"/>
          <w:trHeight w:val="22"/>
        </w:trPr>
        <w:tc>
          <w:tcPr>
            <w:tcW w:w="1755" w:type="dxa"/>
          </w:tcPr>
          <w:p w14:paraId="618204B8"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Final  particle images (no.)</w:t>
            </w:r>
          </w:p>
        </w:tc>
        <w:tc>
          <w:tcPr>
            <w:tcW w:w="1186" w:type="dxa"/>
          </w:tcPr>
          <w:p w14:paraId="53FBE866"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7648</w:t>
            </w:r>
          </w:p>
        </w:tc>
        <w:tc>
          <w:tcPr>
            <w:tcW w:w="1075" w:type="dxa"/>
          </w:tcPr>
          <w:p w14:paraId="020F7DEE"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2616</w:t>
            </w:r>
          </w:p>
        </w:tc>
        <w:tc>
          <w:tcPr>
            <w:tcW w:w="983" w:type="dxa"/>
          </w:tcPr>
          <w:p w14:paraId="275EC404"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19,578</w:t>
            </w:r>
          </w:p>
        </w:tc>
        <w:tc>
          <w:tcPr>
            <w:tcW w:w="866" w:type="dxa"/>
          </w:tcPr>
          <w:p w14:paraId="79929BE7"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11,203</w:t>
            </w:r>
          </w:p>
        </w:tc>
        <w:tc>
          <w:tcPr>
            <w:tcW w:w="800" w:type="dxa"/>
          </w:tcPr>
          <w:p w14:paraId="0873E495"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5,359</w:t>
            </w:r>
          </w:p>
        </w:tc>
        <w:tc>
          <w:tcPr>
            <w:tcW w:w="800" w:type="dxa"/>
          </w:tcPr>
          <w:p w14:paraId="6114DEC0"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8,333</w:t>
            </w:r>
          </w:p>
        </w:tc>
        <w:tc>
          <w:tcPr>
            <w:tcW w:w="866" w:type="dxa"/>
            <w:gridSpan w:val="2"/>
          </w:tcPr>
          <w:p w14:paraId="78B2558C"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233,268</w:t>
            </w:r>
          </w:p>
        </w:tc>
      </w:tr>
      <w:tr w:rsidR="00B43CFC" w:rsidRPr="00BC4879" w14:paraId="5FBFC11E" w14:textId="77777777" w:rsidTr="0056132E">
        <w:trPr>
          <w:gridAfter w:val="1"/>
          <w:wAfter w:w="525" w:type="dxa"/>
          <w:trHeight w:val="22"/>
        </w:trPr>
        <w:tc>
          <w:tcPr>
            <w:tcW w:w="1755" w:type="dxa"/>
          </w:tcPr>
          <w:p w14:paraId="566CC638"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Map resolution (Å)</w:t>
            </w:r>
          </w:p>
          <w:p w14:paraId="25FD2AB0"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 xml:space="preserve">    FSC threshold</w:t>
            </w:r>
          </w:p>
        </w:tc>
        <w:tc>
          <w:tcPr>
            <w:tcW w:w="1186" w:type="dxa"/>
          </w:tcPr>
          <w:p w14:paraId="7C5B5B54"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7.9</w:t>
            </w:r>
          </w:p>
        </w:tc>
        <w:tc>
          <w:tcPr>
            <w:tcW w:w="1075" w:type="dxa"/>
          </w:tcPr>
          <w:p w14:paraId="57CBAAF6"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11.8 (0.143)</w:t>
            </w:r>
          </w:p>
        </w:tc>
        <w:tc>
          <w:tcPr>
            <w:tcW w:w="983" w:type="dxa"/>
          </w:tcPr>
          <w:p w14:paraId="3B6A8C8A"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8.0 (0.143)</w:t>
            </w:r>
          </w:p>
        </w:tc>
        <w:tc>
          <w:tcPr>
            <w:tcW w:w="866" w:type="dxa"/>
          </w:tcPr>
          <w:p w14:paraId="019E5690"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11.3 (0.143)</w:t>
            </w:r>
          </w:p>
        </w:tc>
        <w:tc>
          <w:tcPr>
            <w:tcW w:w="800" w:type="dxa"/>
          </w:tcPr>
          <w:p w14:paraId="326B9048"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11.4 (0.143)</w:t>
            </w:r>
          </w:p>
        </w:tc>
        <w:tc>
          <w:tcPr>
            <w:tcW w:w="800" w:type="dxa"/>
          </w:tcPr>
          <w:p w14:paraId="638AD5F3"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12 (0.143)</w:t>
            </w:r>
          </w:p>
        </w:tc>
        <w:tc>
          <w:tcPr>
            <w:tcW w:w="866" w:type="dxa"/>
            <w:gridSpan w:val="2"/>
          </w:tcPr>
          <w:p w14:paraId="603EAEAB"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4.9 (0.143)</w:t>
            </w:r>
          </w:p>
        </w:tc>
      </w:tr>
      <w:tr w:rsidR="00B43CFC" w:rsidRPr="00BC4879" w14:paraId="20E138AA" w14:textId="77777777" w:rsidTr="0056132E">
        <w:trPr>
          <w:gridAfter w:val="1"/>
          <w:wAfter w:w="525" w:type="dxa"/>
          <w:trHeight w:val="22"/>
        </w:trPr>
        <w:tc>
          <w:tcPr>
            <w:tcW w:w="1755" w:type="dxa"/>
          </w:tcPr>
          <w:p w14:paraId="5A60846C"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Map resolution range (Å)</w:t>
            </w:r>
          </w:p>
        </w:tc>
        <w:tc>
          <w:tcPr>
            <w:tcW w:w="1186" w:type="dxa"/>
          </w:tcPr>
          <w:p w14:paraId="43C50BFC"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6.9-10</w:t>
            </w:r>
          </w:p>
        </w:tc>
        <w:tc>
          <w:tcPr>
            <w:tcW w:w="1075" w:type="dxa"/>
          </w:tcPr>
          <w:p w14:paraId="796999D6"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10.2-14.8</w:t>
            </w:r>
          </w:p>
        </w:tc>
        <w:tc>
          <w:tcPr>
            <w:tcW w:w="983" w:type="dxa"/>
          </w:tcPr>
          <w:p w14:paraId="633F9808"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6.8-10.2</w:t>
            </w:r>
          </w:p>
        </w:tc>
        <w:tc>
          <w:tcPr>
            <w:tcW w:w="866" w:type="dxa"/>
          </w:tcPr>
          <w:p w14:paraId="19B85D53"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10.3-13.4</w:t>
            </w:r>
          </w:p>
        </w:tc>
        <w:tc>
          <w:tcPr>
            <w:tcW w:w="800" w:type="dxa"/>
          </w:tcPr>
          <w:p w14:paraId="50E0FAA4"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9.6-19</w:t>
            </w:r>
          </w:p>
        </w:tc>
        <w:tc>
          <w:tcPr>
            <w:tcW w:w="800" w:type="dxa"/>
          </w:tcPr>
          <w:p w14:paraId="61FC35F9"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9.8-18</w:t>
            </w:r>
          </w:p>
        </w:tc>
        <w:tc>
          <w:tcPr>
            <w:tcW w:w="866" w:type="dxa"/>
            <w:gridSpan w:val="2"/>
          </w:tcPr>
          <w:p w14:paraId="23AF8DD7" w14:textId="77777777" w:rsidR="00B43CFC" w:rsidRPr="00BC4879" w:rsidRDefault="00B43CFC" w:rsidP="0056132E">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eastAsia="ja-JP"/>
                <w14:ligatures w14:val="none"/>
              </w:rPr>
            </w:pPr>
            <w:r w:rsidRPr="00BC4879">
              <w:rPr>
                <w:rFonts w:ascii="Times New Roman" w:eastAsia="Calibri" w:hAnsi="Times New Roman" w:cs="Times New Roman"/>
                <w:kern w:val="0"/>
                <w:sz w:val="20"/>
                <w:szCs w:val="20"/>
                <w:bdr w:val="nil"/>
                <w:lang w:eastAsia="ja-JP"/>
                <w14:ligatures w14:val="none"/>
              </w:rPr>
              <w:t>4.4-5.7</w:t>
            </w:r>
          </w:p>
        </w:tc>
      </w:tr>
      <w:tr w:rsidR="00B43CFC" w:rsidRPr="00BC4879" w14:paraId="1EFD9585" w14:textId="77777777" w:rsidTr="0056132E">
        <w:trPr>
          <w:trHeight w:val="22"/>
        </w:trPr>
        <w:tc>
          <w:tcPr>
            <w:tcW w:w="1755" w:type="dxa"/>
          </w:tcPr>
          <w:p w14:paraId="7B479723"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1186" w:type="dxa"/>
          </w:tcPr>
          <w:p w14:paraId="047E2190"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1075" w:type="dxa"/>
          </w:tcPr>
          <w:p w14:paraId="75DA50EC"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983" w:type="dxa"/>
          </w:tcPr>
          <w:p w14:paraId="535F761A"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66" w:type="dxa"/>
          </w:tcPr>
          <w:p w14:paraId="1042B3C4"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00" w:type="dxa"/>
          </w:tcPr>
          <w:p w14:paraId="69F72464"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00" w:type="dxa"/>
          </w:tcPr>
          <w:p w14:paraId="493C0764"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530" w:type="dxa"/>
          </w:tcPr>
          <w:p w14:paraId="1EF452DC"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c>
          <w:tcPr>
            <w:tcW w:w="861" w:type="dxa"/>
            <w:gridSpan w:val="2"/>
          </w:tcPr>
          <w:p w14:paraId="1E1B78FF" w14:textId="77777777" w:rsidR="00B43CFC" w:rsidRPr="00BC4879" w:rsidRDefault="00B43CFC" w:rsidP="0056132E">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eastAsia="ja-JP"/>
                <w14:ligatures w14:val="none"/>
              </w:rPr>
            </w:pPr>
          </w:p>
        </w:tc>
      </w:tr>
    </w:tbl>
    <w:p w14:paraId="015DE2B7"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09CF4054"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3AF836DE" wp14:editId="5F5DBC43">
            <wp:extent cx="5486400" cy="5791200"/>
            <wp:effectExtent l="0" t="0" r="0" b="0"/>
            <wp:docPr id="220054898" name="Picture 38"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054898" name="Picture 38" descr="A collage of graphs and diagram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5791200"/>
                    </a:xfrm>
                    <a:prstGeom prst="rect">
                      <a:avLst/>
                    </a:prstGeom>
                    <a:noFill/>
                    <a:ln>
                      <a:noFill/>
                    </a:ln>
                  </pic:spPr>
                </pic:pic>
              </a:graphicData>
            </a:graphic>
          </wp:inline>
        </w:drawing>
      </w:r>
    </w:p>
    <w:p w14:paraId="6EE392A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1. Cryo-EM reconstruction of 5mC-6HBC.</w:t>
      </w:r>
    </w:p>
    <w:p w14:paraId="2B7F2372"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7.9 Å. (b) Two orthogonal views of the cryo-EM density map show the clasp helix angled relative to the core 6-helix bundle. (c) Relative signal distribution across viewing directions indicates uniform contribution with no dominant orientation bias. (d) Fourier sampling analysis reveals near-isotropic angular coverage (SCF* = 0.984).</w:t>
      </w:r>
    </w:p>
    <w:p w14:paraId="477FA2CE"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p>
    <w:p w14:paraId="0695A33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2A0C3979" wp14:editId="32059659">
            <wp:extent cx="5486400" cy="5972175"/>
            <wp:effectExtent l="0" t="0" r="0" b="9525"/>
            <wp:docPr id="1696388044" name="Picture 37"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388044" name="Picture 37" descr="A collage of graphs and diagram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5972175"/>
                    </a:xfrm>
                    <a:prstGeom prst="rect">
                      <a:avLst/>
                    </a:prstGeom>
                    <a:noFill/>
                    <a:ln>
                      <a:noFill/>
                    </a:ln>
                  </pic:spPr>
                </pic:pic>
              </a:graphicData>
            </a:graphic>
          </wp:inline>
        </w:drawing>
      </w:r>
    </w:p>
    <w:p w14:paraId="35A40BF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2. Cryo-EM reconstruction of 5mC-6HBC type 1dimer.</w:t>
      </w:r>
    </w:p>
    <w:p w14:paraId="716AD98A"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11.8 Å. (b) Cryo-EM density reveals a dimeric 6HBC assembly. (c) Relative signal contribution is broadly uniform, with minimal directional bias. (d) Fourier sampling analysis shows good angular coverage with slight bias for top views (SCF* = 0.913).</w:t>
      </w:r>
    </w:p>
    <w:p w14:paraId="2B287DC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4B6E958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1B65A170" wp14:editId="24EEF5A5">
            <wp:extent cx="5486400" cy="5657850"/>
            <wp:effectExtent l="0" t="0" r="0" b="0"/>
            <wp:docPr id="44606838" name="Picture 36" descr="A collage of images of different shap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06838" name="Picture 36" descr="A collage of images of different shapes and color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5657850"/>
                    </a:xfrm>
                    <a:prstGeom prst="rect">
                      <a:avLst/>
                    </a:prstGeom>
                    <a:noFill/>
                    <a:ln>
                      <a:noFill/>
                    </a:ln>
                  </pic:spPr>
                </pic:pic>
              </a:graphicData>
            </a:graphic>
          </wp:inline>
        </w:drawing>
      </w:r>
    </w:p>
    <w:p w14:paraId="6C6C6D5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3. Cryo-EM reconstruction of N1Ψ-TC-6HBC Type-1 dimer.</w:t>
      </w:r>
    </w:p>
    <w:p w14:paraId="16AC372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11.4 Å.(b) Cryo-EM density reveals a dimeric 6HBC assembly, consistent with the 5mC-6HBC type 1 dimer. (c) Relative signal contribution shows anisotropy, with signal concentrated along the equator. (d) Fourier sampling is relatively complete (SCF* = 0.916), though skewed toward top and bottom views.</w:t>
      </w:r>
    </w:p>
    <w:p w14:paraId="67CD30E1"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45D913C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7E527801" wp14:editId="3CD2BFFD">
            <wp:extent cx="5486400" cy="5724525"/>
            <wp:effectExtent l="0" t="0" r="0" b="9525"/>
            <wp:docPr id="393438727" name="Picture 35" descr="A close-up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438727" name="Picture 35" descr="A close-up of a computer scree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5724525"/>
                    </a:xfrm>
                    <a:prstGeom prst="rect">
                      <a:avLst/>
                    </a:prstGeom>
                    <a:noFill/>
                    <a:ln>
                      <a:noFill/>
                    </a:ln>
                  </pic:spPr>
                </pic:pic>
              </a:graphicData>
            </a:graphic>
          </wp:inline>
        </w:drawing>
      </w:r>
    </w:p>
    <w:p w14:paraId="33D8DD0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4. Cryo-EM reconstruction of N1Ψ -TC-6HBC Type-2 dimer.</w:t>
      </w:r>
    </w:p>
    <w:p w14:paraId="21A3918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 xml:space="preserve">(a) Gold-standard FSC curve indicates a global resolution of 12.0 Å. (b) </w:t>
      </w:r>
      <w:bookmarkStart w:id="0" w:name="_Hlk194670484"/>
      <w:r w:rsidRPr="00BC4879">
        <w:rPr>
          <w:rFonts w:ascii="Times New Roman" w:eastAsia="Calibri" w:hAnsi="Times New Roman" w:cs="Times New Roman"/>
          <w:kern w:val="0"/>
          <w:sz w:val="24"/>
          <w:szCs w:val="24"/>
          <w:bdr w:val="nil"/>
          <w:lang w:eastAsia="ja-JP"/>
          <w14:ligatures w14:val="none"/>
        </w:rPr>
        <w:t>Cryo-EM density shows</w:t>
      </w:r>
      <w:bookmarkEnd w:id="0"/>
      <w:r w:rsidRPr="00BC4879">
        <w:rPr>
          <w:rFonts w:ascii="Times New Roman" w:eastAsia="Calibri" w:hAnsi="Times New Roman" w:cs="Times New Roman"/>
          <w:kern w:val="0"/>
          <w:sz w:val="24"/>
          <w:szCs w:val="24"/>
          <w:bdr w:val="nil"/>
          <w:lang w:eastAsia="ja-JP"/>
          <w14:ligatures w14:val="none"/>
        </w:rPr>
        <w:t xml:space="preserve"> clasp helices forming parallel pseudoknot bridges consistent with the type-2 dimer topology. (c) Relative signal contribution is broadly distributed across viewing angles with some bias for top views. (d) Fourier sampling plot demonstrates a complete angular coverage with slight orientation bias for top and bottom views(SCF* = 0.966).</w:t>
      </w:r>
    </w:p>
    <w:p w14:paraId="1B1204C4"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1D4D9332"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7C1C3009" wp14:editId="606BD562">
            <wp:extent cx="5486400" cy="5772150"/>
            <wp:effectExtent l="0" t="0" r="0" b="0"/>
            <wp:docPr id="2056563792" name="Picture 34" descr="A collage of different types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563792" name="Picture 34" descr="A collage of different types of object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5772150"/>
                    </a:xfrm>
                    <a:prstGeom prst="rect">
                      <a:avLst/>
                    </a:prstGeom>
                    <a:noFill/>
                    <a:ln>
                      <a:noFill/>
                    </a:ln>
                  </pic:spPr>
                </pic:pic>
              </a:graphicData>
            </a:graphic>
          </wp:inline>
        </w:drawing>
      </w:r>
    </w:p>
    <w:p w14:paraId="44149D4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5. Cryo-EM reconstruction of mature monomer 5mC-TC-6HBC.</w:t>
      </w:r>
    </w:p>
    <w:p w14:paraId="65E2D53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8.0 Å. (b) Cryo-EM density shows the mature conformation of the 6HBC, characterized by alignment of the clasp helix with the core bundle. (c) Relative signal contribution shows a uniform distribution across viewing angles. (d) Fourier sampling analysis reveals near-complete angular coverage (SCF* = 0.953), with directional preference along equatorial views.</w:t>
      </w:r>
    </w:p>
    <w:p w14:paraId="4A1B1EDC"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0D7BC361"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23E60438" wp14:editId="4A3C963C">
            <wp:extent cx="5486400" cy="5895975"/>
            <wp:effectExtent l="0" t="0" r="0" b="9525"/>
            <wp:docPr id="1498633810" name="Picture 33" descr="A collage of images of different shapes and siz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33810" name="Picture 33" descr="A collage of images of different shapes and size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5895975"/>
                    </a:xfrm>
                    <a:prstGeom prst="rect">
                      <a:avLst/>
                    </a:prstGeom>
                    <a:noFill/>
                    <a:ln>
                      <a:noFill/>
                    </a:ln>
                  </pic:spPr>
                </pic:pic>
              </a:graphicData>
            </a:graphic>
          </wp:inline>
        </w:drawing>
      </w:r>
    </w:p>
    <w:p w14:paraId="60031177"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6. Cryo-EM reconstruction of 5mC-TC-6HBC Type-2 dimer.</w:t>
      </w:r>
    </w:p>
    <w:p w14:paraId="70C1E90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11.3 Å.</w:t>
      </w:r>
    </w:p>
    <w:p w14:paraId="5A15B9D6"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(b) Density maps show two coaxially stacked 6HBC units with visible clasp helices forming pseudoknot bridges. (c) Relative signal contribution is uniform, with no elevated contribution from top and bottom views. (d) Fourier sampling analysis confirms isotropic coverage with orientation vias towards top and bottom views (SCF* = 0.979).</w:t>
      </w:r>
    </w:p>
    <w:p w14:paraId="0E87302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734FAAE6"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b/>
          <w:bCs/>
          <w:noProof/>
          <w:kern w:val="0"/>
          <w:sz w:val="24"/>
          <w:szCs w:val="24"/>
          <w:lang w:eastAsia="ja-JP"/>
          <w14:ligatures w14:val="none"/>
        </w:rPr>
        <w:lastRenderedPageBreak/>
        <w:drawing>
          <wp:anchor distT="0" distB="0" distL="114300" distR="114300" simplePos="0" relativeHeight="251659264" behindDoc="1" locked="0" layoutInCell="1" allowOverlap="1" wp14:anchorId="115C56FD" wp14:editId="1E81DD90">
            <wp:simplePos x="0" y="0"/>
            <wp:positionH relativeFrom="column">
              <wp:posOffset>0</wp:posOffset>
            </wp:positionH>
            <wp:positionV relativeFrom="paragraph">
              <wp:posOffset>0</wp:posOffset>
            </wp:positionV>
            <wp:extent cx="5486400" cy="5639435"/>
            <wp:effectExtent l="0" t="0" r="0" b="0"/>
            <wp:wrapTopAndBottom/>
            <wp:docPr id="160488778" name="Picture 39" descr="A collage of images of different shap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88778" name="Picture 39" descr="A collage of images of different shapes and color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5639435"/>
                    </a:xfrm>
                    <a:prstGeom prst="rect">
                      <a:avLst/>
                    </a:prstGeom>
                    <a:noFill/>
                  </pic:spPr>
                </pic:pic>
              </a:graphicData>
            </a:graphic>
            <wp14:sizeRelH relativeFrom="page">
              <wp14:pctWidth>0</wp14:pctWidth>
            </wp14:sizeRelH>
            <wp14:sizeRelV relativeFrom="page">
              <wp14:pctHeight>0</wp14:pctHeight>
            </wp14:sizeRelV>
          </wp:anchor>
        </w:drawing>
      </w:r>
      <w:r w:rsidRPr="00BC4879">
        <w:rPr>
          <w:rFonts w:ascii="Times New Roman" w:eastAsia="Calibri" w:hAnsi="Times New Roman" w:cs="Times New Roman"/>
          <w:b/>
          <w:bCs/>
          <w:kern w:val="0"/>
          <w:sz w:val="24"/>
          <w:szCs w:val="24"/>
          <w:bdr w:val="nil"/>
          <w:lang w:eastAsia="ja-JP"/>
          <w14:ligatures w14:val="none"/>
        </w:rPr>
        <w:t>Supplementary Figure 7. Cryo-EM reconstruction of 5mC-TR ribozyme.</w:t>
      </w:r>
    </w:p>
    <w:p w14:paraId="525C2C1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 Gold-standard FSC curve indicates a global resolution of 4.9 Å. (b) The map reveals the open-state conformation with coaxial stacking of P9 on P7 and disruption of the L9–P5 contact. (c) Relative signal contribution is broadly distributed across the viewing sphere. (d) Fourier sampling analysis demonstrates thorough angular coverage with slight orientation bias (SCF* = 0.913).</w:t>
      </w:r>
    </w:p>
    <w:p w14:paraId="351570C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771D92E2" wp14:editId="4498E36F">
            <wp:extent cx="5486400" cy="6648450"/>
            <wp:effectExtent l="0" t="0" r="0" b="0"/>
            <wp:docPr id="536767027" name="Picture 32" descr="A group of blue and white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67027" name="Picture 32" descr="A group of blue and white graph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6648450"/>
                    </a:xfrm>
                    <a:prstGeom prst="rect">
                      <a:avLst/>
                    </a:prstGeom>
                    <a:noFill/>
                    <a:ln>
                      <a:noFill/>
                    </a:ln>
                  </pic:spPr>
                </pic:pic>
              </a:graphicData>
            </a:graphic>
          </wp:inline>
        </w:drawing>
      </w:r>
    </w:p>
    <w:p w14:paraId="1293B7F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8.  Mass photometry analysis of 5mC TC 6HBC RNA</w:t>
      </w:r>
      <w:r w:rsidRPr="00BC4879">
        <w:rPr>
          <w:rFonts w:ascii="Times New Roman" w:eastAsia="Calibri" w:hAnsi="Times New Roman" w:cs="Times New Roman"/>
          <w:kern w:val="0"/>
          <w:sz w:val="24"/>
          <w:szCs w:val="24"/>
          <w:bdr w:val="nil"/>
          <w:lang w:eastAsia="ja-JP"/>
          <w14:ligatures w14:val="none"/>
        </w:rPr>
        <w:t xml:space="preserve"> (a) The base sizes of the monomer peak in the SEC chromatography was measured by mass photometry, yielding a size of ~750 bases across a concentration range from 2-200nm. (b) The base size of the dimer peak in the SEC chromatography was measured by mass photometry, yielding size of 1400 bases at 50nM and 5nM. Additionally, 5% monomer contamination was observed with a size of 729 bases</w:t>
      </w:r>
      <w:r w:rsidRPr="00BC4879">
        <w:rPr>
          <w:rFonts w:ascii="Times New Roman" w:eastAsia="Calibri" w:hAnsi="Times New Roman" w:cs="Times New Roman"/>
          <w:b/>
          <w:bCs/>
          <w:kern w:val="0"/>
          <w:sz w:val="24"/>
          <w:szCs w:val="24"/>
          <w:bdr w:val="nil"/>
          <w:lang w:eastAsia="ja-JP"/>
          <w14:ligatures w14:val="none"/>
        </w:rPr>
        <w:t xml:space="preserve">.   </w:t>
      </w:r>
      <w:r w:rsidRPr="00BC4879">
        <w:rPr>
          <w:rFonts w:ascii="Times New Roman" w:eastAsia="Calibri" w:hAnsi="Times New Roman" w:cs="Times New Roman"/>
          <w:b/>
          <w:bCs/>
          <w:kern w:val="0"/>
          <w:sz w:val="24"/>
          <w:szCs w:val="24"/>
          <w:bdr w:val="nil"/>
          <w:lang w:eastAsia="ja-JP"/>
          <w14:ligatures w14:val="none"/>
        </w:rPr>
        <w:br w:type="page"/>
      </w:r>
    </w:p>
    <w:p w14:paraId="4805516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3859F291" wp14:editId="6DBB64F6">
            <wp:extent cx="5943600" cy="6255385"/>
            <wp:effectExtent l="0" t="0" r="0" b="0"/>
            <wp:docPr id="128391382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3" cstate="print">
                      <a:extLst>
                        <a:ext uri="{28A0092B-C50C-407E-A947-70E740481C1C}">
                          <a14:useLocalDpi xmlns:a14="http://schemas.microsoft.com/office/drawing/2010/main" val="0"/>
                        </a:ext>
                      </a:extLst>
                    </a:blip>
                    <a:srcRect r="19849"/>
                    <a:stretch>
                      <a:fillRect/>
                    </a:stretch>
                  </pic:blipFill>
                  <pic:spPr bwMode="auto">
                    <a:xfrm>
                      <a:off x="0" y="0"/>
                      <a:ext cx="5943600" cy="6255385"/>
                    </a:xfrm>
                    <a:prstGeom prst="rect">
                      <a:avLst/>
                    </a:prstGeom>
                    <a:noFill/>
                    <a:ln>
                      <a:noFill/>
                    </a:ln>
                  </pic:spPr>
                </pic:pic>
              </a:graphicData>
            </a:graphic>
          </wp:inline>
        </w:drawing>
      </w:r>
    </w:p>
    <w:p w14:paraId="0F0FB721"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9. Blueprint of 6HBC type-1 dimer</w:t>
      </w:r>
    </w:p>
    <w:p w14:paraId="68F12C0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491D2BBA" wp14:editId="7F2349DF">
            <wp:extent cx="5772150" cy="5267325"/>
            <wp:effectExtent l="0" t="0" r="0" b="9525"/>
            <wp:docPr id="1736200644" name="Picture 30" descr="A diagram of a d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200644" name="Picture 30" descr="A diagram of a dna&#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l="14249" r="8679"/>
                    <a:stretch>
                      <a:fillRect/>
                    </a:stretch>
                  </pic:blipFill>
                  <pic:spPr bwMode="auto">
                    <a:xfrm>
                      <a:off x="0" y="0"/>
                      <a:ext cx="5772150" cy="5267325"/>
                    </a:xfrm>
                    <a:prstGeom prst="rect">
                      <a:avLst/>
                    </a:prstGeom>
                    <a:noFill/>
                    <a:ln>
                      <a:noFill/>
                    </a:ln>
                  </pic:spPr>
                </pic:pic>
              </a:graphicData>
            </a:graphic>
          </wp:inline>
        </w:drawing>
      </w:r>
    </w:p>
    <w:p w14:paraId="0731F2F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10. Blueprint of 6HBC-TC</w:t>
      </w:r>
    </w:p>
    <w:p w14:paraId="2243987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07D5DEE9" wp14:editId="32D53D87">
            <wp:extent cx="5781675" cy="5324475"/>
            <wp:effectExtent l="0" t="0" r="9525" b="9525"/>
            <wp:docPr id="1706552734" name="Picture 29" descr="A diagram of a dna sequ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552734" name="Picture 29" descr="A diagram of a dna sequence&#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l="8398" r="47810"/>
                    <a:stretch>
                      <a:fillRect/>
                    </a:stretch>
                  </pic:blipFill>
                  <pic:spPr bwMode="auto">
                    <a:xfrm>
                      <a:off x="0" y="0"/>
                      <a:ext cx="5781675" cy="5324475"/>
                    </a:xfrm>
                    <a:prstGeom prst="rect">
                      <a:avLst/>
                    </a:prstGeom>
                    <a:noFill/>
                    <a:ln>
                      <a:noFill/>
                    </a:ln>
                  </pic:spPr>
                </pic:pic>
              </a:graphicData>
            </a:graphic>
          </wp:inline>
        </w:drawing>
      </w:r>
    </w:p>
    <w:p w14:paraId="163D1527"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11. Blueprint of 6HBC-JC</w:t>
      </w:r>
    </w:p>
    <w:p w14:paraId="40613FA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r w:rsidRPr="00BC4879">
        <w:rPr>
          <w:rFonts w:ascii="Times New Roman" w:eastAsia="Calibri" w:hAnsi="Times New Roman" w:cs="Times New Roman"/>
          <w:noProof/>
          <w:kern w:val="0"/>
          <w:sz w:val="24"/>
          <w:szCs w:val="24"/>
          <w:bdr w:val="nil"/>
          <w:lang w:eastAsia="ja-JP"/>
          <w14:ligatures w14:val="none"/>
        </w:rPr>
        <w:lastRenderedPageBreak/>
        <w:drawing>
          <wp:inline distT="0" distB="0" distL="0" distR="0" wp14:anchorId="39A63651" wp14:editId="387E85D6">
            <wp:extent cx="3419475" cy="2743200"/>
            <wp:effectExtent l="0" t="0" r="9525" b="0"/>
            <wp:docPr id="1288573200" name="Picture 28" descr="A black and white image of a dna str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573200" name="Picture 28" descr="A black and white image of a dna strand&#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19475" cy="2743200"/>
                    </a:xfrm>
                    <a:prstGeom prst="rect">
                      <a:avLst/>
                    </a:prstGeom>
                    <a:noFill/>
                    <a:ln>
                      <a:noFill/>
                    </a:ln>
                  </pic:spPr>
                </pic:pic>
              </a:graphicData>
            </a:graphic>
          </wp:inline>
        </w:drawing>
      </w:r>
    </w:p>
    <w:p w14:paraId="6DD4A6C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120E7BA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noProof/>
          <w:kern w:val="0"/>
          <w:sz w:val="24"/>
          <w:szCs w:val="24"/>
          <w:bdr w:val="nil"/>
          <w:lang w:eastAsia="ja-JP"/>
          <w14:ligatures w14:val="none"/>
        </w:rPr>
        <w:drawing>
          <wp:inline distT="0" distB="0" distL="0" distR="0" wp14:anchorId="68E1365C" wp14:editId="22EF5C89">
            <wp:extent cx="3419475" cy="2743200"/>
            <wp:effectExtent l="0" t="0" r="9525" b="0"/>
            <wp:docPr id="1215229824" name="Picture 27" descr="A close-up of a d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29824" name="Picture 27" descr="A close-up of a dna&#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19475" cy="2743200"/>
                    </a:xfrm>
                    <a:prstGeom prst="rect">
                      <a:avLst/>
                    </a:prstGeom>
                    <a:noFill/>
                    <a:ln>
                      <a:noFill/>
                    </a:ln>
                  </pic:spPr>
                </pic:pic>
              </a:graphicData>
            </a:graphic>
          </wp:inline>
        </w:drawing>
      </w:r>
    </w:p>
    <w:p w14:paraId="50AA9666"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p>
    <w:p w14:paraId="3B58B40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t>Supplementary Figure 12. Raw gel images from Figure 3b (top) &amp; 3c (bottom)</w:t>
      </w:r>
    </w:p>
    <w:p w14:paraId="54FE41E2"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br w:type="page"/>
      </w:r>
    </w:p>
    <w:p w14:paraId="39326BCB"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b/>
          <w:bCs/>
          <w:kern w:val="0"/>
          <w:sz w:val="24"/>
          <w:szCs w:val="24"/>
          <w:bdr w:val="nil"/>
          <w:lang w:eastAsia="ja-JP"/>
          <w14:ligatures w14:val="none"/>
        </w:rPr>
      </w:pPr>
      <w:r w:rsidRPr="00BC4879">
        <w:rPr>
          <w:rFonts w:ascii="Times New Roman" w:eastAsia="Calibri" w:hAnsi="Times New Roman" w:cs="Times New Roman"/>
          <w:b/>
          <w:bCs/>
          <w:kern w:val="0"/>
          <w:sz w:val="24"/>
          <w:szCs w:val="24"/>
          <w:bdr w:val="nil"/>
          <w:lang w:eastAsia="ja-JP"/>
          <w14:ligatures w14:val="none"/>
        </w:rPr>
        <w:lastRenderedPageBreak/>
        <w:t>Nucleic acid species used:</w:t>
      </w:r>
    </w:p>
    <w:p w14:paraId="5E5E2BC7"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SSb-1</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gatgcaatctattggtttaaagactagctaccaggtgcatgcctgataacttttccctccAAA</w:t>
      </w:r>
      <w:r w:rsidRPr="00BC4879">
        <w:rPr>
          <w:rFonts w:ascii="Times New Roman" w:eastAsia="Calibri" w:hAnsi="Times New Roman" w:cs="Times New Roman"/>
          <w:kern w:val="0"/>
          <w:sz w:val="24"/>
          <w:szCs w:val="24"/>
          <w:bdr w:val="nil"/>
          <w:lang w:eastAsia="ja-JP"/>
          <w14:ligatures w14:val="none"/>
        </w:rPr>
        <w:tab/>
        <w:t>DNA</w:t>
      </w:r>
    </w:p>
    <w:p w14:paraId="5DC253B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A325-1</w:t>
      </w:r>
      <w:r w:rsidRPr="00BC4879">
        <w:rPr>
          <w:rFonts w:ascii="Times New Roman" w:eastAsia="Calibri" w:hAnsi="Times New Roman" w:cs="Times New Roman"/>
          <w:kern w:val="0"/>
          <w:sz w:val="24"/>
          <w:szCs w:val="24"/>
          <w:bdr w:val="nil"/>
          <w:lang w:eastAsia="ja-JP"/>
          <w14:ligatures w14:val="none"/>
        </w:rPr>
        <w:tab/>
        <w:t>cttggtactgaacggcTgttgacccctttcccgcaatttgacggtcttgccttttaaacc</w:t>
      </w:r>
      <w:r w:rsidRPr="00BC4879">
        <w:rPr>
          <w:rFonts w:ascii="Times New Roman" w:eastAsia="Calibri" w:hAnsi="Times New Roman" w:cs="Times New Roman"/>
          <w:kern w:val="0"/>
          <w:sz w:val="24"/>
          <w:szCs w:val="24"/>
          <w:bdr w:val="nil"/>
          <w:lang w:eastAsia="ja-JP"/>
          <w14:ligatures w14:val="none"/>
        </w:rPr>
        <w:tab/>
        <w:t>DNA</w:t>
      </w:r>
    </w:p>
    <w:p w14:paraId="0313BA2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A125-1</w:t>
      </w:r>
      <w:r w:rsidRPr="00BC4879">
        <w:rPr>
          <w:rFonts w:ascii="Times New Roman" w:eastAsia="Calibri" w:hAnsi="Times New Roman" w:cs="Times New Roman"/>
          <w:kern w:val="0"/>
          <w:sz w:val="24"/>
          <w:szCs w:val="24"/>
          <w:bdr w:val="nil"/>
          <w:lang w:eastAsia="ja-JP"/>
          <w14:ligatures w14:val="none"/>
        </w:rPr>
        <w:tab/>
        <w:t>gttgacccctttcccgcaatttgacggtcttgccttttaaacc</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26D935F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A125-2</w:t>
      </w:r>
      <w:r w:rsidRPr="00BC4879">
        <w:rPr>
          <w:rFonts w:ascii="Times New Roman" w:eastAsia="Calibri" w:hAnsi="Times New Roman" w:cs="Times New Roman"/>
          <w:kern w:val="0"/>
          <w:sz w:val="24"/>
          <w:szCs w:val="24"/>
          <w:bdr w:val="nil"/>
          <w:lang w:eastAsia="ja-JP"/>
          <w14:ligatures w14:val="none"/>
        </w:rPr>
        <w:tab/>
        <w:t>ggccatctcaaagtttcccctgagacttggtactgaacggc</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75F94A95"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A325-2</w:t>
      </w:r>
      <w:r w:rsidRPr="00BC4879">
        <w:rPr>
          <w:rFonts w:ascii="Times New Roman" w:eastAsia="Calibri" w:hAnsi="Times New Roman" w:cs="Times New Roman"/>
          <w:kern w:val="0"/>
          <w:sz w:val="24"/>
          <w:szCs w:val="24"/>
          <w:bdr w:val="nil"/>
          <w:lang w:eastAsia="ja-JP"/>
          <w14:ligatures w14:val="none"/>
        </w:rPr>
        <w:tab/>
        <w:t>ccatgtccgtcagcttattaccataccctttgcaaggccatctcaaagtttcccctgaga</w:t>
      </w:r>
      <w:r w:rsidRPr="00BC4879">
        <w:rPr>
          <w:rFonts w:ascii="Times New Roman" w:eastAsia="Calibri" w:hAnsi="Times New Roman" w:cs="Times New Roman"/>
          <w:kern w:val="0"/>
          <w:sz w:val="24"/>
          <w:szCs w:val="24"/>
          <w:bdr w:val="nil"/>
          <w:lang w:eastAsia="ja-JP"/>
          <w14:ligatures w14:val="none"/>
        </w:rPr>
        <w:tab/>
        <w:t>DNA</w:t>
      </w:r>
    </w:p>
    <w:p w14:paraId="77AF29E4"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A125-3</w:t>
      </w:r>
      <w:r w:rsidRPr="00BC4879">
        <w:rPr>
          <w:rFonts w:ascii="Times New Roman" w:eastAsia="Calibri" w:hAnsi="Times New Roman" w:cs="Times New Roman"/>
          <w:kern w:val="0"/>
          <w:sz w:val="24"/>
          <w:szCs w:val="24"/>
          <w:bdr w:val="nil"/>
          <w:lang w:eastAsia="ja-JP"/>
          <w14:ligatures w14:val="none"/>
        </w:rPr>
        <w:tab/>
        <w:t>ccatgtccgtcagcttattaccataccctttgcaa</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15E7021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SSb-2</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cagaagatctgttgacttaggacttggctgcgtggttagga</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5A482CB5"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SSb-3</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cccgaccgacatttagtctgtgaactgcatccatatcaa</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1DE7FB5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A125-4</w:t>
      </w:r>
      <w:r w:rsidRPr="00BC4879">
        <w:rPr>
          <w:rFonts w:ascii="Times New Roman" w:eastAsia="Calibri" w:hAnsi="Times New Roman" w:cs="Times New Roman"/>
          <w:kern w:val="0"/>
          <w:sz w:val="24"/>
          <w:szCs w:val="24"/>
          <w:bdr w:val="nil"/>
          <w:lang w:eastAsia="ja-JP"/>
          <w14:ligatures w14:val="none"/>
        </w:rPr>
        <w:tab/>
        <w:t>Taaggagaggtccgactatatcttatgagaagaatacatcttc</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67A2EFEE"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A325-4</w:t>
      </w:r>
      <w:r w:rsidRPr="00BC4879">
        <w:rPr>
          <w:rFonts w:ascii="Times New Roman" w:eastAsia="Calibri" w:hAnsi="Times New Roman" w:cs="Times New Roman"/>
          <w:kern w:val="0"/>
          <w:sz w:val="24"/>
          <w:szCs w:val="24"/>
          <w:bdr w:val="nil"/>
          <w:lang w:eastAsia="ja-JP"/>
          <w14:ligatures w14:val="none"/>
        </w:rPr>
        <w:tab/>
        <w:t>aaggagaggtccgactatatcttatgagaagaatacatcttc</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70DB72CC"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SSb-4</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gcggctccagtgttgcatcacttcatccgctagctcccat</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2DCFE72F"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SSb-5</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AAAactccaaaactaatcaatatactttcgcatacaaattagttccca</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DNA</w:t>
      </w:r>
    </w:p>
    <w:p w14:paraId="1BE4BF4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318AF264"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6HBC</w:t>
      </w:r>
    </w:p>
    <w:p w14:paraId="3A81B9E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GGGAGAGUACUAUUCAGAUGCAGACCGCAAGUUCAGAGCGGUUUGCAUCUAGGGUACGUUUUCGAACGUAUCCUCCGACUAAGUGUAUUCGUAUACUUAGUGCCUUGUGCCUGCUUCGGCAGGCAUGACCCAAAUGUGCCUUUCGGGGCACAUUUCCGGUCAUCCAAGUUCGCUUGGGUGAUGCGGGCGUAUAGGUUCGUCUAUACGUCCGCGUUUUCCGAGAAGAGGUAACUCGGGAAACCGGUCCACGUGACAAAGGUAGAGUUACGUGGAGGGAGCAGCUGCAAAGGGAUAAUGCAGUUGCUGGCUGGAUGCCAGAACUCACGACUGGCAUCUACGGGGAUGGUGCUCUCCCAAUUCUCCAUUUACCGCCGAAUCGACCCCAACGUGAGAGGGGUCGGUUCCCCGAGCAUAGACCAAUAUCCCAGGUUUAUGCUCCCCAACGCUGGACGAACUACCUACGUCUAGCGUUCCGGCAAAUGAGUCAAUACCUCAGACUUAUUUGCGGUGCCUGAGCCUAAACUGAACAUGGGUUCAGGCAUCUUGGCUCCAGUUCGCUGGAGCCGACGGUAGCGCUGCGUUCGCGCAGUGCUAGGGAGCAUCCGUUUUCGAGCGGAUGCUGGGCGGUUGCCUGUUCGCAGGCAAUCGGGCCUACUCAUGAUUCGUCAUGAGUGGUGACAGCGUGAUGUUCGCAUUACGCUGUCGGGUAGAUGGAGAAUU</w:t>
      </w:r>
    </w:p>
    <w:p w14:paraId="1DC48E2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188E6ED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6HBC-TC</w:t>
      </w:r>
    </w:p>
    <w:p w14:paraId="2B3E436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GGGUCCGCACUUUGCACCGAGCUCUCGGCAACAAGCCAGCCGAGAGUUCGGUAGUGGGUAUGUUCGCAUACCCGCUUCCAGUACGCUAAUUCGUUAGUGUACUCCGCUGUUAAGGGUUCGCCCUUGACAGGCCCUGAUAGUCGUUCGCGGCUAUCAGCCGGAGUGUGACUUUCGAGUUGCACUCGGGCCUGCAGUAUUUCGAUACUGUGGGCCCUGUCACAUAACAAGGUAUCAGUUGUGUGACACGGGCUGGUCGCUAAAUCGACGAUAGCGAUCAGCGGCGUGGGUCCGUAAAAGACCGAUACGGAUCUACCGGGAGUUGCGAUCAAUGAUGGAGAUCGUAGCUCGGAGUAAAGUGUGGACCCUAAGGAUAACUCAUACCGUGAGGGUUGCGAACCAUCAACGCGACCUUCGGCCAGGGUCGUAGGAACGGUCUACCUACGAUCCUCCCGAACUGAUUCGAACGUCGAACGAAUCGGUUCCCGCCAGUGUUAUGAAGAUACCACAUAGCACUGGGAUGUUGCGGGUACAAGGCUUGAGUGUUCGCAAUAUCACGGGAGUCUUUCGAGGCUCCCGUCGGAUCUAGGUCAUUCGUGACCUAGGUGGGCAUAUCCGCCUUCGGGCGGAUGUGGGCGUGUCUGUCCUUCGGGGCAGACACCGGGUGCACGCGGUUCGCCGCGUGUACGCCACAUAAUCCUUUCGAGGGUUAUGUGGCUAUGAGUUGUCCUUA</w:t>
      </w:r>
    </w:p>
    <w:p w14:paraId="0EACD3D0"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17467CA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lastRenderedPageBreak/>
        <w:t>6HBC-TC-JC</w:t>
      </w:r>
    </w:p>
    <w:p w14:paraId="0629AF7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GGGUCCGCACUUUGCACCGAGCUCUCGGCAAAAUAUAAGCCGAGAGUUCGGUAGUGGGUAUGUUCGCAUACCCGCUUCCAGUACGCUAAUUCGUUAGUGUACUCCGCUGUUAAGGGUUCGCCCUUGACAGGCCCUGAUAGUCGUUCGCGGCUAUCAGCCGGAGUGUGACUUUCGAGUUGCACUCGGGCCUGCAGUAUUUCGAUACUGUGGGCCCUGUCACAUAACAAGGUAUCAGUUGUGUGACACGGGCUGGUCGCUAAAUCGACGAUAGCGAUCAGCGGCGUGGGUCCGUAAAAGACCGAUACGGAUCUACCGGGAGUUGCGAUCAAUGAUGGAGAUCGUAGCUCGGAGUAAAGUGUGGACCCUAAGGAUAACUCAUACCGUGAGGGUUGCGAACCAUCAACGCGACCUUCGGCCAGGGUCGUAGGAACGGUCUACCUACGAUCCUCCCGAACUGAUUCGAACGUCGAACGAAUCGGUUCCCGUCAGUGUUAUGAAGAUACCACAUAGCACUGAGAUGUUGCGGGUACAAUAUAUUAGUGUUCGCAAUAUUACGGGAGUCUUUCGAGGCUCCCGUUGGAUCUAGGUCAUUCGUGACCUAGGUGGGCAUAUCCGCCUUCGGGCGGAUGUGGGCGUGUCUGUCCUUCGGGGCAGACACCGGGUGCACGCGGUUCGCCGCGUGUACGCCACAUAAUCCUUUCGAGGGUUAUGUGGCUAUGAGUUGUCCUUA</w:t>
      </w:r>
    </w:p>
    <w:p w14:paraId="083D7865"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39408073"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TR (L21-ScaI)</w:t>
      </w:r>
    </w:p>
    <w:p w14:paraId="7A8C99BC"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GGAGGGAAAAGUUAUCAGGCAUGCACCUGGUAGCUAGUCUUUAAACCAAUAGAUUGCAUCGGUUUAAAAGGCAAGACCGUCAAAUUGCGGGAAAGGGGUCAACAGCCGUUCAGUACCAAGUCUCAGGGGAAACUUUGAGAUGGCCUUGCAAAGGGUAUGGUAAUAAGCUGACGGACAUGGUCCUAACCACGCAGCCAAGUCCUAAGUCAACAGAUCUUCUGUUGAUAUGGAUGCAGUUCACAGACUAAAUGUCGGUCGGGGAAGAUGUAUUCUUCUCAUAAGAUAUAGUCGGACCUCUCCUUAAUGGGAGCUAGCGGAUGAAGUGAUGCAACACUGGAGCCGCUGGGAACUAAUUUGUAUGCGAAAGUAUAUUGAUUAGUUUUGGAGU</w:t>
      </w:r>
    </w:p>
    <w:p w14:paraId="7EF2B8F4"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40AE6BFD"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 xml:space="preserve">TR substrate #1: Cy5-CCCUCUAAAAA </w:t>
      </w:r>
      <w:r w:rsidRPr="00BC4879">
        <w:rPr>
          <w:rFonts w:ascii="Times New Roman" w:eastAsia="Calibri" w:hAnsi="Times New Roman" w:cs="Times New Roman"/>
          <w:kern w:val="0"/>
          <w:sz w:val="24"/>
          <w:szCs w:val="24"/>
          <w:bdr w:val="nil"/>
          <w:lang w:eastAsia="ja-JP"/>
          <w14:ligatures w14:val="none"/>
        </w:rPr>
        <w:tab/>
      </w:r>
      <w:r w:rsidRPr="00BC4879">
        <w:rPr>
          <w:rFonts w:ascii="Times New Roman" w:eastAsia="Calibri" w:hAnsi="Times New Roman" w:cs="Times New Roman"/>
          <w:kern w:val="0"/>
          <w:sz w:val="24"/>
          <w:szCs w:val="24"/>
          <w:bdr w:val="nil"/>
          <w:lang w:eastAsia="ja-JP"/>
          <w14:ligatures w14:val="none"/>
        </w:rPr>
        <w:tab/>
        <w:t>RNA</w:t>
      </w:r>
    </w:p>
    <w:p w14:paraId="7E71B2C8"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6AE495BE"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r w:rsidRPr="00BC4879">
        <w:rPr>
          <w:rFonts w:ascii="Times New Roman" w:eastAsia="Calibri" w:hAnsi="Times New Roman" w:cs="Times New Roman"/>
          <w:kern w:val="0"/>
          <w:sz w:val="24"/>
          <w:szCs w:val="24"/>
          <w:bdr w:val="nil"/>
          <w:lang w:eastAsia="ja-JP"/>
          <w14:ligatures w14:val="none"/>
        </w:rPr>
        <w:t xml:space="preserve">TR substrate #2: 6-FAM-CCCUCUAAAAA </w:t>
      </w:r>
      <w:r w:rsidRPr="00BC4879">
        <w:rPr>
          <w:rFonts w:ascii="Times New Roman" w:eastAsia="Calibri" w:hAnsi="Times New Roman" w:cs="Times New Roman"/>
          <w:kern w:val="0"/>
          <w:sz w:val="24"/>
          <w:szCs w:val="24"/>
          <w:bdr w:val="nil"/>
          <w:lang w:eastAsia="ja-JP"/>
          <w14:ligatures w14:val="none"/>
        </w:rPr>
        <w:tab/>
        <w:t>RNA</w:t>
      </w:r>
    </w:p>
    <w:p w14:paraId="5E519A39" w14:textId="77777777" w:rsidR="00B43CFC" w:rsidRPr="00BC4879" w:rsidRDefault="00B43CFC" w:rsidP="00B43CFC">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eastAsia="ja-JP"/>
          <w14:ligatures w14:val="none"/>
        </w:rPr>
      </w:pPr>
    </w:p>
    <w:p w14:paraId="7B9674D0" w14:textId="77777777" w:rsidR="00B43CFC" w:rsidRPr="00911CDD" w:rsidRDefault="00B43CFC" w:rsidP="00B43CFC"/>
    <w:p w14:paraId="560C5648"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CFC"/>
    <w:rsid w:val="00011C58"/>
    <w:rsid w:val="0006021D"/>
    <w:rsid w:val="00331A6B"/>
    <w:rsid w:val="00562057"/>
    <w:rsid w:val="00755780"/>
    <w:rsid w:val="00857596"/>
    <w:rsid w:val="00B43CFC"/>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C5B6"/>
  <w15:chartTrackingRefBased/>
  <w15:docId w15:val="{5B17DD00-9D71-4817-8D8A-379D0D82B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CFC"/>
    <w:pPr>
      <w:spacing w:line="480" w:lineRule="auto"/>
    </w:pPr>
    <w:rPr>
      <w:sz w:val="22"/>
      <w:szCs w:val="22"/>
    </w:rPr>
  </w:style>
  <w:style w:type="paragraph" w:styleId="Heading1">
    <w:name w:val="heading 1"/>
    <w:basedOn w:val="Normal"/>
    <w:next w:val="Normal"/>
    <w:link w:val="Heading1Char"/>
    <w:uiPriority w:val="9"/>
    <w:qFormat/>
    <w:rsid w:val="00B43CF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3CF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3CFC"/>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3CF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B43CFC"/>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B43CF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B43CFC"/>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B43CFC"/>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B43CFC"/>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C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3C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3C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3C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3C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3C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3C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3C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3CFC"/>
    <w:rPr>
      <w:rFonts w:eastAsiaTheme="majorEastAsia" w:cstheme="majorBidi"/>
      <w:color w:val="272727" w:themeColor="text1" w:themeTint="D8"/>
    </w:rPr>
  </w:style>
  <w:style w:type="paragraph" w:styleId="Title">
    <w:name w:val="Title"/>
    <w:basedOn w:val="Normal"/>
    <w:next w:val="Normal"/>
    <w:link w:val="TitleChar"/>
    <w:uiPriority w:val="10"/>
    <w:qFormat/>
    <w:rsid w:val="00B43C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3C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3CFC"/>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3C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3CFC"/>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B43CFC"/>
    <w:rPr>
      <w:i/>
      <w:iCs/>
      <w:color w:val="404040" w:themeColor="text1" w:themeTint="BF"/>
    </w:rPr>
  </w:style>
  <w:style w:type="paragraph" w:styleId="ListParagraph">
    <w:name w:val="List Paragraph"/>
    <w:basedOn w:val="Normal"/>
    <w:uiPriority w:val="34"/>
    <w:qFormat/>
    <w:rsid w:val="00B43CFC"/>
    <w:pPr>
      <w:spacing w:line="278" w:lineRule="auto"/>
      <w:ind w:left="720"/>
      <w:contextualSpacing/>
    </w:pPr>
    <w:rPr>
      <w:sz w:val="24"/>
      <w:szCs w:val="24"/>
    </w:rPr>
  </w:style>
  <w:style w:type="character" w:styleId="IntenseEmphasis">
    <w:name w:val="Intense Emphasis"/>
    <w:basedOn w:val="DefaultParagraphFont"/>
    <w:uiPriority w:val="21"/>
    <w:qFormat/>
    <w:rsid w:val="00B43CFC"/>
    <w:rPr>
      <w:i/>
      <w:iCs/>
      <w:color w:val="0F4761" w:themeColor="accent1" w:themeShade="BF"/>
    </w:rPr>
  </w:style>
  <w:style w:type="paragraph" w:styleId="IntenseQuote">
    <w:name w:val="Intense Quote"/>
    <w:basedOn w:val="Normal"/>
    <w:next w:val="Normal"/>
    <w:link w:val="IntenseQuoteChar"/>
    <w:uiPriority w:val="30"/>
    <w:qFormat/>
    <w:rsid w:val="00B43CF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B43CFC"/>
    <w:rPr>
      <w:i/>
      <w:iCs/>
      <w:color w:val="0F4761" w:themeColor="accent1" w:themeShade="BF"/>
    </w:rPr>
  </w:style>
  <w:style w:type="character" w:styleId="IntenseReference">
    <w:name w:val="Intense Reference"/>
    <w:basedOn w:val="DefaultParagraphFont"/>
    <w:uiPriority w:val="32"/>
    <w:qFormat/>
    <w:rsid w:val="00B43C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hyperlink" Target="mailto:ekmcrae@houstonmethodist.org"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1339</Words>
  <Characters>7636</Characters>
  <Application>Microsoft Office Word</Application>
  <DocSecurity>0</DocSecurity>
  <Lines>63</Lines>
  <Paragraphs>17</Paragraphs>
  <ScaleCrop>false</ScaleCrop>
  <Company>Springer Nature</Company>
  <LinksUpToDate>false</LinksUpToDate>
  <CharactersWithSpaces>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2025-05-29T03:24:00Z</dcterms:created>
  <dcterms:modified xsi:type="dcterms:W3CDTF">2025-05-29T03:24:00Z</dcterms:modified>
</cp:coreProperties>
</file>