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738EB" w14:textId="3790281C" w:rsidR="00EA283E" w:rsidRPr="00BC61AB" w:rsidRDefault="001B0E18" w:rsidP="00505A3E">
      <w:pPr>
        <w:rPr>
          <w:rFonts w:ascii="Arial" w:hAnsi="Arial" w:cs="Arial"/>
        </w:rPr>
      </w:pPr>
      <w:r w:rsidRPr="001B0E18">
        <w:rPr>
          <w:rFonts w:ascii="Arial" w:hAnsi="Arial" w:cs="Arial"/>
        </w:rPr>
        <w:t xml:space="preserve">Additional </w:t>
      </w:r>
      <w:r>
        <w:rPr>
          <w:rFonts w:ascii="Arial" w:hAnsi="Arial" w:cs="Arial"/>
        </w:rPr>
        <w:t>T</w:t>
      </w:r>
      <w:r w:rsidR="00EA283E" w:rsidRPr="00BC61AB">
        <w:rPr>
          <w:rFonts w:ascii="Arial" w:hAnsi="Arial" w:cs="Arial"/>
        </w:rPr>
        <w:t>able</w:t>
      </w:r>
      <w:r w:rsidR="00BC61AB">
        <w:rPr>
          <w:rFonts w:ascii="Arial" w:hAnsi="Arial" w:cs="Arial"/>
        </w:rPr>
        <w:t xml:space="preserve"> </w:t>
      </w:r>
      <w:r w:rsidR="00EA283E" w:rsidRPr="00BC61AB">
        <w:rPr>
          <w:rFonts w:ascii="Arial" w:hAnsi="Arial" w:cs="Arial"/>
        </w:rPr>
        <w:t>1: Adolescent Sexual and Reproductive Health focuses on government documents (constitutions, acts, order, policies, and Strategy) in Nepal.</w:t>
      </w:r>
    </w:p>
    <w:p w14:paraId="43DF50B5" w14:textId="77777777" w:rsidR="00EA283E" w:rsidRPr="00BC61AB" w:rsidRDefault="00EA283E" w:rsidP="00EA283E">
      <w:pPr>
        <w:spacing w:line="360" w:lineRule="auto"/>
        <w:ind w:left="-90"/>
        <w:rPr>
          <w:rFonts w:ascii="Arial" w:hAnsi="Arial" w:cs="Arial"/>
          <w:color w:val="0D0D0D"/>
          <w:shd w:val="clear" w:color="auto" w:fill="FFFFFF"/>
        </w:rPr>
      </w:pPr>
    </w:p>
    <w:tbl>
      <w:tblPr>
        <w:tblStyle w:val="TableGrid"/>
        <w:tblW w:w="5000" w:type="pct"/>
        <w:jc w:val="center"/>
        <w:tblLook w:val="04A0" w:firstRow="1" w:lastRow="0" w:firstColumn="1" w:lastColumn="0" w:noHBand="0" w:noVBand="1"/>
      </w:tblPr>
      <w:tblGrid>
        <w:gridCol w:w="3398"/>
        <w:gridCol w:w="10550"/>
      </w:tblGrid>
      <w:tr w:rsidR="00EA283E" w:rsidRPr="00BC61AB" w14:paraId="3CC4075A" w14:textId="77777777" w:rsidTr="000258A6">
        <w:trPr>
          <w:trHeight w:val="422"/>
          <w:jc w:val="center"/>
        </w:trPr>
        <w:tc>
          <w:tcPr>
            <w:tcW w:w="1218" w:type="pct"/>
          </w:tcPr>
          <w:p w14:paraId="69281894" w14:textId="77777777" w:rsidR="00EA283E" w:rsidRPr="00BC61AB" w:rsidRDefault="00EA283E" w:rsidP="00181604">
            <w:pPr>
              <w:rPr>
                <w:rFonts w:ascii="Arial" w:hAnsi="Arial" w:cs="Arial"/>
                <w:b/>
                <w:color w:val="0D0D0D"/>
                <w:szCs w:val="18"/>
                <w:shd w:val="clear" w:color="auto" w:fill="FFFFFF"/>
              </w:rPr>
            </w:pPr>
            <w:r w:rsidRPr="00BC61AB">
              <w:rPr>
                <w:rFonts w:ascii="Arial" w:hAnsi="Arial" w:cs="Arial"/>
                <w:b/>
                <w:szCs w:val="18"/>
              </w:rPr>
              <w:t xml:space="preserve">Policy Documents </w:t>
            </w:r>
          </w:p>
        </w:tc>
        <w:tc>
          <w:tcPr>
            <w:tcW w:w="3782" w:type="pct"/>
          </w:tcPr>
          <w:p w14:paraId="4243C407" w14:textId="77777777" w:rsidR="00EA283E" w:rsidRPr="00BC61AB" w:rsidRDefault="00EA283E" w:rsidP="00181604">
            <w:pPr>
              <w:rPr>
                <w:rFonts w:ascii="Arial" w:hAnsi="Arial" w:cs="Arial"/>
                <w:b/>
                <w:color w:val="0D0D0D"/>
                <w:szCs w:val="18"/>
                <w:shd w:val="clear" w:color="auto" w:fill="FFFFFF"/>
              </w:rPr>
            </w:pPr>
            <w:r w:rsidRPr="00BC61AB">
              <w:rPr>
                <w:rFonts w:ascii="Arial" w:hAnsi="Arial" w:cs="Arial"/>
                <w:b/>
                <w:color w:val="0D0D0D"/>
                <w:szCs w:val="18"/>
                <w:shd w:val="clear" w:color="auto" w:fill="FFFFFF"/>
              </w:rPr>
              <w:t>Policy descriptions</w:t>
            </w:r>
          </w:p>
        </w:tc>
      </w:tr>
      <w:tr w:rsidR="00EA283E" w:rsidRPr="00BC61AB" w14:paraId="4BACBC03" w14:textId="77777777" w:rsidTr="000258A6">
        <w:trPr>
          <w:trHeight w:val="699"/>
          <w:jc w:val="center"/>
        </w:trPr>
        <w:tc>
          <w:tcPr>
            <w:tcW w:w="1218" w:type="pct"/>
          </w:tcPr>
          <w:p w14:paraId="475AD41F" w14:textId="1A74FE98" w:rsidR="00EA283E" w:rsidRPr="00BC61AB" w:rsidRDefault="00EA283E" w:rsidP="00181604">
            <w:pPr>
              <w:rPr>
                <w:rFonts w:ascii="Arial" w:hAnsi="Arial" w:cs="Arial"/>
                <w:sz w:val="18"/>
                <w:szCs w:val="18"/>
              </w:rPr>
            </w:pPr>
            <w:r w:rsidRPr="00BC61AB">
              <w:rPr>
                <w:rFonts w:ascii="Arial" w:hAnsi="Arial" w:cs="Arial"/>
                <w:sz w:val="18"/>
                <w:szCs w:val="18"/>
              </w:rPr>
              <w:t>Health Policy 1991</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{"citationItems":[{"id":"ITEM-1","itemData":{"abstract":"The present low level of health status is attributable to lack of political commitment, inappropriate strategies and weakness in implementation of health programmes up to the grass root level during the past 30 years. Because of those weaknesses even now the crude death rate is 16 per thousand, crude birth rate is 41 per thousand, child mortality rate is 107 per thousand, maternal mortality rate is 8.5 per thousand and mortality rate of children below5 years is 197 per thousand. These facts and figures have confirmed Nepal as an underdeveloped and backward nation. Regarding health services delivery, there is one hospital for 168 thousand persons and one doctor for 92 thousand persons in the rural areas. Likewise, only one hospital bed is available for nearly 4 thousand persons. There is only one Health post for 24 thousand rural persons, which indicates the inadequacy of PHC services at the rural level. . MAIN DEFICIENCIES IN PREVIOUS HEALTH SERVICES 1. The policy, objectives and strategies outlined for health services were not village oriented and there existed deficiencies in the capability of using the available resources since the rural plans and programmes were not formulated as per the requirements of the rural population.","author":[{"dropping-particle":"","family":"His Majesty Government of Nepal","given":"Ministry of Health and Population","non-dropping-particle":"","parse-names":false,"suffix":""}],"id":"ITEM-1","issued":{"date-parts":[["2000"]]},"number-of-pages":"4-8","title":"Nepal National Health Policy, 1991","type":"report"},"uris":["http://www.mendeley.com/documents/?uuid=6820dc48-1938-4180-9fd9-9b4ddf494e8f"]}],"mendeley":{"formattedCitation":"[1]","manualFormatting":"[ 32]","plainTextFormattedCitation":"[1]","previouslyFormattedCitation":"[32]"},"properties":{"noteIndex":0},"schema":"https://github.com/citation-style-language/schema/raw/master/csl-citation.json"}</w:instrText>
            </w:r>
            <w:r w:rsidRPr="00BC61AB">
              <w:rPr>
                <w:rFonts w:ascii="Arial" w:hAnsi="Arial" w:cs="Arial"/>
                <w:sz w:val="18"/>
                <w:szCs w:val="18"/>
              </w:rPr>
              <w:fldChar w:fldCharType="separate"/>
            </w:r>
            <w:r w:rsidRPr="00BC61AB">
              <w:rPr>
                <w:rFonts w:ascii="Arial" w:hAnsi="Arial" w:cs="Arial"/>
                <w:noProof/>
                <w:sz w:val="18"/>
                <w:szCs w:val="18"/>
              </w:rPr>
              <w:t>[ 32]</w:t>
            </w:r>
            <w:r w:rsidRPr="00BC61AB">
              <w:rPr>
                <w:rFonts w:ascii="Arial" w:hAnsi="Arial" w:cs="Arial"/>
                <w:sz w:val="18"/>
                <w:szCs w:val="18"/>
              </w:rPr>
              <w:fldChar w:fldCharType="end"/>
            </w:r>
          </w:p>
        </w:tc>
        <w:tc>
          <w:tcPr>
            <w:tcW w:w="3782" w:type="pct"/>
          </w:tcPr>
          <w:p w14:paraId="02888D98" w14:textId="2E5CE1BF" w:rsidR="00EA283E" w:rsidRPr="00BC61AB" w:rsidRDefault="00EA283E" w:rsidP="00181604">
            <w:pPr>
              <w:rPr>
                <w:rFonts w:ascii="Arial" w:hAnsi="Arial" w:cs="Arial"/>
                <w:sz w:val="18"/>
                <w:szCs w:val="18"/>
              </w:rPr>
            </w:pPr>
            <w:r w:rsidRPr="00BC61AB">
              <w:rPr>
                <w:rFonts w:ascii="Arial" w:hAnsi="Arial" w:cs="Arial"/>
                <w:sz w:val="18"/>
                <w:szCs w:val="18"/>
              </w:rPr>
              <w:t>Mandated to expand basic healthcare services by increasing the number of health posts to ensure primary healthcare access for all, including family planning and maternal and child health services. However, it did not focus on adolescent and reproductive health at the time</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{"citationItems":[{"id":"ITEM-1","itemData":{"abstract":"The present low level of health status is attributable to lack of political commitment, inappropriate strategies and weakness in implementation of health programmes up to the grass root level during the past 30 years. Because of those weaknesses even now the crude death rate is 16 per thousand, crude birth rate is 41 per thousand, child mortality rate is 107 per thousand, maternal mortality rate is 8.5 per thousand and mortality rate of children below5 years is 197 per thousand. These facts and figures have confirmed Nepal as an underdeveloped and backward nation. Regarding health services delivery, there is one hospital for 168 thousand persons and one doctor for 92 thousand persons in the rural areas. Likewise, only one hospital bed is available for nearly 4 thousand persons. There is only one Health post for 24 thousand rural persons, which indicates the inadequacy of PHC services at the rural level. . MAIN DEFICIENCIES IN PREVIOUS HEALTH SERVICES 1. The policy, objectives and strategies outlined for health services were not village oriented and there existed deficiencies in the capability of using the available resources since the rural plans and programmes were not formulated as per the requirements of the rural population.","author":[{"dropping-particle":"","family":"His Majesty Government of Nepal","given":"Ministry of Health and Population","non-dropping-particle":"","parse-names":false,"suffix":""}],"id":"ITEM-1","issued":{"date-parts":[["2000"]]},"number-of-pages":"4-8","title":"Nepal National Health Policy, 1991","type":"report"},"uris":["http://www.mendeley.com/documents/?uuid=6820dc48-1938-4180-9fd9-9b4ddf494e8f"]}],"mendeley":{"formattedCitation":"[1]","manualFormatting":"[ 32]","plainTextFormattedCitation":"[1]","previouslyFormattedCitation":"[32]"},"properties":{"noteIndex":0},"schema":"https://github.com/citation-style-language/schema/raw/master/csl-citation.json"}</w:instrText>
            </w:r>
            <w:r w:rsidRPr="00BC61AB">
              <w:rPr>
                <w:rFonts w:ascii="Arial" w:hAnsi="Arial" w:cs="Arial"/>
                <w:sz w:val="18"/>
                <w:szCs w:val="18"/>
              </w:rPr>
              <w:fldChar w:fldCharType="separate"/>
            </w:r>
            <w:r w:rsidRPr="00BC61AB">
              <w:rPr>
                <w:rFonts w:ascii="Arial" w:hAnsi="Arial" w:cs="Arial"/>
                <w:noProof/>
                <w:sz w:val="18"/>
                <w:szCs w:val="18"/>
              </w:rPr>
              <w:t>[ 32]</w:t>
            </w:r>
            <w:r w:rsidRPr="00BC61AB">
              <w:rPr>
                <w:rFonts w:ascii="Arial" w:hAnsi="Arial" w:cs="Arial"/>
                <w:sz w:val="18"/>
                <w:szCs w:val="18"/>
              </w:rPr>
              <w:fldChar w:fldCharType="end"/>
            </w:r>
            <w:r w:rsidRPr="00BC61AB">
              <w:rPr>
                <w:rFonts w:ascii="Arial" w:hAnsi="Arial" w:cs="Arial"/>
                <w:sz w:val="18"/>
                <w:szCs w:val="18"/>
              </w:rPr>
              <w:t>.</w:t>
            </w:r>
          </w:p>
        </w:tc>
      </w:tr>
      <w:tr w:rsidR="00EA283E" w:rsidRPr="00BC61AB" w14:paraId="222F0CE2" w14:textId="77777777" w:rsidTr="000258A6">
        <w:trPr>
          <w:trHeight w:val="1137"/>
          <w:jc w:val="center"/>
        </w:trPr>
        <w:tc>
          <w:tcPr>
            <w:tcW w:w="1218" w:type="pct"/>
          </w:tcPr>
          <w:p w14:paraId="3CB596FC" w14:textId="5F4F6AE6" w:rsidR="00EA283E" w:rsidRPr="00BC61AB" w:rsidRDefault="00EA283E" w:rsidP="00181604">
            <w:pPr>
              <w:rPr>
                <w:rFonts w:ascii="Arial" w:hAnsi="Arial" w:cs="Arial"/>
                <w:sz w:val="18"/>
                <w:szCs w:val="18"/>
              </w:rPr>
            </w:pPr>
            <w:r w:rsidRPr="00BC61AB">
              <w:rPr>
                <w:rFonts w:ascii="Arial" w:hAnsi="Arial" w:cs="Arial"/>
                <w:sz w:val="18"/>
                <w:szCs w:val="18"/>
              </w:rPr>
              <w:t xml:space="preserve">National Reproductive Health Strategy 1998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{"citationItems":[{"id":"ITEM-1","itemData":{"ISBN":"2013206534","abstract":"Nepal has shown its commitment to adolescent health through being a signatory to the International Convention on Population and Development (ICPD) Programme of Action. Nepal was also involved when the WHO South East Asia Regional Office (SEARO) developed the Regional Strategy for Adolescent Health and Development in 1996. In 1998 Adolescent Sexual and Reproductive Health (ASRH) was included in Nepal’s National Reproductive Health Strategy. In 2000 the National Adolescent Sexual and Reproductive Health Strategy was developed by the Family Health Division (FHD) of the Ministry of Health and Population (MoHP). Following the strategy, in 2007 the implementation guidelines for ASRH were developed, and in 2010 the National Adolescent Sexual and Reproductive Health Programme was developed by FHD. In addition National Adolescent Friendly Health Services (AFHS) standards and actions was developed as required at the programmatic and facility level. The Nepal Health Sector Program II Implementation Plan 2010–2015 included the target of introducing 1000 AFHS in the public health system by 2015, thereby covering 25% of the government health facilities. Though the demand of service and utilization has not been studied the coverage is as per the NHSP plan. The national reproductive health review meeting in February 2015 identified gaps in quality assurance of the ASRH programme, weak capacity of service providers, poor supervision and monitoring, poor ownership of the programme at local level, poor linkage with other programmes and inadequate information education and communication (IEC) and behaviour change communication (BCC) materials. Many of these issues, particularly health promotion, improved monitoring and quality assurance, are being addressed in the Nepal Health Sector Program Implementation Plan 2016-2020. Also, FHD has revised the NAHD Strategy from 2000. The Innov8 methodology has helped department of Health services to review the programme, drawing selectively on the principles of a human rights based approach and gender-responsive programming and the Tanahashi framework for effective coverage and the WHO framework on social determinants of health. The evaluation of health programmes in general don’t account for the heterogeneity of the populations, subpopulations that are benefiting less from the health programmes that are often missed and hence are neglected. This tool Innov8 will identify the populations which are not covered by the national ASRH prog…","author":[{"dropping-particle":"","family":"Government of Nepal, Ministry of Health","given":"Department of Health Service","non-dropping-particle":"","parse-names":false,"suffix":""}],"id":"ITEM-1","issued":{"date-parts":[["2017"]]},"number-of-pages":"1-23","title":"Adolescent Sexual and Reproductive Health Programme to Address Equity, Social Determinants, Gender and Human Rights in Nepal, Report of the Pilot Project","type":"report"},"uris":["http://www.mendeley.com/documents/?uuid=99df6272-6982-4a6a-8546-f0c740bb17b4"]}],"mendeley":{"formattedCitation":"[2]","plainTextFormattedCitation":"[2]","previouslyFormattedCitation":"[20]"},"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[2]</w:t>
            </w:r>
            <w:r w:rsidRPr="00BC61AB">
              <w:rPr>
                <w:rFonts w:ascii="Arial" w:hAnsi="Arial" w:cs="Arial"/>
                <w:sz w:val="18"/>
                <w:szCs w:val="18"/>
              </w:rPr>
              <w:fldChar w:fldCharType="end"/>
            </w:r>
            <w:r w:rsidRPr="00BC61AB">
              <w:rPr>
                <w:rFonts w:ascii="Arial" w:hAnsi="Arial" w:cs="Arial"/>
                <w:sz w:val="18"/>
                <w:szCs w:val="18"/>
              </w:rPr>
              <w:t>.</w:t>
            </w:r>
          </w:p>
        </w:tc>
        <w:tc>
          <w:tcPr>
            <w:tcW w:w="3782" w:type="pct"/>
          </w:tcPr>
          <w:p w14:paraId="1D6E0E80" w14:textId="30E31C4B" w:rsidR="00EA283E" w:rsidRPr="00BC61AB" w:rsidRDefault="00EA283E" w:rsidP="00181604">
            <w:pPr>
              <w:rPr>
                <w:rFonts w:ascii="Arial" w:hAnsi="Arial" w:cs="Arial"/>
                <w:sz w:val="18"/>
                <w:szCs w:val="18"/>
              </w:rPr>
            </w:pPr>
            <w:r w:rsidRPr="00BC61AB">
              <w:rPr>
                <w:rFonts w:ascii="Arial" w:hAnsi="Arial" w:cs="Arial"/>
                <w:sz w:val="18"/>
                <w:szCs w:val="18"/>
              </w:rPr>
              <w:t xml:space="preserve">The 1998 Strategy was inspired by the International Conference on Population and Development (ICPD) held in 1994. Nepal’s National Reproductive Health Strategy, developed in 1998 as the country’s first Strategy of its kind, was a pioneering effort that included Adolescent Sexual and Reproductive Health as a key component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{"citationItems":[{"id":"ITEM-1","itemData":{"ISBN":"2013206534","abstract":"Nepal has shown its commitment to adolescent health through being a signatory to the International Convention on Population and Development (ICPD) Programme of Action. Nepal was also involved when the WHO South East Asia Regional Office (SEARO) developed the Regional Strategy for Adolescent Health and Development in 1996. In 1998 Adolescent Sexual and Reproductive Health (ASRH) was included in Nepal’s National Reproductive Health Strategy. In 2000 the National Adolescent Sexual and Reproductive Health Strategy was developed by the Family Health Division (FHD) of the Ministry of Health and Population (MoHP). Following the strategy, in 2007 the implementation guidelines for ASRH were developed, and in 2010 the National Adolescent Sexual and Reproductive Health Programme was developed by FHD. In addition National Adolescent Friendly Health Services (AFHS) standards and actions was developed as required at the programmatic and facility level. The Nepal Health Sector Program II Implementation Plan 2010–2015 included the target of introducing 1000 AFHS in the public health system by 2015, thereby covering 25% of the government health facilities. Though the demand of service and utilization has not been studied the coverage is as per the NHSP plan. The national reproductive health review meeting in February 2015 identified gaps in quality assurance of the ASRH programme, weak capacity of service providers, poor supervision and monitoring, poor ownership of the programme at local level, poor linkage with other programmes and inadequate information education and communication (IEC) and behaviour change communication (BCC) materials. Many of these issues, particularly health promotion, improved monitoring and quality assurance, are being addressed in the Nepal Health Sector Program Implementation Plan 2016-2020. Also, FHD has revised the NAHD Strategy from 2000. The Innov8 methodology has helped department of Health services to review the programme, drawing selectively on the principles of a human rights based approach and gender-responsive programming and the Tanahashi framework for effective coverage and the WHO framework on social determinants of health. The evaluation of health programmes in general don’t account for the heterogeneity of the populations, subpopulations that are benefiting less from the health programmes that are often missed and hence are neglected. This tool Innov8 will identify the populations which are not covered by the national ASRH prog…","author":[{"dropping-particle":"","family":"Government of Nepal, Ministry of Health","given":"Department of Health Service","non-dropping-particle":"","parse-names":false,"suffix":""}],"id":"ITEM-1","issued":{"date-parts":[["2017"]]},"number-of-pages":"1-23","title":"Adolescent Sexual and Reproductive Health Programme to Address Equity, Social Determinants, Gender and Human Rights in Nepal, Report of the Pilot Project","type":"report"},"uris":["http://www.mendeley.com/documents/?uuid=99df6272-6982-4a6a-8546-f0c740bb17b4"]}],"mendeley":{"formattedCitation":"[2]","plainTextFormattedCitation":"[2]","previouslyFormattedCitation":"[20]"},"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[2]</w:t>
            </w:r>
            <w:r w:rsidRPr="00BC61AB">
              <w:rPr>
                <w:rFonts w:ascii="Arial" w:hAnsi="Arial" w:cs="Arial"/>
                <w:sz w:val="18"/>
                <w:szCs w:val="18"/>
              </w:rPr>
              <w:fldChar w:fldCharType="end"/>
            </w:r>
            <w:r w:rsidRPr="00BC61AB">
              <w:rPr>
                <w:rFonts w:ascii="Arial" w:hAnsi="Arial" w:cs="Arial"/>
                <w:sz w:val="18"/>
                <w:szCs w:val="18"/>
              </w:rPr>
              <w:t>. The Strategy was mandated to promote adolescents' health and socio-economic status through various measures, including raising the legal age of marriage and reducing adolescent pregnancy rates.</w:t>
            </w:r>
          </w:p>
        </w:tc>
      </w:tr>
      <w:tr w:rsidR="00EA283E" w:rsidRPr="00BC61AB" w14:paraId="660CCC0E" w14:textId="77777777" w:rsidTr="000258A6">
        <w:trPr>
          <w:jc w:val="center"/>
        </w:trPr>
        <w:tc>
          <w:tcPr>
            <w:tcW w:w="1218" w:type="pct"/>
          </w:tcPr>
          <w:p w14:paraId="020DFF6A" w14:textId="39FA51D1" w:rsidR="00EA283E" w:rsidRPr="00BC61AB" w:rsidRDefault="00EA283E" w:rsidP="00181604">
            <w:pPr>
              <w:rPr>
                <w:rFonts w:ascii="Arial" w:hAnsi="Arial" w:cs="Arial"/>
                <w:sz w:val="18"/>
                <w:szCs w:val="18"/>
              </w:rPr>
            </w:pPr>
            <w:r w:rsidRPr="00BC61AB">
              <w:rPr>
                <w:rFonts w:ascii="Arial" w:hAnsi="Arial" w:cs="Arial"/>
                <w:sz w:val="18"/>
                <w:szCs w:val="18"/>
              </w:rPr>
              <w:t xml:space="preserve">National Adolescent Health and Development Strategy 2000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{"citationItems":[{"id":"ITEM-1","itemData":{"author":[{"dropping-particle":"","family":"Department of Health Services","given":"","non-dropping-particle":"","parse-names":false,"suffix":""}],"id":"ITEM-1","issued":{"date-parts":[["2018"]]},"title":"National Adolescent Health and Development Strategy (Unofficial Translation)","type":"report","volume":"2057"},"uris":["http://www.mendeley.com/documents/?uuid=e69967b7-ce6c-4ebe-a523-d5a8d34b689d"]}],"mendeley":{"formattedCitation":"[3]","plainTextFormattedCitation":"[3]","previouslyFormattedCitation":"[21]"},"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[3]</w:t>
            </w:r>
            <w:r w:rsidRPr="00BC61AB">
              <w:rPr>
                <w:rFonts w:ascii="Arial" w:hAnsi="Arial" w:cs="Arial"/>
                <w:sz w:val="18"/>
                <w:szCs w:val="18"/>
              </w:rPr>
              <w:fldChar w:fldCharType="end"/>
            </w:r>
          </w:p>
        </w:tc>
        <w:tc>
          <w:tcPr>
            <w:tcW w:w="3782" w:type="pct"/>
          </w:tcPr>
          <w:p w14:paraId="6E0C39A8" w14:textId="19163787" w:rsidR="00EA283E" w:rsidRPr="00BC61AB" w:rsidRDefault="00EA283E" w:rsidP="00181604">
            <w:pPr>
              <w:rPr>
                <w:rFonts w:ascii="Arial" w:hAnsi="Arial" w:cs="Arial"/>
                <w:sz w:val="18"/>
                <w:szCs w:val="18"/>
              </w:rPr>
            </w:pPr>
            <w:r w:rsidRPr="00BC61AB">
              <w:rPr>
                <w:rFonts w:ascii="Arial" w:hAnsi="Arial" w:cs="Arial"/>
                <w:sz w:val="18"/>
                <w:szCs w:val="18"/>
              </w:rPr>
              <w:t xml:space="preserve">The Adolescent Health and Development Strategy 2000 was Nepal’s first dedicated policy framework to improve adolescents' health and well-being. The Strategy introduced a more focused and comprehensive approach to addressing adolescents' health needs and expanded focus beyond reproductive health, such as life skills education, mental health, etc.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{"citationItems":[{"id":"ITEM-1","itemData":{"author":[{"dropping-particle":"","family":"Department of Health Services","given":"","non-dropping-particle":"","parse-names":false,"suffix":""}],"id":"ITEM-1","issued":{"date-parts":[["2018"]]},"title":"National Adolescent Health and Development Strategy (Unofficial Translation)","type":"report","volume":"2057"},"uris":["http://www.mendeley.com/documents/?uuid=e69967b7-ce6c-4ebe-a523-d5a8d34b689d"]}],"mendeley":{"formattedCitation":"[3]","plainTextFormattedCitation":"[3]","previouslyFormattedCitation":"[21]"},"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[3]</w:t>
            </w:r>
            <w:r w:rsidRPr="00BC61AB">
              <w:rPr>
                <w:rFonts w:ascii="Arial" w:hAnsi="Arial" w:cs="Arial"/>
                <w:sz w:val="18"/>
                <w:szCs w:val="18"/>
              </w:rPr>
              <w:fldChar w:fldCharType="end"/>
            </w:r>
            <w:r w:rsidRPr="00BC61AB">
              <w:rPr>
                <w:rFonts w:ascii="Arial" w:hAnsi="Arial" w:cs="Arial"/>
                <w:sz w:val="18"/>
                <w:szCs w:val="18"/>
              </w:rPr>
              <w:t xml:space="preserve">. Following the Strategy, the GoN launched a national program 2010 to provide adolescent-friendly sexual and reproductive health services as part of its five-year health sector plans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{"citationItems":[{"id":"ITEM-1","itemData":{"DOI":"10.1128/AAC.03728-14","ISBN":"9788578110796","ISSN":"10986596","PMID":"25246403","abstract":"Acinetobacter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Sugawara","given":"Etsuko","non-dropping-particle":"","parse-names":false,"suffix":""},{"dropping-particle":"","family":"Nikaido","given":"Hiroshi","non-dropping-particle":"","parse-names":false,"suffix":""}],"container-title":"Antimicrobial Agents and Chemotherapy","id":"ITEM-1","issue":"12","issued":{"date-parts":[["2014"]]},"page":"7250-7257","title":"Properties of AdeABC and AdeIJK efflux systems of Acinetobacter baumannii compared with those of the AcrAB-TolC system of Escherichia coli","type":"article-journal","volume":"58"},"uris":["http://www.mendeley.com/documents/?uuid=8cff25d9-79c4-4c78-bbc1-9acc1f9fec44"]}],"mendeley":{"formattedCitation":"[4]","plainTextFormattedCitation":"[4]","previouslyFormattedCitation":"[22]"},"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[4]</w:t>
            </w:r>
            <w:r w:rsidRPr="00BC61AB">
              <w:rPr>
                <w:rFonts w:ascii="Arial" w:hAnsi="Arial" w:cs="Arial"/>
                <w:sz w:val="18"/>
                <w:szCs w:val="18"/>
              </w:rPr>
              <w:fldChar w:fldCharType="end"/>
            </w:r>
            <w:r w:rsidRPr="00BC61AB">
              <w:rPr>
                <w:rFonts w:ascii="Arial" w:hAnsi="Arial" w:cs="Arial"/>
                <w:sz w:val="18"/>
                <w:szCs w:val="18"/>
              </w:rPr>
              <w:t>.</w:t>
            </w:r>
          </w:p>
        </w:tc>
      </w:tr>
      <w:tr w:rsidR="00EA283E" w:rsidRPr="00BC61AB" w14:paraId="64FC58B4" w14:textId="77777777" w:rsidTr="000258A6">
        <w:trPr>
          <w:jc w:val="center"/>
        </w:trPr>
        <w:tc>
          <w:tcPr>
            <w:tcW w:w="1218" w:type="pct"/>
          </w:tcPr>
          <w:p w14:paraId="13FD26C1" w14:textId="7D0761B5" w:rsidR="00EA283E" w:rsidRPr="00BC61AB" w:rsidRDefault="00EA283E" w:rsidP="00181604">
            <w:pPr>
              <w:rPr>
                <w:rFonts w:ascii="Arial" w:hAnsi="Arial" w:cs="Arial"/>
                <w:sz w:val="18"/>
                <w:szCs w:val="18"/>
              </w:rPr>
            </w:pPr>
            <w:r w:rsidRPr="00BC61AB">
              <w:rPr>
                <w:rFonts w:ascii="Arial" w:hAnsi="Arial" w:cs="Arial"/>
                <w:sz w:val="18"/>
                <w:szCs w:val="18"/>
              </w:rPr>
              <w:t xml:space="preserve">The Constitution of Nepal 2015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{"citationItems":[{"id":"ITEM-1","itemData":{"abstract":"Preamble: We, the Sovereign People of Nepal, Internalizing the people's sovereign right and right to autonomy and self-rule, while maintaining freedom, sovereignty, territorial integrity, national unity, independence and dignity of Nepal, Recalling the glorious history of historic people's movements, armed conflict, dedication and sacrifice undertaken by the Nepalese people at times for the interest of the nation, democracy and progressive changes, and respecting for the martyrs and disappeared and victim citizens, Ending all forms of discrimination and oppression created by the feudalistic, autocratic, centralized, unitary system of governance, Protecting and promoting social and cultural solidarity, tolerance and harmony, and unity in diversity by recognizing the multi-ethnic, multilingual , multi-religious, multi-cultural and diverse regional characteristics, resolving to build an egalitarian society founded on the proportional inclusive and participatory principles in order to ensure economic equality, prosperity and social justice, by eliminating discrimination based on class, caste, region, language, religion and gender and all forms of caste-based untouchability, and Being committed to socialism based on democratic norms and values including the people's competitive multiparty democratic system of governance, civil liberties, fundamental rights, human rights, adult franchise, periodic elections, full freedom of the","author":[{"dropping-particle":"","family":"GoN","given":"2015","non-dropping-particle":"","parse-names":false,"suffix":""}],"container-title":"Nepal Gazette","id":"ITEM-1","issued":{"date-parts":[["2015"]]},"page":"1-226","title":"The Constitution of Nepal","type":"bill"},"uris":["http://www.mendeley.com/documents/?uuid=2c60fea5-581a-4b2e-a51d-449585feb04a"]}],"mendeley":{"formattedCitation":"[5]","plainTextFormattedCitation":"[5]","previouslyFormattedCitation":"[23]"},"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[5]</w:t>
            </w:r>
            <w:r w:rsidRPr="00BC61AB">
              <w:rPr>
                <w:rFonts w:ascii="Arial" w:hAnsi="Arial" w:cs="Arial"/>
                <w:sz w:val="18"/>
                <w:szCs w:val="18"/>
              </w:rPr>
              <w:fldChar w:fldCharType="end"/>
            </w:r>
            <w:r w:rsidRPr="00BC61AB">
              <w:rPr>
                <w:rFonts w:ascii="Arial" w:hAnsi="Arial" w:cs="Arial"/>
                <w:sz w:val="18"/>
                <w:szCs w:val="18"/>
              </w:rPr>
              <w:t>.</w:t>
            </w:r>
          </w:p>
          <w:p w14:paraId="71C482A4" w14:textId="77777777" w:rsidR="00EA283E" w:rsidRPr="00BC61AB" w:rsidRDefault="00EA283E" w:rsidP="00181604">
            <w:pPr>
              <w:rPr>
                <w:rFonts w:ascii="Arial" w:hAnsi="Arial" w:cs="Arial"/>
                <w:sz w:val="18"/>
                <w:szCs w:val="18"/>
              </w:rPr>
            </w:pPr>
          </w:p>
          <w:p w14:paraId="1AD4C730" w14:textId="77777777" w:rsidR="00EA283E" w:rsidRPr="00BC61AB" w:rsidRDefault="00EA283E" w:rsidP="00181604">
            <w:pPr>
              <w:rPr>
                <w:rFonts w:ascii="Arial" w:hAnsi="Arial" w:cs="Arial"/>
                <w:sz w:val="18"/>
                <w:szCs w:val="18"/>
              </w:rPr>
            </w:pPr>
          </w:p>
          <w:p w14:paraId="6FEA4EC8" w14:textId="77777777" w:rsidR="00EA283E" w:rsidRPr="00BC61AB" w:rsidRDefault="00EA283E" w:rsidP="00181604">
            <w:pPr>
              <w:rPr>
                <w:rFonts w:ascii="Arial" w:hAnsi="Arial" w:cs="Arial"/>
                <w:sz w:val="18"/>
                <w:szCs w:val="18"/>
              </w:rPr>
            </w:pPr>
          </w:p>
        </w:tc>
        <w:tc>
          <w:tcPr>
            <w:tcW w:w="3782" w:type="pct"/>
          </w:tcPr>
          <w:p w14:paraId="0ADD4067" w14:textId="6FC6AC2D" w:rsidR="00EA283E" w:rsidRPr="00BC61AB" w:rsidRDefault="00EA283E" w:rsidP="00181604">
            <w:pPr>
              <w:rPr>
                <w:rFonts w:ascii="Arial" w:hAnsi="Arial" w:cs="Arial"/>
                <w:sz w:val="18"/>
                <w:szCs w:val="18"/>
              </w:rPr>
            </w:pPr>
            <w:r w:rsidRPr="00BC61AB">
              <w:rPr>
                <w:rFonts w:ascii="Arial" w:hAnsi="Arial" w:cs="Arial"/>
                <w:sz w:val="18"/>
                <w:szCs w:val="18"/>
              </w:rPr>
              <w:t xml:space="preserve">The constitution of Nepal (2015) ensures the right to equality (Article 18) and the right to reproductive health (Article 38), and law became effective on September 2015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{"citationItems":[{"id":"ITEM-1","itemData":{"abstract":"Preamble: We, the Sovereign People of Nepal, Internalizing the people's sovereign right and right to autonomy and self-rule, while maintaining freedom, sovereignty, territorial integrity, national unity, independence and dignity of Nepal, Recalling the glorious history of historic people's movements, armed conflict, dedication and sacrifice undertaken by the Nepalese people at times for the interest of the nation, democracy and progressive changes, and respecting for the martyrs and disappeared and victim citizens, Ending all forms of discrimination and oppression created by the feudalistic, autocratic, centralized, unitary system of governance, Protecting and promoting social and cultural solidarity, tolerance and harmony, and unity in diversity by recognizing the multi-ethnic, multilingual , multi-religious, multi-cultural and diverse regional characteristics, resolving to build an egalitarian society founded on the proportional inclusive and participatory principles in order to ensure economic equality, prosperity and social justice, by eliminating discrimination based on class, caste, region, language, religion and gender and all forms of caste-based untouchability, and Being committed to socialism based on democratic norms and values including the people's competitive multiparty democratic system of governance, civil liberties, fundamental rights, human rights, adult franchise, periodic elections, full freedom of the","author":[{"dropping-particle":"","family":"GoN","given":"2015","non-dropping-particle":"","parse-names":false,"suffix":""}],"container-title":"Nepal Gazette","id":"ITEM-1","issued":{"date-parts":[["2015"]]},"page":"1-226","title":"The Constitution of Nepal","type":"bill"},"uris":["http://www.mendeley.com/documents/?uuid=2c60fea5-581a-4b2e-a51d-449585feb04a"]}],"mendeley":{"formattedCitation":"[5]","plainTextFormattedCitation":"[5]","previouslyFormattedCitation":"[23]"},"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[5]</w:t>
            </w:r>
            <w:r w:rsidRPr="00BC61AB">
              <w:rPr>
                <w:rFonts w:ascii="Arial" w:hAnsi="Arial" w:cs="Arial"/>
                <w:sz w:val="18"/>
                <w:szCs w:val="18"/>
              </w:rPr>
              <w:fldChar w:fldCharType="end"/>
            </w:r>
            <w:r w:rsidRPr="00BC61AB">
              <w:rPr>
                <w:rFonts w:ascii="Arial" w:hAnsi="Arial" w:cs="Arial"/>
                <w:sz w:val="18"/>
                <w:szCs w:val="18"/>
              </w:rPr>
              <w:t xml:space="preserve">. It ensures free access to SRH services and promotes family planning and adolescent-friendly services. It also prohibits child marriage (Article 39) and protects adolescents from child marriage. </w:t>
            </w:r>
          </w:p>
        </w:tc>
      </w:tr>
      <w:tr w:rsidR="00EA283E" w:rsidRPr="00BC61AB" w14:paraId="7A92767E" w14:textId="77777777" w:rsidTr="000258A6">
        <w:trPr>
          <w:jc w:val="center"/>
        </w:trPr>
        <w:tc>
          <w:tcPr>
            <w:tcW w:w="1218" w:type="pct"/>
          </w:tcPr>
          <w:p w14:paraId="3FE3CE74" w14:textId="01B8D270" w:rsidR="00EA283E" w:rsidRPr="00BC61AB" w:rsidRDefault="00EA283E" w:rsidP="00181604">
            <w:pPr>
              <w:rPr>
                <w:rFonts w:ascii="Arial" w:hAnsi="Arial" w:cs="Arial"/>
                <w:sz w:val="18"/>
                <w:szCs w:val="18"/>
              </w:rPr>
            </w:pPr>
            <w:r w:rsidRPr="00BC61AB">
              <w:rPr>
                <w:rFonts w:ascii="Arial" w:hAnsi="Arial" w:cs="Arial"/>
                <w:sz w:val="18"/>
                <w:szCs w:val="18"/>
              </w:rPr>
              <w:t xml:space="preserve">National Civil Code, 2017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Statements","given":"Preliminary","non-dropping-particle":"","parse-names":false,"suffix":""},{"dropping-particle":"","family":"Authority","given":"Paternal","non-dropping-particle":"","parse-names":false,"suffix":""}],"id":"ITEM-1","issue":"2074","issued":{"date-parts":[["2017"]]},"title":"The National Civil ( Code ) Act , 2017 ( 2074 )","type":"report","volume":"2017"},"uris":["http://www.mendeley.com/documents/?uuid=5019989d-2808-449e-b25c-cbb2ba878afa"]}],"mendeley":{"formattedCitation":"[6]","plainTextFormattedCitation":"[6]","previouslyFormattedCitation":"[24]"},"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[6]</w:t>
            </w:r>
            <w:r w:rsidRPr="00BC61AB">
              <w:rPr>
                <w:rFonts w:ascii="Arial" w:hAnsi="Arial" w:cs="Arial"/>
                <w:sz w:val="18"/>
                <w:szCs w:val="18"/>
              </w:rPr>
              <w:fldChar w:fldCharType="end"/>
            </w:r>
          </w:p>
        </w:tc>
        <w:tc>
          <w:tcPr>
            <w:tcW w:w="3782" w:type="pct"/>
          </w:tcPr>
          <w:p w14:paraId="2174028C" w14:textId="65118475" w:rsidR="00EA283E" w:rsidRPr="00BC61AB" w:rsidRDefault="00EA283E" w:rsidP="00181604">
            <w:pPr>
              <w:rPr>
                <w:rFonts w:ascii="Arial" w:hAnsi="Arial" w:cs="Arial"/>
                <w:sz w:val="18"/>
                <w:szCs w:val="18"/>
              </w:rPr>
            </w:pPr>
            <w:r w:rsidRPr="00BC61AB">
              <w:rPr>
                <w:rFonts w:ascii="Arial" w:hAnsi="Arial" w:cs="Arial"/>
                <w:sz w:val="18"/>
                <w:szCs w:val="18"/>
              </w:rPr>
              <w:t xml:space="preserve">As per section 70 (1) (d) of National Civil Code, 2017, the minimum age for marriage was upgraded to 20 and included the provision of a one-year jail sentence and/ or a fine of Nepalese Rupees (NRs) 10,000 (USD 74.90) for anyone found guilty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Statements","given":"Preliminary","non-dropping-particle":"","parse-names":false,"suffix":""},{"dropping-particle":"","family":"Authority","given":"Paternal","non-dropping-particle":"","parse-names":false,"suffix":""}],"id":"ITEM-1","issue":"2074","issued":{"date-parts":[["2017"]]},"title":"The National Civil ( Code ) Act , 2017 ( 2074 )","type":"report","volume":"2017"},"uris":["http://www.mendeley.com/documents/?uuid=5019989d-2808-449e-b25c-cbb2ba878afa"]}],"mendeley":{"formattedCitation":"[6]","plainTextFormattedCitation":"[6]","previouslyFormattedCitation":"[24]"},"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[6]</w:t>
            </w:r>
            <w:r w:rsidRPr="00BC61AB">
              <w:rPr>
                <w:rFonts w:ascii="Arial" w:hAnsi="Arial" w:cs="Arial"/>
                <w:sz w:val="18"/>
                <w:szCs w:val="18"/>
              </w:rPr>
              <w:fldChar w:fldCharType="end"/>
            </w:r>
            <w:r w:rsidRPr="00BC61AB">
              <w:rPr>
                <w:rFonts w:ascii="Arial" w:hAnsi="Arial" w:cs="Arial"/>
                <w:sz w:val="18"/>
                <w:szCs w:val="18"/>
              </w:rPr>
              <w:t>.</w:t>
            </w:r>
          </w:p>
        </w:tc>
      </w:tr>
      <w:tr w:rsidR="00EA283E" w:rsidRPr="00BC61AB" w14:paraId="12C88B7A" w14:textId="77777777" w:rsidTr="000258A6">
        <w:trPr>
          <w:trHeight w:val="915"/>
          <w:jc w:val="center"/>
        </w:trPr>
        <w:tc>
          <w:tcPr>
            <w:tcW w:w="1218" w:type="pct"/>
          </w:tcPr>
          <w:p w14:paraId="5FD8C478" w14:textId="40C82112" w:rsidR="00EA283E" w:rsidRPr="00BC61AB" w:rsidRDefault="00EA283E" w:rsidP="00181604">
            <w:pPr>
              <w:rPr>
                <w:rFonts w:ascii="Arial" w:hAnsi="Arial" w:cs="Arial"/>
                <w:sz w:val="18"/>
                <w:szCs w:val="18"/>
              </w:rPr>
            </w:pPr>
            <w:r w:rsidRPr="00BC61AB">
              <w:rPr>
                <w:rFonts w:ascii="Arial" w:hAnsi="Arial" w:cs="Arial"/>
                <w:sz w:val="18"/>
                <w:szCs w:val="18"/>
              </w:rPr>
              <w:t xml:space="preserve">National Safe Motherhood and Reproductive Health Act 2018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{"citationItems":[{"id":"ITEM-1","itemData":{"author":[{"dropping-particle":"","family":"Nepal Law Commission","given":"","non-dropping-particle":"","parse-names":false,"suffix":""}],"id":"ITEM-1","issued":{"date-parts":[["2018"]]},"number":"9-2075","publisher-place":"Nepal","title":"The Right to Safe Motherhood and Reproductive Health Act, 2018","type":"legislation"},"uris":["http://www.mendeley.com/documents/?uuid=545a3018-9a79-4476-ab0c-7c1f83157eeb"]}],"mendeley":{"formattedCitation":"[7]","plainTextFormattedCitation":"[7]","previouslyFormattedCitation":"[25]"},"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[7]</w:t>
            </w:r>
            <w:r w:rsidRPr="00BC61AB">
              <w:rPr>
                <w:rFonts w:ascii="Arial" w:hAnsi="Arial" w:cs="Arial"/>
                <w:sz w:val="18"/>
                <w:szCs w:val="18"/>
              </w:rPr>
              <w:fldChar w:fldCharType="end"/>
            </w:r>
            <w:r w:rsidRPr="00BC61AB">
              <w:rPr>
                <w:rFonts w:ascii="Arial" w:hAnsi="Arial" w:cs="Arial"/>
                <w:sz w:val="18"/>
                <w:szCs w:val="18"/>
              </w:rPr>
              <w:t>.</w:t>
            </w:r>
          </w:p>
        </w:tc>
        <w:tc>
          <w:tcPr>
            <w:tcW w:w="3782" w:type="pct"/>
          </w:tcPr>
          <w:p w14:paraId="19F623CF" w14:textId="58BB54F9" w:rsidR="00EA283E" w:rsidRPr="00BC61AB" w:rsidRDefault="00EA283E" w:rsidP="00181604">
            <w:pPr>
              <w:rPr>
                <w:rFonts w:ascii="Arial" w:hAnsi="Arial" w:cs="Arial"/>
                <w:sz w:val="18"/>
                <w:szCs w:val="18"/>
              </w:rPr>
            </w:pPr>
            <w:r w:rsidRPr="00BC61AB">
              <w:rPr>
                <w:rFonts w:ascii="Arial" w:hAnsi="Arial" w:cs="Arial"/>
                <w:sz w:val="18"/>
                <w:szCs w:val="18"/>
              </w:rPr>
              <w:t xml:space="preserve">Nepal’s Safe Motherhood and Reproductive Health Act 2018 is committed to realizing rights and choices for all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{"citationItems":[{"id":"ITEM-1","itemData":{"author":[{"dropping-particle":"","family":"Nepal Law Commission","given":"","non-dropping-particle":"","parse-names":false,"suffix":""}],"id":"ITEM-1","issued":{"date-parts":[["2018"]]},"number":"9-2075","publisher-place":"Nepal","title":"The Right to Safe Motherhood and Reproductive Health Act, 2018","type":"legislation"},"uris":["http://www.mendeley.com/documents/?uuid=545a3018-9a79-4476-ab0c-7c1f83157eeb"]}],"mendeley":{"formattedCitation":"[7]","plainTextFormattedCitation":"[7]","previouslyFormattedCitation":"[25]"},"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[7]</w:t>
            </w:r>
            <w:r w:rsidRPr="00BC61AB">
              <w:rPr>
                <w:rFonts w:ascii="Arial" w:hAnsi="Arial" w:cs="Arial"/>
                <w:sz w:val="18"/>
                <w:szCs w:val="18"/>
              </w:rPr>
              <w:fldChar w:fldCharType="end"/>
            </w:r>
            <w:r w:rsidRPr="00BC61AB">
              <w:rPr>
                <w:rFonts w:ascii="Arial" w:hAnsi="Arial" w:cs="Arial"/>
                <w:sz w:val="18"/>
                <w:szCs w:val="18"/>
              </w:rPr>
              <w:t>. Mandated to ensure adolescents access to reproductive health services including contraception, safe abortion and youth-friendly care. The Act also guarantees confidential and non-discriminatory services for adolescents.</w:t>
            </w:r>
          </w:p>
        </w:tc>
      </w:tr>
      <w:tr w:rsidR="00EA283E" w:rsidRPr="00BC61AB" w14:paraId="3A1E33D6" w14:textId="77777777" w:rsidTr="000258A6">
        <w:trPr>
          <w:jc w:val="center"/>
        </w:trPr>
        <w:tc>
          <w:tcPr>
            <w:tcW w:w="1218" w:type="pct"/>
          </w:tcPr>
          <w:p w14:paraId="329B818A" w14:textId="661ECA2F" w:rsidR="00EA283E" w:rsidRPr="00BC61AB" w:rsidRDefault="00EA283E" w:rsidP="00181604">
            <w:pPr>
              <w:rPr>
                <w:rFonts w:ascii="Arial" w:hAnsi="Arial" w:cs="Arial"/>
                <w:sz w:val="18"/>
                <w:szCs w:val="18"/>
              </w:rPr>
            </w:pPr>
            <w:r w:rsidRPr="00BC61AB">
              <w:rPr>
                <w:rFonts w:ascii="Arial" w:hAnsi="Arial" w:cs="Arial"/>
                <w:sz w:val="18"/>
                <w:szCs w:val="18"/>
              </w:rPr>
              <w:t xml:space="preserve">Adolescents Health and Development Strategy 2018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{"citationItems":[{"id":"ITEM-1","itemData":{"author":[{"dropping-particle":"","family":"Department of Health Services","given":"","non-dropping-particle":"","parse-names":false,"suffix":""}],"id":"ITEM-1","issued":{"date-parts":[["2018"]]},"title":"National Adolescent Health and Development Strategy (Unofficial Translation)","type":"report","volume":"2057"},"uris":["http://www.mendeley.com/documents/?uuid=e69967b7-ce6c-4ebe-a523-d5a8d34b689d"]}],"mendeley":{"formattedCitation":"[3]","plainTextFormattedCitation":"[3]","previouslyFormattedCitation":"[21]"},"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[3]</w:t>
            </w:r>
            <w:r w:rsidRPr="00BC61AB">
              <w:rPr>
                <w:rFonts w:ascii="Arial" w:hAnsi="Arial" w:cs="Arial"/>
                <w:sz w:val="18"/>
                <w:szCs w:val="18"/>
              </w:rPr>
              <w:fldChar w:fldCharType="end"/>
            </w:r>
          </w:p>
        </w:tc>
        <w:tc>
          <w:tcPr>
            <w:tcW w:w="3782" w:type="pct"/>
          </w:tcPr>
          <w:p w14:paraId="12C56A25" w14:textId="0868554B" w:rsidR="00EA283E" w:rsidRPr="00BC61AB" w:rsidRDefault="00EA283E" w:rsidP="00181604">
            <w:pPr>
              <w:rPr>
                <w:rFonts w:ascii="Arial" w:hAnsi="Arial" w:cs="Arial"/>
                <w:sz w:val="18"/>
                <w:szCs w:val="18"/>
              </w:rPr>
            </w:pPr>
            <w:r w:rsidRPr="00BC61AB">
              <w:rPr>
                <w:rFonts w:ascii="Arial" w:hAnsi="Arial" w:cs="Arial"/>
                <w:sz w:val="18"/>
                <w:szCs w:val="18"/>
              </w:rPr>
              <w:t>Nepal's Adolescent Health and Development Strategy in 2018 was amended to address emerging health issues and align with Sustainable Development Goals</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{"citationItems":[{"id":"ITEM-1","itemData":{"author":[{"dropping-particle":"","family":"Department of Health Services","given":"","non-dropping-particle":"","parse-names":false,"suffix":""}],"id":"ITEM-1","issued":{"date-parts":[["2018"]]},"title":"National Adolescent Health and Development Strategy (Unofficial Translation)","type":"report","volume":"2057"},"uris":["http://www.mendeley.com/documents/?uuid=e69967b7-ce6c-4ebe-a523-d5a8d34b689d"]}],"mendeley":{"formattedCitation":"[3]","plainTextFormattedCitation":"[3]","previouslyFormattedCitation":"[21]"},"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[3]</w:t>
            </w:r>
            <w:r w:rsidRPr="00BC61AB">
              <w:rPr>
                <w:rFonts w:ascii="Arial" w:hAnsi="Arial" w:cs="Arial"/>
                <w:sz w:val="18"/>
                <w:szCs w:val="18"/>
              </w:rPr>
              <w:fldChar w:fldCharType="end"/>
            </w:r>
            <w:r w:rsidRPr="00BC61AB">
              <w:rPr>
                <w:rFonts w:ascii="Arial" w:hAnsi="Arial" w:cs="Arial"/>
                <w:sz w:val="18"/>
                <w:szCs w:val="18"/>
              </w:rPr>
              <w:t xml:space="preserve">. </w:t>
            </w:r>
          </w:p>
          <w:p w14:paraId="3A85CD35" w14:textId="77777777" w:rsidR="00EA283E" w:rsidRPr="00BC61AB" w:rsidRDefault="00EA283E" w:rsidP="00181604">
            <w:pPr>
              <w:rPr>
                <w:rFonts w:ascii="Arial" w:hAnsi="Arial" w:cs="Arial"/>
                <w:sz w:val="18"/>
                <w:szCs w:val="18"/>
              </w:rPr>
            </w:pPr>
            <w:r w:rsidRPr="00BC61AB">
              <w:rPr>
                <w:rFonts w:ascii="Arial" w:hAnsi="Arial" w:cs="Arial"/>
                <w:sz w:val="18"/>
                <w:szCs w:val="18"/>
              </w:rPr>
              <w:t xml:space="preserve">Focuses on reducing teenage pregnancy through Comprehensive sexuality education, improved access to adolescent-friendly reproductive health services, and community awareness programs addressing social determinants like early marriage. </w:t>
            </w:r>
          </w:p>
        </w:tc>
      </w:tr>
      <w:tr w:rsidR="00EA283E" w:rsidRPr="00BC61AB" w14:paraId="120F5412" w14:textId="77777777" w:rsidTr="000258A6">
        <w:trPr>
          <w:jc w:val="center"/>
        </w:trPr>
        <w:tc>
          <w:tcPr>
            <w:tcW w:w="1218" w:type="pct"/>
          </w:tcPr>
          <w:p w14:paraId="33B75A75" w14:textId="6167E18E" w:rsidR="00EA283E" w:rsidRPr="00BC61AB" w:rsidRDefault="00EA283E" w:rsidP="00181604">
            <w:pPr>
              <w:rPr>
                <w:rFonts w:ascii="Arial" w:hAnsi="Arial" w:cs="Arial"/>
                <w:sz w:val="18"/>
                <w:szCs w:val="18"/>
              </w:rPr>
            </w:pPr>
            <w:r w:rsidRPr="00BC61AB">
              <w:rPr>
                <w:rFonts w:ascii="Arial" w:hAnsi="Arial" w:cs="Arial"/>
                <w:sz w:val="18"/>
                <w:szCs w:val="18"/>
              </w:rPr>
              <w:t xml:space="preserve">National Health Policy 2019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{"citationItems":[{"id":"ITEM-1","itemData":{"author":[{"dropping-particle":"","family":"Ministry of Health and Population","given":"","non-dropping-particle":"","parse-names":false,"suffix":""}],"id":"ITEM-1","issued":{"date-parts":[["2019"]]},"publisher-place":"Kathmandu, Nepal","title":"National Health Policy 2019 (Unofficial Translation)","type":"bill"},"uris":["http://www.mendeley.com/documents/?uuid=50b159fe-b55d-49d7-b946-215f227bf049"]}],"mendeley":{"formattedCitation":"[8]","plainTextFormattedCitation":"[8]","previouslyFormattedCitation":"[33]"},"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[8]</w:t>
            </w:r>
            <w:r w:rsidRPr="00BC61AB">
              <w:rPr>
                <w:rFonts w:ascii="Arial" w:hAnsi="Arial" w:cs="Arial"/>
                <w:sz w:val="18"/>
                <w:szCs w:val="18"/>
              </w:rPr>
              <w:fldChar w:fldCharType="end"/>
            </w:r>
          </w:p>
        </w:tc>
        <w:tc>
          <w:tcPr>
            <w:tcW w:w="3782" w:type="pct"/>
          </w:tcPr>
          <w:p w14:paraId="1C15F972" w14:textId="77777777" w:rsidR="00EA283E" w:rsidRPr="00BC61AB" w:rsidRDefault="00EA283E" w:rsidP="00181604">
            <w:pPr>
              <w:rPr>
                <w:rFonts w:ascii="Arial" w:hAnsi="Arial" w:cs="Arial"/>
                <w:sz w:val="18"/>
                <w:szCs w:val="18"/>
              </w:rPr>
            </w:pPr>
            <w:r w:rsidRPr="00BC61AB">
              <w:rPr>
                <w:rFonts w:ascii="Arial" w:hAnsi="Arial" w:cs="Arial"/>
                <w:sz w:val="18"/>
                <w:szCs w:val="18"/>
              </w:rPr>
              <w:t xml:space="preserve">The policy mandates to address adolescent sexual and reproductive health, ensuring better health outcomes for adolescents. The policy emphasizes establishing adolescent-friendly health services, which include providing sexual and reproductive health education, counseling and services specifically tailored to the needs of young people. The policy also calls for strengthening laws and regulations to protect adolescents from early and forced marriages, a key factor contributing to teenage pregnancies. </w:t>
            </w:r>
          </w:p>
        </w:tc>
      </w:tr>
      <w:tr w:rsidR="00EA283E" w:rsidRPr="00BC61AB" w14:paraId="392876EF" w14:textId="77777777" w:rsidTr="000258A6">
        <w:trPr>
          <w:jc w:val="center"/>
        </w:trPr>
        <w:tc>
          <w:tcPr>
            <w:tcW w:w="1218" w:type="pct"/>
          </w:tcPr>
          <w:p w14:paraId="7118FF38" w14:textId="76D9CE1E" w:rsidR="00EA283E" w:rsidRPr="00BC61AB" w:rsidRDefault="00EA283E" w:rsidP="00181604">
            <w:pPr>
              <w:rPr>
                <w:rFonts w:ascii="Arial" w:hAnsi="Arial" w:cs="Arial"/>
                <w:sz w:val="18"/>
                <w:szCs w:val="18"/>
              </w:rPr>
            </w:pPr>
            <w:r w:rsidRPr="00BC61AB">
              <w:rPr>
                <w:rFonts w:ascii="Arial" w:hAnsi="Arial" w:cs="Arial"/>
                <w:sz w:val="18"/>
                <w:szCs w:val="18"/>
              </w:rPr>
              <w:t xml:space="preserve">Nepal Health Sector Strategy 2016-2021 and 2022-2030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{"citationItems":[{"id":"ITEM-1","itemData":{"author":[{"dropping-particle":"","family":"Governement of Nepal","given":"","non-dropping-particle":"","parse-names":false,"suffix":""}],"id":"ITEM-1","issued":{"date-parts":[["2015"]]},"title":"Nepal Health Sector Strategy.Ministry of Health and Population, Kathmandu","type":"report"},"uris":["http://www.mendeley.com/documents/?uuid=25a9a982-4c34-4c9d-85b3-29b42c156d2b"]},{"id":"ITEM-2","itemData":{"author":[{"dropping-particle":"","family":"Ministry of Health and Population","given":"","non-dropping-particle":"","parse-names":false,"suffix":""}],"container-title":"Nepal Health Sector Strategy","id":"ITEM-2","issued":{"date-parts":[["2015"]]},"page":"1-26","title":"Nepal Health Sector Strategy","type":"article-journal"},"uris":["http://www.mendeley.com/documents/?uuid=d4799525-12ac-4210-af90-c74e1e7f7453"]}],"mendeley":{"formattedCitation":"[9,10]","plainTextFormattedCitation":"[9,10]","previouslyFormattedCitation":"[26,27]"},"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[9,10]</w:t>
            </w:r>
            <w:r w:rsidRPr="00BC61AB">
              <w:rPr>
                <w:rFonts w:ascii="Arial" w:hAnsi="Arial" w:cs="Arial"/>
                <w:sz w:val="18"/>
                <w:szCs w:val="18"/>
              </w:rPr>
              <w:fldChar w:fldCharType="end"/>
            </w:r>
            <w:r w:rsidRPr="00BC61AB">
              <w:rPr>
                <w:rFonts w:ascii="Arial" w:hAnsi="Arial" w:cs="Arial"/>
                <w:sz w:val="18"/>
                <w:szCs w:val="18"/>
              </w:rPr>
              <w:t>.</w:t>
            </w:r>
          </w:p>
        </w:tc>
        <w:tc>
          <w:tcPr>
            <w:tcW w:w="3782" w:type="pct"/>
          </w:tcPr>
          <w:p w14:paraId="6703E886" w14:textId="2C3E9EB2" w:rsidR="00EA283E" w:rsidRPr="00BC61AB" w:rsidRDefault="00EA283E" w:rsidP="00181604">
            <w:pPr>
              <w:rPr>
                <w:rFonts w:ascii="Arial" w:hAnsi="Arial" w:cs="Arial"/>
                <w:sz w:val="18"/>
                <w:szCs w:val="18"/>
              </w:rPr>
            </w:pPr>
            <w:r w:rsidRPr="00BC61AB">
              <w:rPr>
                <w:rFonts w:ascii="Arial" w:hAnsi="Arial" w:cs="Arial"/>
                <w:sz w:val="18"/>
                <w:szCs w:val="18"/>
              </w:rPr>
              <w:t xml:space="preserve">The Strategy emphasizes integrating adolescent sexual and reproductive health services with other health services, adopting a holistic approach to adolescent health. It also aims to reduce the fertility rate by 2030 </w:t>
            </w:r>
            <w:r w:rsidRPr="00BC61AB">
              <w:rPr>
                <w:rFonts w:ascii="Arial" w:hAnsi="Arial" w:cs="Arial"/>
                <w:sz w:val="18"/>
                <w:szCs w:val="18"/>
              </w:rPr>
              <w:fldChar w:fldCharType="begin" w:fldLock="1"/>
            </w:r>
            <w:r w:rsidR="00BC61AB" w:rsidRPr="00BC61AB">
              <w:rPr>
                <w:rFonts w:ascii="Arial" w:hAnsi="Arial" w:cs="Arial"/>
                <w:sz w:val="18"/>
                <w:szCs w:val="18"/>
              </w:rPr>
              <w:instrText>ADDIN CSL_CITATION {"citationItems":[{"id":"ITEM-1","itemData":{"author":[{"dropping-particle":"","family":"Governement of Nepal","given":"","non-dropping-particle":"","parse-names":false,"suffix":""}],"id":"ITEM-1","issued":{"date-parts":[["2015"]]},"title":"Nepal Health Sector Strategy.Ministry of Health and Population, Kathmandu","type":"report"},"uris":["http://www.mendeley.com/documents/?uuid=25a9a982-4c34-4c9d-85b3-29b42c156d2b"]},{"id":"ITEM-2","itemData":{"author":[{"dropping-particle":"","family":"Ministry of Health and Population","given":"","non-dropping-particle":"","parse-names":false,"suffix":""}],"container-title":"Nepal Health Sector Strategy","id":"ITEM-2","issued":{"date-parts":[["2015"]]},"page":"1-26","title":"Nepal Health Sector Strategy","type":"article-journal"},"uris":["http://www.mendeley.com/documents/?uuid=d4799525-12ac-4210-af90-c74e1e7f7453"]}],"mendeley":{"formattedCitation":"[9,10]","plainTextFormattedCitation":"[9,10]","previouslyFormattedCitation":"[26,27]"},"properties":{"noteIndex":0},"schema":"https://github.com/citation-style-language/schema/raw/master/csl-citation.json"}</w:instrText>
            </w:r>
            <w:r w:rsidRPr="00BC61AB">
              <w:rPr>
                <w:rFonts w:ascii="Arial" w:hAnsi="Arial" w:cs="Arial"/>
                <w:sz w:val="18"/>
                <w:szCs w:val="18"/>
              </w:rPr>
              <w:fldChar w:fldCharType="separate"/>
            </w:r>
            <w:r w:rsidR="00BC61AB" w:rsidRPr="00BC61AB">
              <w:rPr>
                <w:rFonts w:ascii="Arial" w:hAnsi="Arial" w:cs="Arial"/>
                <w:noProof/>
                <w:sz w:val="18"/>
                <w:szCs w:val="18"/>
              </w:rPr>
              <w:t>[9,10]</w:t>
            </w:r>
            <w:r w:rsidRPr="00BC61AB">
              <w:rPr>
                <w:rFonts w:ascii="Arial" w:hAnsi="Arial" w:cs="Arial"/>
                <w:sz w:val="18"/>
                <w:szCs w:val="18"/>
              </w:rPr>
              <w:fldChar w:fldCharType="end"/>
            </w:r>
            <w:r w:rsidRPr="00BC61AB">
              <w:rPr>
                <w:rFonts w:ascii="Arial" w:hAnsi="Arial" w:cs="Arial"/>
                <w:sz w:val="18"/>
                <w:szCs w:val="18"/>
              </w:rPr>
              <w:t>.</w:t>
            </w:r>
          </w:p>
          <w:p w14:paraId="1BFC4D26" w14:textId="77777777" w:rsidR="00EA283E" w:rsidRPr="00BC61AB" w:rsidRDefault="00EA283E" w:rsidP="00181604">
            <w:pPr>
              <w:rPr>
                <w:rFonts w:ascii="Arial" w:hAnsi="Arial" w:cs="Arial"/>
                <w:sz w:val="18"/>
                <w:szCs w:val="18"/>
              </w:rPr>
            </w:pPr>
          </w:p>
        </w:tc>
      </w:tr>
    </w:tbl>
    <w:p w14:paraId="48F25C2A" w14:textId="76B675BD" w:rsidR="00BC61AB" w:rsidRPr="00BC61AB" w:rsidRDefault="00BC61AB">
      <w:pPr>
        <w:rPr>
          <w:rFonts w:ascii="Arial" w:hAnsi="Arial" w:cs="Arial"/>
          <w:b/>
        </w:rPr>
      </w:pPr>
      <w:bookmarkStart w:id="0" w:name="_GoBack"/>
      <w:bookmarkEnd w:id="0"/>
      <w:r w:rsidRPr="00BC61AB">
        <w:rPr>
          <w:rFonts w:ascii="Arial" w:hAnsi="Arial" w:cs="Arial"/>
          <w:b/>
        </w:rPr>
        <w:lastRenderedPageBreak/>
        <w:t>Reference</w:t>
      </w:r>
    </w:p>
    <w:p w14:paraId="50CFDB0E" w14:textId="51138A9E" w:rsidR="00BC61AB" w:rsidRPr="00BC61AB" w:rsidRDefault="00BC61AB">
      <w:pPr>
        <w:rPr>
          <w:rFonts w:ascii="Arial" w:hAnsi="Arial" w:cs="Arial"/>
        </w:rPr>
      </w:pPr>
    </w:p>
    <w:p w14:paraId="146C0A29" w14:textId="1E013B65"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rPr>
        <w:fldChar w:fldCharType="begin" w:fldLock="1"/>
      </w:r>
      <w:r w:rsidRPr="00BC61AB">
        <w:rPr>
          <w:rFonts w:ascii="Arial" w:hAnsi="Arial" w:cs="Arial"/>
        </w:rPr>
        <w:instrText xml:space="preserve">ADDIN Mendeley Bibliography CSL_BIBLIOGRAPHY </w:instrText>
      </w:r>
      <w:r w:rsidRPr="00BC61AB">
        <w:rPr>
          <w:rFonts w:ascii="Arial" w:hAnsi="Arial" w:cs="Arial"/>
        </w:rPr>
        <w:fldChar w:fldCharType="separate"/>
      </w:r>
      <w:r w:rsidRPr="00BC61AB">
        <w:rPr>
          <w:rFonts w:ascii="Arial" w:hAnsi="Arial" w:cs="Arial"/>
          <w:noProof/>
        </w:rPr>
        <w:t xml:space="preserve">1. </w:t>
      </w:r>
      <w:r w:rsidRPr="00BC61AB">
        <w:rPr>
          <w:rFonts w:ascii="Arial" w:hAnsi="Arial" w:cs="Arial"/>
          <w:noProof/>
        </w:rPr>
        <w:tab/>
        <w:t>His Majesty Government of Nepal M of H and P. Nepal National Health Policy, 1991. 2000. Available: http://www.mohp.gov.np/app/webroot/upload/files/National Health Policy-1991.pdf</w:t>
      </w:r>
    </w:p>
    <w:p w14:paraId="0FCE77AD"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2. </w:t>
      </w:r>
      <w:r w:rsidRPr="00BC61AB">
        <w:rPr>
          <w:rFonts w:ascii="Arial" w:hAnsi="Arial" w:cs="Arial"/>
          <w:noProof/>
        </w:rPr>
        <w:tab/>
        <w:t>Government of Nepal, Ministry of Health D of HS. Adolescent Sexual and Reproductive Health Programme to Address Equity, Social Determinants, Gender and Human Rights in Nepal, Report of the Pilot Project. 2017. Available: https://un.org.np/resource/adolescent-sexual-and-reproductive-health-programme-address-equity-social-determinants</w:t>
      </w:r>
    </w:p>
    <w:p w14:paraId="7ED1E4D6"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3. </w:t>
      </w:r>
      <w:r w:rsidRPr="00BC61AB">
        <w:rPr>
          <w:rFonts w:ascii="Arial" w:hAnsi="Arial" w:cs="Arial"/>
          <w:noProof/>
        </w:rPr>
        <w:tab/>
        <w:t>Department of Health Services. National Adolescent Health and Development Strategy (Unofficial Translation). 2018. Available: https://fwd.gov.np/asrh/</w:t>
      </w:r>
    </w:p>
    <w:p w14:paraId="5544E066"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4. </w:t>
      </w:r>
      <w:r w:rsidRPr="00BC61AB">
        <w:rPr>
          <w:rFonts w:ascii="Arial" w:hAnsi="Arial" w:cs="Arial"/>
          <w:noProof/>
        </w:rPr>
        <w:tab/>
        <w:t>Sugawara E, Nikaido H. Properties of AdeABC and AdeIJK efflux systems of Acinetobacter baumannii compared with those of the AcrAB-TolC system of Escherichia coli. Antimicrob Agents Chemother. 2014;58: 7250–7257. doi:10.1128/AAC.03728-14</w:t>
      </w:r>
    </w:p>
    <w:p w14:paraId="4E61903B"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5. </w:t>
      </w:r>
      <w:r w:rsidRPr="00BC61AB">
        <w:rPr>
          <w:rFonts w:ascii="Arial" w:hAnsi="Arial" w:cs="Arial"/>
          <w:noProof/>
        </w:rPr>
        <w:tab/>
        <w:t>GoN 2015. The Constitution of Nepal. Nepal Gazette 2015 pp. 1–226. Available: https://lawcommission.gov.np/en/?s=constitutional+of+Nepal</w:t>
      </w:r>
    </w:p>
    <w:p w14:paraId="0FE705D9"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6. </w:t>
      </w:r>
      <w:r w:rsidRPr="00BC61AB">
        <w:rPr>
          <w:rFonts w:ascii="Arial" w:hAnsi="Arial" w:cs="Arial"/>
          <w:noProof/>
        </w:rPr>
        <w:tab/>
        <w:t>Statements P, Authority P. The National Civil ( Code ) Act , 2017 ( 2074 ). 2017. Available: https://lawcommission.gov.np</w:t>
      </w:r>
    </w:p>
    <w:p w14:paraId="2CD80437"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7. </w:t>
      </w:r>
      <w:r w:rsidRPr="00BC61AB">
        <w:rPr>
          <w:rFonts w:ascii="Arial" w:hAnsi="Arial" w:cs="Arial"/>
          <w:noProof/>
        </w:rPr>
        <w:tab/>
        <w:t>Nepal Law Commission. The Right to Safe Motherhood and Reproductive Health Act, 2018. 9–2075 Nepal; 2018. Available: https://lawcommission.gov.np</w:t>
      </w:r>
    </w:p>
    <w:p w14:paraId="7626762A"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8. </w:t>
      </w:r>
      <w:r w:rsidRPr="00BC61AB">
        <w:rPr>
          <w:rFonts w:ascii="Arial" w:hAnsi="Arial" w:cs="Arial"/>
          <w:noProof/>
        </w:rPr>
        <w:tab/>
        <w:t>Ministry of Health and Population. National Health Policy 2019 (Unofficial Translation). Kathmandu, Nepal; 2019. Available: https://dohs.gov.np/national-health-policy-2074/</w:t>
      </w:r>
    </w:p>
    <w:p w14:paraId="3C900E56"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9. </w:t>
      </w:r>
      <w:r w:rsidRPr="00BC61AB">
        <w:rPr>
          <w:rFonts w:ascii="Arial" w:hAnsi="Arial" w:cs="Arial"/>
          <w:noProof/>
        </w:rPr>
        <w:tab/>
        <w:t>Governement of Nepal. Nepal Health Sector Strategy.Ministry of Health and Population, Kathmandu. 2015. Available: https://nepal.unfpa.org/en/publications/nepal-health-sector-strategy-2015-2020</w:t>
      </w:r>
    </w:p>
    <w:p w14:paraId="7D82D46D" w14:textId="77777777" w:rsidR="00BC61AB" w:rsidRPr="00BC61AB" w:rsidRDefault="00BC61AB" w:rsidP="00BC61AB">
      <w:pPr>
        <w:widowControl w:val="0"/>
        <w:autoSpaceDE w:val="0"/>
        <w:autoSpaceDN w:val="0"/>
        <w:adjustRightInd w:val="0"/>
        <w:ind w:left="640" w:hanging="640"/>
        <w:rPr>
          <w:rFonts w:ascii="Arial" w:hAnsi="Arial" w:cs="Arial"/>
          <w:noProof/>
        </w:rPr>
      </w:pPr>
      <w:r w:rsidRPr="00BC61AB">
        <w:rPr>
          <w:rFonts w:ascii="Arial" w:hAnsi="Arial" w:cs="Arial"/>
          <w:noProof/>
        </w:rPr>
        <w:t xml:space="preserve">10. </w:t>
      </w:r>
      <w:r w:rsidRPr="00BC61AB">
        <w:rPr>
          <w:rFonts w:ascii="Arial" w:hAnsi="Arial" w:cs="Arial"/>
          <w:noProof/>
        </w:rPr>
        <w:tab/>
        <w:t>Ministry of Health and Population. Nepal Health Sector Strategy. Nepal Heal Sect Strateg. 2015; 1–26. Available: http://nhrc.gov.np/wp-content/uploads/2017/03/Health-Research-Areas-of-Nepal-2019.pdf</w:t>
      </w:r>
    </w:p>
    <w:p w14:paraId="75B9A3C4" w14:textId="795AEAED" w:rsidR="00BC61AB" w:rsidRPr="00BC61AB" w:rsidRDefault="00BC61AB">
      <w:pPr>
        <w:rPr>
          <w:rFonts w:ascii="Arial" w:hAnsi="Arial" w:cs="Arial"/>
        </w:rPr>
      </w:pPr>
      <w:r w:rsidRPr="00BC61AB">
        <w:rPr>
          <w:rFonts w:ascii="Arial" w:hAnsi="Arial" w:cs="Arial"/>
        </w:rPr>
        <w:fldChar w:fldCharType="end"/>
      </w:r>
    </w:p>
    <w:sectPr w:rsidR="00BC61AB" w:rsidRPr="00BC61AB" w:rsidSect="004B11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23"/>
    <w:rsid w:val="000258A6"/>
    <w:rsid w:val="000C154B"/>
    <w:rsid w:val="001B0E18"/>
    <w:rsid w:val="001E0066"/>
    <w:rsid w:val="00316A4D"/>
    <w:rsid w:val="00380F23"/>
    <w:rsid w:val="004071FB"/>
    <w:rsid w:val="004B11C4"/>
    <w:rsid w:val="00505A3E"/>
    <w:rsid w:val="005301F6"/>
    <w:rsid w:val="005C438F"/>
    <w:rsid w:val="007F32ED"/>
    <w:rsid w:val="00895F60"/>
    <w:rsid w:val="00BC61AB"/>
    <w:rsid w:val="00C6039C"/>
    <w:rsid w:val="00EA283E"/>
    <w:rsid w:val="00FC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281A"/>
  <w15:chartTrackingRefBased/>
  <w15:docId w15:val="{45F66006-7B33-410F-9530-549FC09E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83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80F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380F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380F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380F2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380F2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380F23"/>
    <w:pPr>
      <w:keepNext/>
      <w:keepLines/>
      <w:spacing w:before="40" w:line="278"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380F23"/>
    <w:pPr>
      <w:keepNext/>
      <w:keepLines/>
      <w:spacing w:before="40" w:line="278"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380F23"/>
    <w:pPr>
      <w:keepNext/>
      <w:keepLines/>
      <w:spacing w:line="278"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380F23"/>
    <w:pPr>
      <w:keepNext/>
      <w:keepLines/>
      <w:spacing w:line="278"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F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23"/>
    <w:rPr>
      <w:rFonts w:eastAsiaTheme="majorEastAsia" w:cstheme="majorBidi"/>
      <w:color w:val="272727" w:themeColor="text1" w:themeTint="D8"/>
    </w:rPr>
  </w:style>
  <w:style w:type="paragraph" w:styleId="Title">
    <w:name w:val="Title"/>
    <w:basedOn w:val="Normal"/>
    <w:next w:val="Normal"/>
    <w:link w:val="TitleChar"/>
    <w:uiPriority w:val="10"/>
    <w:qFormat/>
    <w:rsid w:val="00380F23"/>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380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380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23"/>
    <w:pPr>
      <w:spacing w:before="160" w:after="160" w:line="278"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380F23"/>
    <w:rPr>
      <w:i/>
      <w:iCs/>
      <w:color w:val="404040" w:themeColor="text1" w:themeTint="BF"/>
    </w:rPr>
  </w:style>
  <w:style w:type="paragraph" w:styleId="ListParagraph">
    <w:name w:val="List Paragraph"/>
    <w:basedOn w:val="Normal"/>
    <w:uiPriority w:val="34"/>
    <w:qFormat/>
    <w:rsid w:val="00380F23"/>
    <w:pPr>
      <w:spacing w:after="160" w:line="278"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380F23"/>
    <w:rPr>
      <w:i/>
      <w:iCs/>
      <w:color w:val="0F4761" w:themeColor="accent1" w:themeShade="BF"/>
    </w:rPr>
  </w:style>
  <w:style w:type="paragraph" w:styleId="IntenseQuote">
    <w:name w:val="Intense Quote"/>
    <w:basedOn w:val="Normal"/>
    <w:next w:val="Normal"/>
    <w:link w:val="IntenseQuoteChar"/>
    <w:uiPriority w:val="30"/>
    <w:qFormat/>
    <w:rsid w:val="00380F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380F23"/>
    <w:rPr>
      <w:i/>
      <w:iCs/>
      <w:color w:val="0F4761" w:themeColor="accent1" w:themeShade="BF"/>
    </w:rPr>
  </w:style>
  <w:style w:type="character" w:styleId="IntenseReference">
    <w:name w:val="Intense Reference"/>
    <w:basedOn w:val="DefaultParagraphFont"/>
    <w:uiPriority w:val="32"/>
    <w:qFormat/>
    <w:rsid w:val="00380F23"/>
    <w:rPr>
      <w:b/>
      <w:bCs/>
      <w:smallCaps/>
      <w:color w:val="0F4761" w:themeColor="accent1" w:themeShade="BF"/>
      <w:spacing w:val="5"/>
    </w:rPr>
  </w:style>
  <w:style w:type="table" w:styleId="TableGrid">
    <w:name w:val="Table Grid"/>
    <w:basedOn w:val="TableNormal"/>
    <w:uiPriority w:val="39"/>
    <w:rsid w:val="00EA283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A5F1-7379-2F4E-8183-00BF5D0C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Resham Khatri</dc:creator>
  <cp:keywords/>
  <dc:description/>
  <cp:lastModifiedBy>Microsoft Office User</cp:lastModifiedBy>
  <cp:revision>33</cp:revision>
  <dcterms:created xsi:type="dcterms:W3CDTF">2025-04-04T23:19:00Z</dcterms:created>
  <dcterms:modified xsi:type="dcterms:W3CDTF">2025-04-18T04:26:00Z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92e8d215-8b43-3d16-9654-e56a545e70aa</vt:lpwstr>
  </property>
  <property fmtid="{D5CDD505-2E9C-101B-9397-08002B2CF9AE}" pid="4" name="Mendeley Citation Style_1">
    <vt:lpwstr>http://www.zotero.org/styles/plos-one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http://www.zotero.org/styles/plos-one</vt:lpwstr>
  </property>
  <property fmtid="{D5CDD505-2E9C-101B-9397-08002B2CF9AE}" pid="22" name="Mendeley Recent Style Name 8_1">
    <vt:lpwstr>PLOS ONE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