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835D7" w14:textId="77777777" w:rsidR="000F72CD" w:rsidRDefault="000F72CD" w:rsidP="00D953E8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bookmarkStart w:id="0" w:name="_Hlk194701593"/>
      <w:r w:rsidRPr="000F72CD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Supplementary Information </w:t>
      </w:r>
    </w:p>
    <w:p w14:paraId="45A6823F" w14:textId="77777777" w:rsidR="000F72CD" w:rsidRDefault="000F72CD" w:rsidP="00D953E8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6AF4A351" w14:textId="77063EDC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Journal Name: 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International Journal of Clinical Oncology</w:t>
      </w:r>
    </w:p>
    <w:p w14:paraId="064FE4C7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2334AD4" w14:textId="0B819C25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Exploring the crosstalk between the FGF/</w:t>
      </w:r>
      <w:proofErr w:type="spellStart"/>
      <w:r w:rsidRPr="00D953E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FGFR</w:t>
      </w:r>
      <w:proofErr w:type="spellEnd"/>
      <w:r w:rsidRPr="00D953E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pathway and tumor microenvironment in clear cell renal cell carcinoma</w:t>
      </w:r>
    </w:p>
    <w:p w14:paraId="04CA595F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61D34763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Takafumi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Narisawa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Sei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Naito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Yoshihide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Mitsuda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Rintaro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Ohe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3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Hidenori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Sato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4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Chizuru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Kobayashi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Yuki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Miyano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4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Hiromi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Ito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Mitsuru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Futakuchi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3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Norihiko Tsuchiya 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01668271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54A6D94E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Department of Urology, Faculty of Medicine, Yamagata University, Yamagata, Japan</w:t>
      </w:r>
    </w:p>
    <w:p w14:paraId="1FEB5E47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Eisai Co., Ltd., Tokyo, Japan</w:t>
      </w:r>
    </w:p>
    <w:p w14:paraId="238CA00A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3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Department of Pathology, Faculty of Medicine, Yamagata University, Yamagata, Japan</w:t>
      </w:r>
    </w:p>
    <w:p w14:paraId="64E455BB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4</w:t>
      </w:r>
      <w:r w:rsidRPr="00D953E8">
        <w:rPr>
          <w:rFonts w:ascii="Times New Roman" w:eastAsia="Roboto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Division of Multi-omics Research, Yamagata University Well-Being Institute, Yamagata, Japan</w:t>
      </w:r>
    </w:p>
    <w:p w14:paraId="26B9C652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FF9F408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Corresponding author:</w:t>
      </w: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bookmarkStart w:id="1" w:name="_Hlk194694887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Takafumi Narisawa</w:t>
      </w:r>
    </w:p>
    <w:p w14:paraId="7313B23E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Department of Urology, Yamagata University Faculty of Medicine, </w:t>
      </w:r>
    </w:p>
    <w:p w14:paraId="55A9DE79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2-2-2 Iida-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nishi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, Yamagata 990-9585, Japan</w:t>
      </w:r>
    </w:p>
    <w:p w14:paraId="35B368E4" w14:textId="6079C341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sectPr w:rsidR="00D953E8" w:rsidRPr="00D953E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953E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Email: </w:t>
      </w:r>
      <w:proofErr w:type="spellStart"/>
      <w:r w:rsidRPr="00D953E8">
        <w:rPr>
          <w:rStyle w:val="ab"/>
          <w:rFonts w:ascii="Times New Roman" w:eastAsia="Times New Roman" w:hAnsi="Times New Roman" w:cs="Times New Roman"/>
          <w:color w:val="000000" w:themeColor="text1"/>
          <w:sz w:val="20"/>
          <w:szCs w:val="20"/>
          <w:u w:val="none"/>
        </w:rPr>
        <w:t>tnari_0623@yahoo.co.jp</w:t>
      </w:r>
      <w:bookmarkEnd w:id="0"/>
      <w:bookmarkEnd w:id="1"/>
      <w:proofErr w:type="spellEnd"/>
    </w:p>
    <w:p w14:paraId="10B45395" w14:textId="036D2E0E" w:rsidR="00D953E8" w:rsidRPr="00D953E8" w:rsidRDefault="005F139F" w:rsidP="00D953E8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5F139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Online Resource </w:t>
      </w:r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1. Association between </w:t>
      </w:r>
      <w:proofErr w:type="spellStart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FGFR</w:t>
      </w:r>
      <w:proofErr w:type="spellEnd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subtype expressions with </w:t>
      </w:r>
      <w:proofErr w:type="spellStart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IMDC</w:t>
      </w:r>
      <w:proofErr w:type="spellEnd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risk factors.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7"/>
        <w:gridCol w:w="1294"/>
        <w:gridCol w:w="1295"/>
        <w:gridCol w:w="648"/>
        <w:gridCol w:w="1295"/>
        <w:gridCol w:w="1295"/>
        <w:gridCol w:w="648"/>
        <w:gridCol w:w="1295"/>
        <w:gridCol w:w="1295"/>
        <w:gridCol w:w="648"/>
      </w:tblGrid>
      <w:tr w:rsidR="00D953E8" w:rsidRPr="00D953E8" w14:paraId="27522532" w14:textId="77777777" w:rsidTr="00D14FCA">
        <w:trPr>
          <w:trHeight w:val="20"/>
        </w:trPr>
        <w:tc>
          <w:tcPr>
            <w:tcW w:w="1250" w:type="pct"/>
            <w:shd w:val="clear" w:color="auto" w:fill="auto"/>
            <w:vAlign w:val="center"/>
          </w:tcPr>
          <w:p w14:paraId="70F728C2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gridSpan w:val="2"/>
            <w:shd w:val="clear" w:color="auto" w:fill="auto"/>
            <w:vAlign w:val="center"/>
          </w:tcPr>
          <w:p w14:paraId="54E38C11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FGFR1</w:t>
            </w:r>
            <w:proofErr w:type="spellEnd"/>
          </w:p>
        </w:tc>
        <w:tc>
          <w:tcPr>
            <w:tcW w:w="250" w:type="pct"/>
          </w:tcPr>
          <w:p w14:paraId="3881501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gridSpan w:val="2"/>
            <w:vAlign w:val="center"/>
          </w:tcPr>
          <w:p w14:paraId="53EACCD0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FGFR2</w:t>
            </w:r>
            <w:proofErr w:type="spellEnd"/>
          </w:p>
        </w:tc>
        <w:tc>
          <w:tcPr>
            <w:tcW w:w="250" w:type="pct"/>
          </w:tcPr>
          <w:p w14:paraId="71C01975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gridSpan w:val="2"/>
            <w:vAlign w:val="center"/>
          </w:tcPr>
          <w:p w14:paraId="719D8BC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FGFR4</w:t>
            </w:r>
            <w:proofErr w:type="spellEnd"/>
          </w:p>
        </w:tc>
        <w:tc>
          <w:tcPr>
            <w:tcW w:w="250" w:type="pct"/>
          </w:tcPr>
          <w:p w14:paraId="4408F956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53E8" w:rsidRPr="00D953E8" w14:paraId="70AEACE3" w14:textId="77777777" w:rsidTr="00D14FCA">
        <w:trPr>
          <w:trHeight w:val="20"/>
        </w:trPr>
        <w:tc>
          <w:tcPr>
            <w:tcW w:w="1250" w:type="pct"/>
            <w:shd w:val="clear" w:color="auto" w:fill="auto"/>
            <w:vAlign w:val="center"/>
          </w:tcPr>
          <w:p w14:paraId="1569B78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500" w:type="pct"/>
            <w:shd w:val="clear" w:color="auto" w:fill="auto"/>
          </w:tcPr>
          <w:p w14:paraId="13B33B2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High, n=46</w:t>
            </w:r>
          </w:p>
        </w:tc>
        <w:tc>
          <w:tcPr>
            <w:tcW w:w="500" w:type="pct"/>
            <w:shd w:val="clear" w:color="auto" w:fill="auto"/>
          </w:tcPr>
          <w:p w14:paraId="5DF1BB22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Low, n=11</w:t>
            </w:r>
          </w:p>
        </w:tc>
        <w:tc>
          <w:tcPr>
            <w:tcW w:w="250" w:type="pct"/>
            <w:shd w:val="clear" w:color="auto" w:fill="auto"/>
          </w:tcPr>
          <w:p w14:paraId="1DA4F161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500" w:type="pct"/>
            <w:shd w:val="clear" w:color="auto" w:fill="auto"/>
          </w:tcPr>
          <w:p w14:paraId="5BCCCA89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High, n=13</w:t>
            </w:r>
          </w:p>
        </w:tc>
        <w:tc>
          <w:tcPr>
            <w:tcW w:w="500" w:type="pct"/>
            <w:shd w:val="clear" w:color="auto" w:fill="auto"/>
          </w:tcPr>
          <w:p w14:paraId="5A82E1B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Low, n=44</w:t>
            </w:r>
          </w:p>
        </w:tc>
        <w:tc>
          <w:tcPr>
            <w:tcW w:w="250" w:type="pct"/>
            <w:shd w:val="clear" w:color="auto" w:fill="auto"/>
          </w:tcPr>
          <w:p w14:paraId="6A1A955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500" w:type="pct"/>
            <w:shd w:val="clear" w:color="auto" w:fill="auto"/>
          </w:tcPr>
          <w:p w14:paraId="18E09668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High, n=8</w:t>
            </w:r>
          </w:p>
        </w:tc>
        <w:tc>
          <w:tcPr>
            <w:tcW w:w="500" w:type="pct"/>
            <w:shd w:val="clear" w:color="auto" w:fill="auto"/>
          </w:tcPr>
          <w:p w14:paraId="7AF6DF28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Low, n=49</w:t>
            </w:r>
          </w:p>
        </w:tc>
        <w:tc>
          <w:tcPr>
            <w:tcW w:w="250" w:type="pct"/>
          </w:tcPr>
          <w:p w14:paraId="6BDBF764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D953E8" w:rsidRPr="00D953E8" w14:paraId="01F7623D" w14:textId="77777777" w:rsidTr="00D14FCA">
        <w:trPr>
          <w:trHeight w:val="20"/>
        </w:trPr>
        <w:tc>
          <w:tcPr>
            <w:tcW w:w="1250" w:type="pct"/>
            <w:shd w:val="clear" w:color="auto" w:fill="auto"/>
            <w:vAlign w:val="center"/>
          </w:tcPr>
          <w:p w14:paraId="782B8084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Platelet count, mean (×10</w:t>
            </w: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00" w:type="pct"/>
            <w:shd w:val="clear" w:color="auto" w:fill="auto"/>
          </w:tcPr>
          <w:p w14:paraId="37EE3221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500" w:type="pct"/>
            <w:shd w:val="clear" w:color="auto" w:fill="auto"/>
          </w:tcPr>
          <w:p w14:paraId="4805DE4D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250" w:type="pct"/>
            <w:shd w:val="clear" w:color="auto" w:fill="auto"/>
          </w:tcPr>
          <w:p w14:paraId="242E004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500" w:type="pct"/>
            <w:shd w:val="clear" w:color="auto" w:fill="auto"/>
          </w:tcPr>
          <w:p w14:paraId="13CE32A9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500" w:type="pct"/>
            <w:shd w:val="clear" w:color="auto" w:fill="auto"/>
          </w:tcPr>
          <w:p w14:paraId="687A4912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250" w:type="pct"/>
            <w:shd w:val="clear" w:color="auto" w:fill="auto"/>
          </w:tcPr>
          <w:p w14:paraId="365222E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500" w:type="pct"/>
            <w:shd w:val="clear" w:color="auto" w:fill="auto"/>
          </w:tcPr>
          <w:p w14:paraId="081229A7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500" w:type="pct"/>
            <w:shd w:val="clear" w:color="auto" w:fill="auto"/>
          </w:tcPr>
          <w:p w14:paraId="3BD49973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250" w:type="pct"/>
          </w:tcPr>
          <w:p w14:paraId="660FA9F1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  <w:tr w:rsidR="00D953E8" w:rsidRPr="00D953E8" w14:paraId="6F47DE15" w14:textId="77777777" w:rsidTr="00D14FCA">
        <w:trPr>
          <w:trHeight w:val="20"/>
        </w:trPr>
        <w:tc>
          <w:tcPr>
            <w:tcW w:w="1250" w:type="pct"/>
            <w:shd w:val="clear" w:color="auto" w:fill="auto"/>
            <w:vAlign w:val="center"/>
          </w:tcPr>
          <w:p w14:paraId="0A806FEB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Corrected calcium, mean (mg/dL)</w:t>
            </w:r>
          </w:p>
        </w:tc>
        <w:tc>
          <w:tcPr>
            <w:tcW w:w="500" w:type="pct"/>
            <w:shd w:val="clear" w:color="auto" w:fill="auto"/>
          </w:tcPr>
          <w:p w14:paraId="7C522ED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500" w:type="pct"/>
            <w:shd w:val="clear" w:color="auto" w:fill="auto"/>
          </w:tcPr>
          <w:p w14:paraId="77DCB05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250" w:type="pct"/>
            <w:shd w:val="clear" w:color="auto" w:fill="auto"/>
          </w:tcPr>
          <w:p w14:paraId="6866B37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500" w:type="pct"/>
            <w:shd w:val="clear" w:color="auto" w:fill="auto"/>
          </w:tcPr>
          <w:p w14:paraId="47004B7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500" w:type="pct"/>
            <w:shd w:val="clear" w:color="auto" w:fill="auto"/>
          </w:tcPr>
          <w:p w14:paraId="715C6055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250" w:type="pct"/>
            <w:shd w:val="clear" w:color="auto" w:fill="auto"/>
          </w:tcPr>
          <w:p w14:paraId="7FE894FC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500" w:type="pct"/>
            <w:shd w:val="clear" w:color="auto" w:fill="auto"/>
          </w:tcPr>
          <w:p w14:paraId="18A88E58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500" w:type="pct"/>
            <w:shd w:val="clear" w:color="auto" w:fill="auto"/>
          </w:tcPr>
          <w:p w14:paraId="1569971E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250" w:type="pct"/>
          </w:tcPr>
          <w:p w14:paraId="0ED728E0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0.541</w:t>
            </w:r>
          </w:p>
        </w:tc>
      </w:tr>
      <w:tr w:rsidR="00D953E8" w:rsidRPr="00D953E8" w14:paraId="26E69A38" w14:textId="77777777" w:rsidTr="00D14FCA">
        <w:trPr>
          <w:trHeight w:val="20"/>
        </w:trPr>
        <w:tc>
          <w:tcPr>
            <w:tcW w:w="1250" w:type="pct"/>
            <w:shd w:val="clear" w:color="auto" w:fill="auto"/>
            <w:vAlign w:val="center"/>
          </w:tcPr>
          <w:p w14:paraId="331FBB20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Neutrophil count, mean (×10</w:t>
            </w: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00" w:type="pct"/>
            <w:shd w:val="clear" w:color="auto" w:fill="auto"/>
          </w:tcPr>
          <w:p w14:paraId="635A78E3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40.3</w:t>
            </w:r>
          </w:p>
        </w:tc>
        <w:tc>
          <w:tcPr>
            <w:tcW w:w="500" w:type="pct"/>
            <w:shd w:val="clear" w:color="auto" w:fill="auto"/>
          </w:tcPr>
          <w:p w14:paraId="20DC9A7F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250" w:type="pct"/>
            <w:shd w:val="clear" w:color="auto" w:fill="auto"/>
          </w:tcPr>
          <w:p w14:paraId="4A1FC18B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0.253</w:t>
            </w:r>
          </w:p>
        </w:tc>
        <w:tc>
          <w:tcPr>
            <w:tcW w:w="500" w:type="pct"/>
            <w:shd w:val="clear" w:color="auto" w:fill="auto"/>
          </w:tcPr>
          <w:p w14:paraId="3F50CF4F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30.0</w:t>
            </w:r>
          </w:p>
        </w:tc>
        <w:tc>
          <w:tcPr>
            <w:tcW w:w="500" w:type="pct"/>
            <w:shd w:val="clear" w:color="auto" w:fill="auto"/>
          </w:tcPr>
          <w:p w14:paraId="1A2DCD10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</w:t>
            </w:r>
          </w:p>
        </w:tc>
        <w:tc>
          <w:tcPr>
            <w:tcW w:w="250" w:type="pct"/>
            <w:shd w:val="clear" w:color="auto" w:fill="auto"/>
          </w:tcPr>
          <w:p w14:paraId="6A209D9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500" w:type="pct"/>
            <w:shd w:val="clear" w:color="auto" w:fill="auto"/>
          </w:tcPr>
          <w:p w14:paraId="004AFF08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44.7</w:t>
            </w:r>
          </w:p>
        </w:tc>
        <w:tc>
          <w:tcPr>
            <w:tcW w:w="500" w:type="pct"/>
            <w:shd w:val="clear" w:color="auto" w:fill="auto"/>
          </w:tcPr>
          <w:p w14:paraId="58268077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38.0</w:t>
            </w:r>
          </w:p>
        </w:tc>
        <w:tc>
          <w:tcPr>
            <w:tcW w:w="250" w:type="pct"/>
          </w:tcPr>
          <w:p w14:paraId="581B35AA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</w:tr>
      <w:tr w:rsidR="00D953E8" w:rsidRPr="00D953E8" w14:paraId="416A6581" w14:textId="77777777" w:rsidTr="00D14FCA">
        <w:trPr>
          <w:trHeight w:val="20"/>
        </w:trPr>
        <w:tc>
          <w:tcPr>
            <w:tcW w:w="1250" w:type="pct"/>
            <w:shd w:val="clear" w:color="auto" w:fill="auto"/>
            <w:vAlign w:val="center"/>
          </w:tcPr>
          <w:p w14:paraId="77B7198D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Hemoglobin, </w:t>
            </w:r>
            <w:proofErr w:type="gramStart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  <w:proofErr w:type="gramEnd"/>
            <w:r w:rsidRPr="00D953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(g/dL)</w:t>
            </w:r>
          </w:p>
        </w:tc>
        <w:tc>
          <w:tcPr>
            <w:tcW w:w="500" w:type="pct"/>
            <w:shd w:val="clear" w:color="auto" w:fill="auto"/>
          </w:tcPr>
          <w:p w14:paraId="465C33CD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500" w:type="pct"/>
            <w:shd w:val="clear" w:color="auto" w:fill="auto"/>
          </w:tcPr>
          <w:p w14:paraId="5A3C29CB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250" w:type="pct"/>
            <w:shd w:val="clear" w:color="auto" w:fill="auto"/>
          </w:tcPr>
          <w:p w14:paraId="511C4748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0.648</w:t>
            </w:r>
          </w:p>
        </w:tc>
        <w:tc>
          <w:tcPr>
            <w:tcW w:w="500" w:type="pct"/>
            <w:shd w:val="clear" w:color="auto" w:fill="auto"/>
          </w:tcPr>
          <w:p w14:paraId="44E77CA2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500" w:type="pct"/>
            <w:shd w:val="clear" w:color="auto" w:fill="auto"/>
          </w:tcPr>
          <w:p w14:paraId="7FA526C5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250" w:type="pct"/>
            <w:shd w:val="clear" w:color="auto" w:fill="auto"/>
          </w:tcPr>
          <w:p w14:paraId="7DCD3E30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500" w:type="pct"/>
            <w:shd w:val="clear" w:color="auto" w:fill="auto"/>
          </w:tcPr>
          <w:p w14:paraId="45D7A38F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500" w:type="pct"/>
            <w:shd w:val="clear" w:color="auto" w:fill="auto"/>
          </w:tcPr>
          <w:p w14:paraId="7CAA82FB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50" w:type="pct"/>
          </w:tcPr>
          <w:p w14:paraId="346FD5D0" w14:textId="77777777" w:rsidR="00D953E8" w:rsidRPr="00D953E8" w:rsidRDefault="00D953E8" w:rsidP="00D953E8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53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0.478</w:t>
            </w:r>
          </w:p>
        </w:tc>
      </w:tr>
    </w:tbl>
    <w:p w14:paraId="29C4D0A5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4D73E31" w14:textId="77777777" w:rsidR="00D953E8" w:rsidRPr="00D953E8" w:rsidRDefault="00D953E8" w:rsidP="00D953E8">
      <w:pPr>
        <w:spacing w:after="0" w:line="480" w:lineRule="auto"/>
        <w:rPr>
          <w:rFonts w:ascii="Times New Roman" w:hAnsi="Times New Roman" w:cs="Times New Roman" w:hint="eastAsia"/>
          <w:sz w:val="20"/>
          <w:szCs w:val="20"/>
          <w:lang w:eastAsia="ja-JP"/>
        </w:rPr>
        <w:sectPr w:rsidR="00D953E8" w:rsidRPr="00D953E8" w:rsidSect="00D953E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C5BAF0D" w14:textId="77777777" w:rsidR="00D953E8" w:rsidRPr="00D953E8" w:rsidRDefault="00D953E8" w:rsidP="00D953E8">
      <w:pPr>
        <w:spacing w:after="0" w:line="480" w:lineRule="auto"/>
        <w:rPr>
          <w:rFonts w:ascii="Times New Roman" w:hAnsi="Times New Roman" w:cs="Times New Roman" w:hint="eastAsia"/>
          <w:sz w:val="20"/>
          <w:szCs w:val="20"/>
          <w:lang w:eastAsia="ja-JP"/>
        </w:rPr>
      </w:pPr>
    </w:p>
    <w:p w14:paraId="40A7F0A5" w14:textId="3D269AC1" w:rsidR="00D953E8" w:rsidRPr="00D953E8" w:rsidRDefault="005F139F" w:rsidP="00D953E8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5F139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Online Resource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2</w:t>
      </w:r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. Comparison of </w:t>
      </w:r>
      <w:proofErr w:type="spellStart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FGFR</w:t>
      </w:r>
      <w:proofErr w:type="spellEnd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Subtype differences in relation to overall survival.</w:t>
      </w:r>
    </w:p>
    <w:p w14:paraId="05C7BE9D" w14:textId="77777777" w:rsidR="00D953E8" w:rsidRP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Kaplan-Meier curves showing probability of overall survival across the expression levels of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FGFR1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(A),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FGFR2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(B), and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FGFR4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(C). Sample numbers per group indicated below the graphs.</w:t>
      </w:r>
    </w:p>
    <w:p w14:paraId="5AE84A40" w14:textId="77777777" w:rsidR="00D953E8" w:rsidRDefault="00D953E8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75B2A25" w14:textId="6C1C963A" w:rsidR="00D14FCA" w:rsidRDefault="002B50D4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1FBC302D" wp14:editId="6313D395">
            <wp:extent cx="5943600" cy="3343275"/>
            <wp:effectExtent l="0" t="0" r="0" b="9525"/>
            <wp:docPr id="1050241712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241712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1714D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B2F5F95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260873E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186476A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2576087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68020F6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4F69F68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7FE63AB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C6DF328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A595EB1" w14:textId="77777777" w:rsidR="00D14FCA" w:rsidRDefault="00D14FCA" w:rsidP="00D953E8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DB91398" w14:textId="77777777" w:rsidR="00D14FCA" w:rsidRPr="002B50D4" w:rsidRDefault="00D14FCA" w:rsidP="00D953E8">
      <w:pPr>
        <w:spacing w:after="0" w:line="480" w:lineRule="auto"/>
        <w:rPr>
          <w:rFonts w:ascii="Times New Roman" w:eastAsia="游ゴシック" w:hAnsi="Times New Roman" w:cs="Times New Roman" w:hint="eastAsia"/>
          <w:color w:val="000000"/>
          <w:sz w:val="20"/>
          <w:szCs w:val="20"/>
          <w:lang w:eastAsia="ja-JP"/>
        </w:rPr>
      </w:pPr>
    </w:p>
    <w:p w14:paraId="1C756274" w14:textId="526C6818" w:rsidR="00D953E8" w:rsidRPr="00D953E8" w:rsidRDefault="005F139F" w:rsidP="00D953E8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5F139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Online Resource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3</w:t>
      </w:r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. Comparison of immunosuppressive phenotypes and ICI treatment response in relation to </w:t>
      </w:r>
      <w:proofErr w:type="spellStart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FGFR2</w:t>
      </w:r>
      <w:proofErr w:type="spellEnd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and </w:t>
      </w:r>
      <w:proofErr w:type="spellStart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FGFR4</w:t>
      </w:r>
      <w:proofErr w:type="spellEnd"/>
      <w:r w:rsidR="00D953E8" w:rsidRPr="00D953E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expression.</w:t>
      </w:r>
    </w:p>
    <w:p w14:paraId="33B84E7D" w14:textId="3E44705F" w:rsidR="00D953E8" w:rsidRDefault="00D953E8" w:rsidP="00D953E8">
      <w:pPr>
        <w:spacing w:after="0" w:line="480" w:lineRule="auto"/>
        <w:rPr>
          <w:rFonts w:ascii="Times New Roman" w:eastAsia="游ゴシック" w:hAnsi="Times New Roman" w:cs="Times New Roman"/>
          <w:color w:val="000000"/>
          <w:sz w:val="20"/>
          <w:szCs w:val="20"/>
          <w:lang w:eastAsia="ja-JP"/>
        </w:rPr>
      </w:pPr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Transcriptome analysis of immune-related genes and evaluation of clinical response of nivolumab. (A)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IMmotion150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Teff signature scores across the expression levels of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FGFR2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FGFR4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n.s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.; not significant. (B) Correlation between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IHC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score of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FGFR2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or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FGFR4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IFNγ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signaling target genes using Pearson’s correlation analysis. (C) Objective response to nivolumab across all treatment lines, comparing differences in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FGFR2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</w:t>
      </w:r>
      <w:proofErr w:type="spellStart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>FGFR4</w:t>
      </w:r>
      <w:proofErr w:type="spellEnd"/>
      <w:r w:rsidRPr="00D953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expression levels. CR; complete response, PR; partial response, SD; stable disease, PD; progressive disease.</w:t>
      </w:r>
    </w:p>
    <w:p w14:paraId="0AAB7802" w14:textId="6B0C2508" w:rsidR="002B50D4" w:rsidRPr="002B50D4" w:rsidRDefault="002B50D4" w:rsidP="00D953E8">
      <w:pPr>
        <w:spacing w:after="0" w:line="480" w:lineRule="auto"/>
        <w:rPr>
          <w:rFonts w:ascii="Times New Roman" w:eastAsia="游ゴシック" w:hAnsi="Times New Roman" w:cs="Times New Roman" w:hint="eastAsia"/>
          <w:color w:val="000000"/>
          <w:sz w:val="20"/>
          <w:szCs w:val="20"/>
          <w:lang w:eastAsia="ja-JP"/>
        </w:rPr>
      </w:pPr>
      <w:r>
        <w:rPr>
          <w:noProof/>
        </w:rPr>
        <w:drawing>
          <wp:inline distT="0" distB="0" distL="0" distR="0" wp14:anchorId="4BF5A083" wp14:editId="54E27B6B">
            <wp:extent cx="5943600" cy="3343275"/>
            <wp:effectExtent l="0" t="0" r="0" b="9525"/>
            <wp:docPr id="1197034186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34186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50D4" w:rsidRPr="002B50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FD673" w14:textId="77777777" w:rsidR="00FF7DCB" w:rsidRDefault="00FF7DCB" w:rsidP="00AB19E2">
      <w:pPr>
        <w:spacing w:after="0" w:line="240" w:lineRule="auto"/>
      </w:pPr>
      <w:r>
        <w:separator/>
      </w:r>
    </w:p>
  </w:endnote>
  <w:endnote w:type="continuationSeparator" w:id="0">
    <w:p w14:paraId="7C03B935" w14:textId="77777777" w:rsidR="00FF7DCB" w:rsidRDefault="00FF7DCB" w:rsidP="00AB1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B791E" w14:textId="77777777" w:rsidR="00FF7DCB" w:rsidRDefault="00FF7DCB" w:rsidP="00AB19E2">
      <w:pPr>
        <w:spacing w:after="0" w:line="240" w:lineRule="auto"/>
      </w:pPr>
      <w:r>
        <w:separator/>
      </w:r>
    </w:p>
  </w:footnote>
  <w:footnote w:type="continuationSeparator" w:id="0">
    <w:p w14:paraId="239028B7" w14:textId="77777777" w:rsidR="00FF7DCB" w:rsidRDefault="00FF7DCB" w:rsidP="00AB19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C46"/>
    <w:rsid w:val="000E62F2"/>
    <w:rsid w:val="000F72CD"/>
    <w:rsid w:val="00261218"/>
    <w:rsid w:val="002B50D4"/>
    <w:rsid w:val="00491C46"/>
    <w:rsid w:val="00590074"/>
    <w:rsid w:val="005F139F"/>
    <w:rsid w:val="0066775D"/>
    <w:rsid w:val="006F3C4A"/>
    <w:rsid w:val="0070380B"/>
    <w:rsid w:val="00847E70"/>
    <w:rsid w:val="008D510B"/>
    <w:rsid w:val="009C51F3"/>
    <w:rsid w:val="00A7284C"/>
    <w:rsid w:val="00AB19E2"/>
    <w:rsid w:val="00BC35F4"/>
    <w:rsid w:val="00CD036A"/>
    <w:rsid w:val="00D14FCA"/>
    <w:rsid w:val="00D61737"/>
    <w:rsid w:val="00D7540A"/>
    <w:rsid w:val="00D953E8"/>
    <w:rsid w:val="00E25FAB"/>
    <w:rsid w:val="00E3262B"/>
    <w:rsid w:val="00FD21C8"/>
    <w:rsid w:val="00FF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6DEC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1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1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1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1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1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1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1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1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1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91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491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491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491C4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491C46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491C4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491C46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491C4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491C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91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91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1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91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1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91C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1C4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91C4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91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91C4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91C46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rsid w:val="00D953E8"/>
    <w:rPr>
      <w:sz w:val="16"/>
    </w:rPr>
  </w:style>
  <w:style w:type="character" w:styleId="ab">
    <w:name w:val="Hyperlink"/>
    <w:basedOn w:val="a0"/>
    <w:rsid w:val="00D953E8"/>
    <w:rPr>
      <w:color w:val="0563C1"/>
      <w:u w:val="single"/>
    </w:rPr>
  </w:style>
  <w:style w:type="paragraph" w:styleId="ac">
    <w:name w:val="annotation text"/>
    <w:basedOn w:val="a"/>
    <w:link w:val="ad"/>
    <w:rsid w:val="00D953E8"/>
    <w:pPr>
      <w:widowControl w:val="0"/>
      <w:spacing w:after="0" w:line="240" w:lineRule="auto"/>
    </w:pPr>
    <w:rPr>
      <w:rFonts w:ascii="Calibri" w:eastAsia="Calibri" w:hAnsi="Calibri" w:cs="Calibri"/>
      <w:sz w:val="20"/>
      <w:szCs w:val="22"/>
      <w:lang w:eastAsia="ja-JP"/>
      <w14:ligatures w14:val="none"/>
    </w:rPr>
  </w:style>
  <w:style w:type="character" w:customStyle="1" w:styleId="ad">
    <w:name w:val="コメント文字列 (文字)"/>
    <w:basedOn w:val="a0"/>
    <w:link w:val="ac"/>
    <w:rsid w:val="00D953E8"/>
    <w:rPr>
      <w:rFonts w:ascii="Calibri" w:eastAsia="Calibri" w:hAnsi="Calibri" w:cs="Calibri"/>
      <w:sz w:val="20"/>
      <w:szCs w:val="22"/>
      <w:lang w:eastAsia="ja-JP"/>
      <w14:ligatures w14:val="none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F139F"/>
    <w:pPr>
      <w:widowControl/>
      <w:spacing w:after="160"/>
    </w:pPr>
    <w:rPr>
      <w:rFonts w:asciiTheme="minorHAnsi" w:eastAsiaTheme="minorHAnsi" w:hAnsiTheme="minorHAnsi" w:cstheme="minorBidi"/>
      <w:b/>
      <w:bCs/>
      <w:szCs w:val="20"/>
      <w:lang w:eastAsia="en-US"/>
      <w14:ligatures w14:val="standardContextual"/>
    </w:rPr>
  </w:style>
  <w:style w:type="character" w:customStyle="1" w:styleId="af">
    <w:name w:val="コメント内容 (文字)"/>
    <w:basedOn w:val="ad"/>
    <w:link w:val="ae"/>
    <w:uiPriority w:val="99"/>
    <w:semiHidden/>
    <w:rsid w:val="005F139F"/>
    <w:rPr>
      <w:rFonts w:ascii="Calibri" w:eastAsia="Calibri" w:hAnsi="Calibri" w:cs="Calibri"/>
      <w:b/>
      <w:bCs/>
      <w:sz w:val="20"/>
      <w:szCs w:val="20"/>
      <w:lang w:eastAsia="ja-JP"/>
      <w14:ligatures w14:val="none"/>
    </w:rPr>
  </w:style>
  <w:style w:type="paragraph" w:styleId="af0">
    <w:name w:val="header"/>
    <w:basedOn w:val="a"/>
    <w:link w:val="af1"/>
    <w:uiPriority w:val="99"/>
    <w:unhideWhenUsed/>
    <w:rsid w:val="00AB19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ヘッダー (文字)"/>
    <w:basedOn w:val="a0"/>
    <w:link w:val="af0"/>
    <w:uiPriority w:val="99"/>
    <w:rsid w:val="00AB19E2"/>
  </w:style>
  <w:style w:type="paragraph" w:styleId="af2">
    <w:name w:val="footer"/>
    <w:basedOn w:val="a"/>
    <w:link w:val="af3"/>
    <w:uiPriority w:val="99"/>
    <w:unhideWhenUsed/>
    <w:rsid w:val="00AB19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3">
    <w:name w:val="フッター (文字)"/>
    <w:basedOn w:val="a0"/>
    <w:link w:val="af2"/>
    <w:uiPriority w:val="99"/>
    <w:rsid w:val="00AB1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2025-04-04T18:06:00Z</dcterms:created>
  <dcterms:modified xsi:type="dcterms:W3CDTF">2025-04-08T10:33:00Z</dcterms:modified>
</cp:coreProperties>
</file>