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7298" w:rsidRPr="0048749D" w:rsidRDefault="00827298" w:rsidP="00827298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val="en-US"/>
        </w:rPr>
      </w:pPr>
      <w:r w:rsidRPr="0048749D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val="en-US"/>
        </w:rPr>
        <w:t>Supporting Information for:</w:t>
      </w:r>
    </w:p>
    <w:p w:rsidR="00827298" w:rsidRPr="0048749D" w:rsidRDefault="00827298" w:rsidP="00827298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val="en-US"/>
        </w:rPr>
      </w:pPr>
    </w:p>
    <w:p w:rsidR="00827298" w:rsidRPr="0048749D" w:rsidRDefault="00827298" w:rsidP="00827298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val="en-US"/>
        </w:rPr>
      </w:pPr>
      <w:r w:rsidRPr="0048749D"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  <w:lang w:val="en-US"/>
        </w:rPr>
        <w:t>Membrane Charge Primes the Necroptotic Kinase RIPK3 for Amyloid Assembly</w:t>
      </w:r>
    </w:p>
    <w:p w:rsidR="00827298" w:rsidRPr="0048749D" w:rsidRDefault="00827298" w:rsidP="00827298">
      <w:pPr>
        <w:contextualSpacing/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</w:pPr>
    </w:p>
    <w:p w:rsidR="00827298" w:rsidRPr="0048749D" w:rsidRDefault="00827298" w:rsidP="00827298">
      <w:pPr>
        <w:contextualSpacing/>
        <w:jc w:val="center"/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</w:pP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  <w:t>Fátima Escobedo-González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vertAlign w:val="superscript"/>
          <w:lang w:val="en-US"/>
        </w:rPr>
        <w:t>1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  <w:t>, Andrea Gelardo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vertAlign w:val="superscript"/>
          <w:lang w:val="en-US"/>
        </w:rPr>
        <w:t>1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  <w:t>, Alexandra</w:t>
      </w:r>
    </w:p>
    <w:p w:rsidR="00827298" w:rsidRPr="0048749D" w:rsidRDefault="00827298" w:rsidP="00827298">
      <w:pPr>
        <w:contextualSpacing/>
        <w:jc w:val="center"/>
        <w:rPr>
          <w:rFonts w:ascii="Times New Roman" w:eastAsia="Times New Roman" w:hAnsi="Times New Roman" w:cs="Times New Roman"/>
          <w:color w:val="0E0E0E"/>
          <w:sz w:val="22"/>
          <w:szCs w:val="22"/>
          <w:vertAlign w:val="superscript"/>
          <w:lang w:val="en-US"/>
        </w:rPr>
      </w:pP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  <w:t>Reimers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vertAlign w:val="superscript"/>
          <w:lang w:val="en-US"/>
        </w:rPr>
        <w:t>1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  <w:t>, Paula Polonio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vertAlign w:val="superscript"/>
          <w:lang w:val="en-US"/>
        </w:rPr>
        <w:t>1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  <w:t>, Miguel Mompeán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vertAlign w:val="superscript"/>
          <w:lang w:val="en-US"/>
        </w:rPr>
        <w:t>1*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  <w:t>, Gustavo A. Titaux-Delgado</w:t>
      </w: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vertAlign w:val="superscript"/>
          <w:lang w:val="en-US"/>
        </w:rPr>
        <w:t>1*</w:t>
      </w:r>
    </w:p>
    <w:p w:rsidR="00827298" w:rsidRPr="0048749D" w:rsidRDefault="00827298" w:rsidP="00827298">
      <w:pPr>
        <w:contextualSpacing/>
        <w:jc w:val="both"/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</w:pPr>
    </w:p>
    <w:p w:rsidR="00827298" w:rsidRPr="0048749D" w:rsidRDefault="00827298" w:rsidP="00827298">
      <w:pPr>
        <w:contextualSpacing/>
        <w:jc w:val="center"/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</w:pPr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vertAlign w:val="superscript"/>
          <w:lang w:val="en-US"/>
        </w:rPr>
        <w:t>1</w:t>
      </w:r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 xml:space="preserve">Instituto de </w:t>
      </w:r>
      <w:proofErr w:type="spellStart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>Química</w:t>
      </w:r>
      <w:proofErr w:type="spellEnd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 xml:space="preserve"> </w:t>
      </w:r>
      <w:proofErr w:type="spellStart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>Física</w:t>
      </w:r>
      <w:proofErr w:type="spellEnd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 xml:space="preserve"> Blas Cabrera, </w:t>
      </w:r>
      <w:proofErr w:type="spellStart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>Consejo</w:t>
      </w:r>
      <w:proofErr w:type="spellEnd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 xml:space="preserve"> Superior de </w:t>
      </w:r>
      <w:proofErr w:type="spellStart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>Investigaciones</w:t>
      </w:r>
      <w:proofErr w:type="spellEnd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 xml:space="preserve"> </w:t>
      </w:r>
      <w:proofErr w:type="spellStart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>Científicas</w:t>
      </w:r>
      <w:proofErr w:type="spellEnd"/>
      <w:r w:rsidRPr="0048749D">
        <w:rPr>
          <w:rFonts w:ascii="Times New Roman" w:eastAsia="Times New Roman" w:hAnsi="Times New Roman" w:cs="Times New Roman"/>
          <w:color w:val="0E0E0E"/>
          <w:sz w:val="20"/>
          <w:szCs w:val="20"/>
          <w:lang w:val="en-US"/>
        </w:rPr>
        <w:t xml:space="preserve"> (IQF-CSIC), Serrano 119, 28006 Madrid, Spain.</w:t>
      </w:r>
    </w:p>
    <w:p w:rsidR="00827298" w:rsidRPr="0048749D" w:rsidRDefault="00827298" w:rsidP="00827298">
      <w:pPr>
        <w:jc w:val="both"/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</w:pPr>
    </w:p>
    <w:p w:rsidR="00827298" w:rsidRPr="0048749D" w:rsidRDefault="00827298" w:rsidP="00827298">
      <w:pPr>
        <w:jc w:val="center"/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</w:pPr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  <w:t xml:space="preserve">*Correspondence: </w:t>
      </w:r>
      <w:hyperlink r:id="rId4" w:history="1">
        <w:r w:rsidRPr="0048749D">
          <w:rPr>
            <w:rStyle w:val="Hipervnculo"/>
            <w:rFonts w:ascii="Times New Roman" w:eastAsia="Times New Roman" w:hAnsi="Times New Roman" w:cs="Times New Roman"/>
            <w:sz w:val="22"/>
            <w:szCs w:val="22"/>
            <w:lang w:val="en-US"/>
          </w:rPr>
          <w:t>mmompean@iqf.csic.es</w:t>
        </w:r>
      </w:hyperlink>
      <w:r w:rsidRPr="0048749D"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  <w:t xml:space="preserve">, </w:t>
      </w:r>
      <w:hyperlink r:id="rId5" w:history="1">
        <w:r w:rsidRPr="0048749D">
          <w:rPr>
            <w:rStyle w:val="Hipervnculo"/>
            <w:rFonts w:ascii="Times New Roman" w:eastAsia="Times New Roman" w:hAnsi="Times New Roman" w:cs="Times New Roman"/>
            <w:sz w:val="22"/>
            <w:szCs w:val="22"/>
            <w:lang w:val="en-US"/>
          </w:rPr>
          <w:t>gtitaux@iqf.csic.es</w:t>
        </w:r>
      </w:hyperlink>
    </w:p>
    <w:p w:rsidR="00827298" w:rsidRPr="0048749D" w:rsidRDefault="00827298" w:rsidP="00827298">
      <w:pPr>
        <w:contextualSpacing/>
        <w:jc w:val="both"/>
        <w:rPr>
          <w:rFonts w:ascii="Times New Roman" w:eastAsia="Times New Roman" w:hAnsi="Times New Roman" w:cs="Times New Roman"/>
          <w:color w:val="0E0E0E"/>
          <w:sz w:val="22"/>
          <w:szCs w:val="22"/>
          <w:lang w:val="en-US"/>
        </w:rPr>
      </w:pPr>
    </w:p>
    <w:p w:rsidR="0048749D" w:rsidRPr="0048749D" w:rsidRDefault="00827298">
      <w:pPr>
        <w:rPr>
          <w:lang w:val="en-US"/>
        </w:rPr>
      </w:pPr>
      <w:r w:rsidRPr="0048749D">
        <w:rPr>
          <w:lang w:val="en-US"/>
        </w:rPr>
        <w:br w:type="page"/>
      </w:r>
      <w:r w:rsidR="0048749D" w:rsidRPr="0048749D">
        <w:rPr>
          <w:lang w:val="en-US"/>
        </w:rPr>
        <w:lastRenderedPageBreak/>
        <w:br w:type="page"/>
      </w:r>
    </w:p>
    <w:p w:rsidR="0048749D" w:rsidRPr="0048749D" w:rsidRDefault="0048749D">
      <w:pPr>
        <w:rPr>
          <w:rFonts w:ascii="Times New Roman" w:hAnsi="Times New Roman" w:cs="Times New Roman"/>
          <w:b/>
          <w:color w:val="0E0E0E"/>
          <w:sz w:val="28"/>
          <w:szCs w:val="28"/>
          <w:lang w:val="en-US"/>
        </w:rPr>
      </w:pPr>
      <w:r w:rsidRPr="0048749D">
        <w:rPr>
          <w:rFonts w:ascii="Times New Roman" w:hAnsi="Times New Roman" w:cs="Times New Roman"/>
          <w:b/>
          <w:color w:val="0E0E0E"/>
          <w:sz w:val="28"/>
          <w:szCs w:val="28"/>
          <w:lang w:val="en-US"/>
        </w:rPr>
        <w:lastRenderedPageBreak/>
        <w:t>Contents</w:t>
      </w:r>
    </w:p>
    <w:p w:rsidR="0048749D" w:rsidRDefault="0048749D">
      <w:pPr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</w:pPr>
    </w:p>
    <w:p w:rsidR="0048749D" w:rsidRDefault="0048749D">
      <w:pPr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</w:pPr>
    </w:p>
    <w:p w:rsidR="0048749D" w:rsidRPr="0048749D" w:rsidRDefault="0048749D">
      <w:pPr>
        <w:rPr>
          <w:rFonts w:ascii="Times New Roman" w:hAnsi="Times New Roman" w:cs="Times New Roman"/>
          <w:b/>
          <w:color w:val="0E0E0E"/>
          <w:lang w:val="en-US"/>
        </w:rPr>
      </w:pPr>
      <w:r w:rsidRPr="0048749D">
        <w:rPr>
          <w:rFonts w:ascii="Times New Roman" w:hAnsi="Times New Roman" w:cs="Times New Roman"/>
          <w:b/>
          <w:color w:val="0E0E0E"/>
          <w:lang w:val="en-US"/>
        </w:rPr>
        <w:t>-Materials and Methods</w:t>
      </w:r>
    </w:p>
    <w:p w:rsidR="0048749D" w:rsidRDefault="0048749D">
      <w:pPr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</w:pPr>
    </w:p>
    <w:p w:rsidR="0048749D" w:rsidRPr="0048749D" w:rsidRDefault="0048749D" w:rsidP="0048749D">
      <w:pPr>
        <w:contextualSpacing/>
        <w:jc w:val="both"/>
        <w:rPr>
          <w:rFonts w:ascii="Times New Roman" w:hAnsi="Times New Roman" w:cs="Times New Roman"/>
          <w:bCs/>
          <w:color w:val="0E0E0E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Cs/>
          <w:color w:val="0E0E0E"/>
          <w:sz w:val="22"/>
          <w:szCs w:val="22"/>
          <w:lang w:val="en-US"/>
        </w:rPr>
        <w:t>Protein Expression and Purification</w:t>
      </w:r>
    </w:p>
    <w:p w:rsidR="0048749D" w:rsidRDefault="0048749D" w:rsidP="0048749D">
      <w:pPr>
        <w:contextualSpacing/>
        <w:rPr>
          <w:rFonts w:ascii="Times New Roman" w:hAnsi="Times New Roman" w:cs="Times New Roman"/>
          <w:bCs/>
          <w:sz w:val="22"/>
          <w:szCs w:val="22"/>
          <w:lang w:val="en-US"/>
        </w:rPr>
      </w:pPr>
    </w:p>
    <w:p w:rsidR="0048749D" w:rsidRPr="0048749D" w:rsidRDefault="0048749D" w:rsidP="0048749D">
      <w:pPr>
        <w:contextualSpacing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Cs/>
          <w:sz w:val="22"/>
          <w:szCs w:val="22"/>
          <w:lang w:val="en-US"/>
        </w:rPr>
        <w:t>Preparation of DIBMALPs</w:t>
      </w:r>
    </w:p>
    <w:p w:rsidR="0048749D" w:rsidRPr="0048749D" w:rsidRDefault="0048749D" w:rsidP="0048749D">
      <w:pPr>
        <w:ind w:right="680"/>
        <w:contextualSpacing/>
        <w:jc w:val="both"/>
        <w:rPr>
          <w:rFonts w:ascii="Times New Roman" w:hAnsi="Times New Roman" w:cs="Times New Roman"/>
          <w:bCs/>
          <w:sz w:val="22"/>
          <w:szCs w:val="22"/>
          <w:lang w:val="en-US"/>
        </w:rPr>
      </w:pPr>
    </w:p>
    <w:p w:rsidR="0048749D" w:rsidRPr="0048749D" w:rsidRDefault="0048749D" w:rsidP="0048749D">
      <w:pPr>
        <w:ind w:right="680"/>
        <w:contextualSpacing/>
        <w:jc w:val="both"/>
        <w:rPr>
          <w:rFonts w:ascii="Times New Roman" w:eastAsia="Times New Roman" w:hAnsi="Times New Roman" w:cs="Times New Roman"/>
          <w:bCs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Cs/>
          <w:sz w:val="22"/>
          <w:szCs w:val="22"/>
          <w:lang w:val="en-US"/>
        </w:rPr>
        <w:t>Thioflavin T fluorescence assays of amyloid assembly</w:t>
      </w:r>
    </w:p>
    <w:p w:rsidR="0048749D" w:rsidRPr="0048749D" w:rsidRDefault="0048749D" w:rsidP="0048749D">
      <w:pPr>
        <w:contextualSpacing/>
        <w:rPr>
          <w:rFonts w:ascii="Times New Roman" w:hAnsi="Times New Roman" w:cs="Times New Roman"/>
          <w:bCs/>
          <w:sz w:val="22"/>
          <w:szCs w:val="22"/>
          <w:lang w:val="en-US"/>
        </w:rPr>
      </w:pPr>
    </w:p>
    <w:p w:rsidR="0048749D" w:rsidRPr="0048749D" w:rsidRDefault="0048749D" w:rsidP="0048749D">
      <w:pPr>
        <w:contextualSpacing/>
        <w:rPr>
          <w:rFonts w:ascii="Times New Roman" w:hAnsi="Times New Roman" w:cs="Times New Roman"/>
          <w:bCs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NMR spectroscopy </w:t>
      </w:r>
    </w:p>
    <w:p w:rsidR="0048749D" w:rsidRDefault="0048749D">
      <w:pPr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</w:pPr>
    </w:p>
    <w:p w:rsidR="0048749D" w:rsidRDefault="0048749D">
      <w:pPr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</w:pPr>
    </w:p>
    <w:p w:rsidR="0048749D" w:rsidRPr="0048749D" w:rsidRDefault="0048749D">
      <w:pPr>
        <w:rPr>
          <w:rFonts w:ascii="Times New Roman" w:hAnsi="Times New Roman" w:cs="Times New Roman"/>
          <w:b/>
          <w:color w:val="0E0E0E"/>
          <w:lang w:val="en-US"/>
        </w:rPr>
      </w:pPr>
      <w:r w:rsidRPr="0048749D">
        <w:rPr>
          <w:rFonts w:ascii="Times New Roman" w:hAnsi="Times New Roman" w:cs="Times New Roman"/>
          <w:b/>
          <w:color w:val="0E0E0E"/>
          <w:lang w:val="en-US"/>
        </w:rPr>
        <w:t>-Supplementary Figures</w:t>
      </w:r>
    </w:p>
    <w:p w:rsidR="0048749D" w:rsidRDefault="0048749D" w:rsidP="0048749D">
      <w:pPr>
        <w:tabs>
          <w:tab w:val="left" w:pos="4807"/>
        </w:tabs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  <w:tab/>
      </w:r>
    </w:p>
    <w:p w:rsidR="0048749D" w:rsidRPr="0048749D" w:rsidRDefault="0048749D">
      <w:pPr>
        <w:rPr>
          <w:rFonts w:ascii="Times New Roman" w:hAnsi="Times New Roman" w:cs="Times New Roman"/>
          <w:bCs/>
          <w:color w:val="0E0E0E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Cs/>
          <w:color w:val="0E0E0E"/>
          <w:sz w:val="22"/>
          <w:szCs w:val="22"/>
          <w:lang w:val="en-US"/>
        </w:rPr>
        <w:t xml:space="preserve">Figure S1. </w:t>
      </w:r>
      <w:r w:rsidRPr="0048749D">
        <w:rPr>
          <w:rFonts w:ascii="Times New Roman" w:hAnsi="Times New Roman" w:cs="Times New Roman"/>
          <w:bCs/>
          <w:color w:val="0E0E0E"/>
          <w:sz w:val="22"/>
          <w:szCs w:val="22"/>
          <w:lang w:val="en-US"/>
        </w:rPr>
        <w:t>Negatively charged DIBMALPs remain stable at pH 4.0</w:t>
      </w:r>
      <w:r w:rsidRPr="0048749D">
        <w:rPr>
          <w:rFonts w:ascii="Times New Roman" w:hAnsi="Times New Roman" w:cs="Times New Roman"/>
          <w:bCs/>
          <w:color w:val="0E0E0E"/>
          <w:sz w:val="22"/>
          <w:szCs w:val="22"/>
          <w:lang w:val="en-US"/>
        </w:rPr>
        <w:t>.</w:t>
      </w:r>
    </w:p>
    <w:p w:rsidR="0048749D" w:rsidRPr="0048749D" w:rsidRDefault="0048749D">
      <w:pPr>
        <w:rPr>
          <w:rFonts w:ascii="Times New Roman" w:hAnsi="Times New Roman" w:cs="Times New Roman"/>
          <w:bCs/>
          <w:color w:val="0E0E0E"/>
          <w:sz w:val="22"/>
          <w:szCs w:val="22"/>
          <w:lang w:val="en-US"/>
        </w:rPr>
      </w:pPr>
    </w:p>
    <w:p w:rsidR="0048749D" w:rsidRPr="0048749D" w:rsidRDefault="0048749D">
      <w:pPr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Cs/>
          <w:color w:val="0E0E0E"/>
          <w:sz w:val="22"/>
          <w:szCs w:val="22"/>
          <w:lang w:val="en-US"/>
        </w:rPr>
        <w:t xml:space="preserve">Figure S2. </w:t>
      </w:r>
      <w:r w:rsidRPr="0048749D">
        <w:rPr>
          <w:rFonts w:ascii="Times New Roman" w:hAnsi="Times New Roman" w:cs="Times New Roman"/>
          <w:bCs/>
          <w:color w:val="0E0E0E"/>
          <w:sz w:val="22"/>
          <w:szCs w:val="22"/>
          <w:lang w:val="en-US"/>
        </w:rPr>
        <w:t>RIPK3 interacts strongly with negatively charged, but not so with neutral, DIBMALPs at pH 6.5</w:t>
      </w:r>
      <w:r w:rsidRPr="0048749D"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  <w:br w:type="page"/>
      </w:r>
    </w:p>
    <w:p w:rsidR="0048749D" w:rsidRPr="0048749D" w:rsidRDefault="0048749D" w:rsidP="0048749D">
      <w:pPr>
        <w:spacing w:line="360" w:lineRule="auto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  <w:lastRenderedPageBreak/>
        <w:t>Materials and Methods</w:t>
      </w:r>
    </w:p>
    <w:p w:rsidR="0048749D" w:rsidRPr="0048749D" w:rsidRDefault="0048749D" w:rsidP="0048749D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48749D" w:rsidRPr="0048749D" w:rsidRDefault="0048749D" w:rsidP="0048749D">
      <w:pPr>
        <w:spacing w:line="392" w:lineRule="auto"/>
        <w:jc w:val="both"/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/>
          <w:color w:val="0E0E0E"/>
          <w:sz w:val="22"/>
          <w:szCs w:val="22"/>
          <w:lang w:val="en-US"/>
        </w:rPr>
        <w:t>Protein Expression and Purification</w:t>
      </w:r>
    </w:p>
    <w:p w:rsidR="0048749D" w:rsidRPr="0048749D" w:rsidRDefault="0048749D" w:rsidP="0048749D">
      <w:pPr>
        <w:spacing w:line="392" w:lineRule="auto"/>
        <w:jc w:val="both"/>
        <w:rPr>
          <w:rFonts w:ascii="Times New Roman" w:hAnsi="Times New Roman" w:cs="Times New Roman"/>
          <w:color w:val="0E0E0E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The human RIPK3 (387–518) construct, codon-optimized for </w:t>
      </w:r>
      <w:r w:rsidRPr="0048749D">
        <w:rPr>
          <w:rFonts w:ascii="Times New Roman" w:hAnsi="Times New Roman" w:cs="Times New Roman"/>
          <w:i/>
          <w:color w:val="0E0E0E"/>
          <w:sz w:val="22"/>
          <w:szCs w:val="22"/>
          <w:lang w:val="en-US"/>
        </w:rPr>
        <w:t>Escherichia coli</w:t>
      </w: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 expression, was purchased from </w:t>
      </w:r>
      <w:proofErr w:type="spellStart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GenScript</w:t>
      </w:r>
      <w:proofErr w:type="spellEnd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 (New Jersey, NJ, USA) and subcloned into a pET11a-derived vector containing an N-terminal His₆-tag followed by a tobacco etch virus (TEV) protease cleavage site. The resulting fusion protein was expressed in </w:t>
      </w:r>
      <w:r w:rsidRPr="0048749D">
        <w:rPr>
          <w:rFonts w:ascii="Times New Roman" w:hAnsi="Times New Roman" w:cs="Times New Roman"/>
          <w:i/>
          <w:color w:val="0E0E0E"/>
          <w:sz w:val="22"/>
          <w:szCs w:val="22"/>
          <w:lang w:val="en-US"/>
        </w:rPr>
        <w:t>E. coli</w:t>
      </w: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 BL21 (DE3) cells.</w:t>
      </w:r>
    </w:p>
    <w:p w:rsidR="0048749D" w:rsidRPr="0048749D" w:rsidRDefault="0048749D" w:rsidP="0048749D">
      <w:pPr>
        <w:spacing w:line="392" w:lineRule="auto"/>
        <w:jc w:val="both"/>
        <w:rPr>
          <w:rFonts w:ascii="Times New Roman" w:hAnsi="Times New Roman" w:cs="Times New Roman"/>
          <w:color w:val="0E0E0E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Transformed </w:t>
      </w:r>
      <w:r w:rsidRPr="0048749D">
        <w:rPr>
          <w:rFonts w:ascii="Times New Roman" w:hAnsi="Times New Roman" w:cs="Times New Roman"/>
          <w:i/>
          <w:color w:val="0E0E0E"/>
          <w:sz w:val="22"/>
          <w:szCs w:val="22"/>
          <w:lang w:val="en-US"/>
        </w:rPr>
        <w:t>E. coli</w:t>
      </w: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 cells were initially cultured in 2 L of 2×YT medium at 37°C until an optical density at 600 nm (OD₆₀₀) of 0.6–0.8 was reached. Cells were harvested by centrifugation at 4,000 × g for 15 minutes at 4°C, and the resulting pellet was resuspended in 0.5 L of M9 minimal medium supplemented with ¹³C-glucose and ¹⁵NH₄Cl (Cambridge Isotope Laboratories) as the sole carbon and nitrogen sources, respectively. To ensure efficient isotopic labeling, cells were incubated for 1.5 hours at 37°C prior to induction. Protein expression was induced by addition of 0.5 mM IPTG, followed by overnight incubation at 25°C.</w:t>
      </w:r>
    </w:p>
    <w:p w:rsidR="0048749D" w:rsidRPr="0048749D" w:rsidRDefault="0048749D" w:rsidP="0048749D">
      <w:pPr>
        <w:spacing w:line="392" w:lineRule="auto"/>
        <w:jc w:val="both"/>
        <w:rPr>
          <w:rFonts w:ascii="Times New Roman" w:hAnsi="Times New Roman" w:cs="Times New Roman"/>
          <w:color w:val="0E0E0E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For protein purification, harvested cells were resuspended in lysis buffer containing 20 mM Tris-HCl, 150 mM NaCl, and 1 mM EDTA (pH 8.0), and lysed by sonication on ice in 45-second bursts for 3 to 5 cycles. The lysate was clarified by centrifugation at 20,000 rpm for 20 minutes at 4°C, and the insoluble fraction containing inclusion bodies was collected. Inclusion bodies were solubilized in a buffer containing 6 M guanidine hydrochloride (</w:t>
      </w:r>
      <w:proofErr w:type="spellStart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GuHCl</w:t>
      </w:r>
      <w:proofErr w:type="spellEnd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), 20 mM Tris-HCl (pH 8.0), and 2 mM DDT. The His-tagged protein was purified under denaturing conditions using a Ni²⁺-affinity chromatography column 5mL (</w:t>
      </w:r>
      <w:proofErr w:type="spellStart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HiTrap</w:t>
      </w:r>
      <w:proofErr w:type="spellEnd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,</w:t>
      </w: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Cytiva</w:t>
      </w:r>
      <w:proofErr w:type="spellEnd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, </w:t>
      </w:r>
      <w:r w:rsidRPr="0048749D">
        <w:rPr>
          <w:rFonts w:ascii="Times New Roman" w:hAnsi="Times New Roman" w:cs="Times New Roman"/>
          <w:sz w:val="22"/>
          <w:szCs w:val="22"/>
          <w:lang w:val="en-US"/>
        </w:rPr>
        <w:t>Freiburg, Germany</w:t>
      </w: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).</w:t>
      </w:r>
    </w:p>
    <w:p w:rsidR="0048749D" w:rsidRPr="0048749D" w:rsidRDefault="0048749D" w:rsidP="0048749D">
      <w:pPr>
        <w:spacing w:line="392" w:lineRule="auto"/>
        <w:jc w:val="both"/>
        <w:rPr>
          <w:rFonts w:ascii="Times New Roman" w:hAnsi="Times New Roman" w:cs="Times New Roman"/>
          <w:color w:val="0E0E0E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The Ni²⁺-affinity column was washed with a buffer containing 8 M urea, 50 mM Tris-HCl, and 1 mM DTT (pH 8.0). Bound protein was eluted using the same buffer supplemented with 500 mM imidazole, also adjusted to pH 8.0. The eluted protein solution was passed through a 0.22 </w:t>
      </w:r>
      <w:proofErr w:type="spellStart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μm</w:t>
      </w:r>
      <w:proofErr w:type="spellEnd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 membrane filter and subsequently subjected to size-exclusion chromatography (SEC) using a </w:t>
      </w:r>
      <w:proofErr w:type="spellStart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Superose</w:t>
      </w:r>
      <w:proofErr w:type="spellEnd"/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 xml:space="preserve"> 6 Increase 10/300 GL column (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Cytiva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, Freiburg, Germany</w:t>
      </w: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) connected to an ÄKTA FPLC system (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Cytiva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, Freiburg, Germany</w:t>
      </w: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), to separate monomeric protein from higher-order oligomeric species.</w:t>
      </w:r>
    </w:p>
    <w:p w:rsidR="0048749D" w:rsidRPr="0048749D" w:rsidRDefault="0048749D" w:rsidP="0048749D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48749D" w:rsidRPr="0048749D" w:rsidRDefault="0048749D" w:rsidP="0048749D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48749D" w:rsidRPr="0048749D" w:rsidRDefault="0048749D" w:rsidP="0048749D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/>
          <w:sz w:val="22"/>
          <w:szCs w:val="22"/>
          <w:lang w:val="en-US"/>
        </w:rPr>
        <w:t>Preparation of DIBMALPs</w:t>
      </w:r>
    </w:p>
    <w:p w:rsidR="0048749D" w:rsidRPr="0048749D" w:rsidRDefault="0048749D" w:rsidP="0048749D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48749D" w:rsidRPr="0048749D" w:rsidRDefault="0048749D" w:rsidP="004874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1,2-dimyristoyl-sn-glycero-3-phosphocholine, DMPC and 1,2-dimyristoyl-sn-glycero-3-phospho-(1'-rac-glycerol), DMPG lipid </w:t>
      </w: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(</w:t>
      </w:r>
      <w:r w:rsidRPr="0048749D">
        <w:rPr>
          <w:rFonts w:ascii="Times New Roman" w:hAnsi="Times New Roman" w:cs="Times New Roman"/>
          <w:sz w:val="22"/>
          <w:szCs w:val="22"/>
          <w:lang w:val="en-US"/>
        </w:rPr>
        <w:t>Avanti Polar Lipids</w:t>
      </w:r>
      <w:r w:rsidRPr="0048749D">
        <w:rPr>
          <w:rFonts w:ascii="Times New Roman" w:hAnsi="Times New Roman" w:cs="Times New Roman"/>
          <w:color w:val="0E0E0E"/>
          <w:sz w:val="22"/>
          <w:szCs w:val="22"/>
          <w:lang w:val="en-US"/>
        </w:rPr>
        <w:t>)</w:t>
      </w: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powders were individually resuspended in phosphate buffer (20 mM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Na₂HPO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₄/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NaH₂PO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₄, pH 6.5) to a final concentration of 20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mM.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Each lipid suspension was thoroughly mixed by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vortexing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and equilibrated at 30°C for </w:t>
      </w:r>
      <w:r w:rsidRPr="0048749D">
        <w:rPr>
          <w:rFonts w:ascii="Times New Roman" w:hAnsi="Times New Roman" w:cs="Times New Roman"/>
          <w:sz w:val="22"/>
          <w:szCs w:val="22"/>
          <w:lang w:val="en-US"/>
        </w:rPr>
        <w:lastRenderedPageBreak/>
        <w:t xml:space="preserve">15 minutes. To promote the formation of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unilamellar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structures, the suspensions underwent nine freeze–thaw cycles by alternating immersion in liquid nitrogen and a 60°C water bath. Large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unilamellar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vesicles (LUVs) were then prepared by extruding each lipid suspension 30 times through a 100 nm polycarbonate membrane using a manual extruder (Avanti Polar Lipids, Germany).</w:t>
      </w:r>
    </w:p>
    <w:p w:rsidR="0048749D" w:rsidRPr="0048749D" w:rsidRDefault="0048749D" w:rsidP="004874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Lyophilized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diisobutylene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/maleic acid copolymer (DIBMA) was purchased from Cube Biotech (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Monheim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am Rhein, Germany) and reconstituted in phosphate buffer (20 mM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Na₂HPO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₄/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NaH₂PO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₄, pH 6.5) to a final concentration of 100 mg/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mL.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The polymer solution was then added gradually to the LUV suspension to obtain a final lipid-to-polymer mass ratio of 1:1. The resulting mixture was incubated at 30°C for at least 1 hour to initiate DIBMALPs assembly. To ensure complete formation and stabilization, samples were subsequently maintained at 4°C for 16 hours. Insoluble aggregates were removed by centrifugation at 15,000 × g for 30 minutes at 4°C.</w:t>
      </w:r>
    </w:p>
    <w:p w:rsidR="0048749D" w:rsidRPr="0048749D" w:rsidRDefault="0048749D" w:rsidP="0048749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To further purify the preparations and separate potential aggregates or polymer excess, samples were subjected to size-exclusion chromatography (SEC). A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Superdex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200 Increase 10/300 GL column (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Cytiva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, Freiburg, Germany), connected to an ÄKTA purifier system (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Cytiva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, Freiburg, Germany), was equilibrated with two column volumes of 20 mM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Na₂HPO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₄/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NaH₂PO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₄ buffer at pH 6.5. DIBMALPs sample was loaded onto the column and eluted at a flow rate of 0.5 mL/min.</w:t>
      </w:r>
    </w:p>
    <w:p w:rsidR="0048749D" w:rsidRPr="0048749D" w:rsidRDefault="0048749D" w:rsidP="0048749D">
      <w:pPr>
        <w:spacing w:line="276" w:lineRule="auto"/>
        <w:ind w:right="680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48749D" w:rsidRPr="0048749D" w:rsidRDefault="0048749D" w:rsidP="0048749D">
      <w:pPr>
        <w:spacing w:line="276" w:lineRule="auto"/>
        <w:ind w:right="680"/>
        <w:jc w:val="both"/>
        <w:rPr>
          <w:rFonts w:ascii="Times New Roman" w:eastAsia="Times New Roman" w:hAnsi="Times New Roman" w:cs="Times New Roman"/>
          <w:b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/>
          <w:sz w:val="22"/>
          <w:szCs w:val="22"/>
          <w:lang w:val="en-US"/>
        </w:rPr>
        <w:t>Thioflavin T fluorescence assays of amyloid assembly</w:t>
      </w:r>
    </w:p>
    <w:p w:rsidR="0048749D" w:rsidRPr="0048749D" w:rsidRDefault="0048749D" w:rsidP="0048749D">
      <w:pPr>
        <w:spacing w:line="360" w:lineRule="auto"/>
        <w:ind w:right="16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8749D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br/>
      </w:r>
      <w:r w:rsidRPr="0048749D">
        <w:rPr>
          <w:rFonts w:ascii="Times New Roman" w:hAnsi="Times New Roman" w:cs="Times New Roman"/>
          <w:sz w:val="22"/>
          <w:szCs w:val="22"/>
          <w:lang w:val="en-US"/>
        </w:rPr>
        <w:t>To monitor amyloid formation under different experimental conditions, including pH variation and the presence of SDS, NaCl, or DIBMALPs, fluorescence assays with Thioflavin T (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ThT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) were performed. The assembly buffer contained 1 mM acetic acid, 1 mM TCEP, and 40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μM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ThT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, and its pH was adjusted to either 4.0 or 6.5 by stepwise addition of 100 mM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Na₂CO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₃. SEC-purified RIPK3 was maintained in its monomeric form in a denaturing buffer containing 8 M urea and 1 mM TCEP, pH 4.0, at a stock concentration of 200 µM. To initiate amyloid formation, aliquots of the monomeric RIPK3 stock were transferred into black half-area 96-well plates (Nunc, Denmark). Assembly was triggered by rapidly diluting the urea concentration to 100 mM through the addition of an assembly buffer pre-adjusted. This dilution also brought the final concentration of RIPK3 to 5 µM. All reactions were performed at room temperature.</w:t>
      </w:r>
    </w:p>
    <w:p w:rsidR="0048749D" w:rsidRPr="0048749D" w:rsidRDefault="0048749D" w:rsidP="0048749D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Fluorescence was recorded immediately after mixing using a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POLARstar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Omega microplate reader (BMG Labtech) with excitation and emission filters set at 440 ± 10 nm and 480 ± 10 nm, respectively. Assays were performed in triplicate, and fluorescence data were collected every 30 seconds over a 20-hour period. The final protein concentration in each well was 5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μM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, determined by absorbance at 280 nm using a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NanoDrop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™ 2000C spectrophotometer (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Thermo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Fisher Scientific, Scoresby, VIC, Australia).</w:t>
      </w:r>
    </w:p>
    <w:p w:rsidR="0048749D" w:rsidRPr="0048749D" w:rsidRDefault="0048749D" w:rsidP="0048749D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48749D" w:rsidRPr="0048749D" w:rsidRDefault="0048749D" w:rsidP="0048749D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b/>
          <w:sz w:val="22"/>
          <w:szCs w:val="22"/>
          <w:lang w:val="en-US"/>
        </w:rPr>
        <w:t xml:space="preserve">NMR spectroscopy </w:t>
      </w:r>
    </w:p>
    <w:p w:rsidR="0048749D" w:rsidRPr="0048749D" w:rsidRDefault="0048749D" w:rsidP="0048749D">
      <w:pPr>
        <w:spacing w:before="240" w:after="240"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Nuclear magnetic resonance (NMR) experiments were conducted at 298 K on a Bruker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Avance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Neo 800 MHz spectrometer (¹H frequency), equipped with a TCI cryoprobe and Z-gradient capabilities. All measurements were performed using uniformly ¹³</w:t>
      </w:r>
      <w:proofErr w:type="gramStart"/>
      <w:r w:rsidRPr="0048749D">
        <w:rPr>
          <w:rFonts w:ascii="Times New Roman" w:hAnsi="Times New Roman" w:cs="Times New Roman"/>
          <w:sz w:val="22"/>
          <w:szCs w:val="22"/>
          <w:lang w:val="en-US"/>
        </w:rPr>
        <w:t>C,¹</w:t>
      </w:r>
      <w:proofErr w:type="gramEnd"/>
      <w:r w:rsidRPr="0048749D">
        <w:rPr>
          <w:rFonts w:ascii="Times New Roman" w:hAnsi="Times New Roman" w:cs="Times New Roman"/>
          <w:sz w:val="22"/>
          <w:szCs w:val="22"/>
          <w:lang w:val="en-US"/>
        </w:rPr>
        <w:t>⁵N-labeled RIPK3 protein samples.</w:t>
      </w:r>
      <w:r w:rsidRPr="0048749D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Prior to acquisition, samples were desalted into a buffer containing 90:10 H₂O/D₂O, supplemented with 1 mM acetic acid (pH adjusted to 4.0) and 1 mM TCEP. For pH titration experiments, the pH was incrementally raised to 5.0, 5.5, and 6.5 by the addition of small aliquots (0.5 µL) of 100 mM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Na₂CO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₃. Protein concentrations were estimated to be between 20 and 80 µM by measuring UV absorbance at 280 nm. Depending on the experimental condition, SDS, 1,6-hexanediol, or DIBMALPs were subsequently added to the samples to evaluate their effect on amyloid assembly under different environments.</w:t>
      </w:r>
    </w:p>
    <w:p w:rsidR="0048749D" w:rsidRPr="0048749D" w:rsidRDefault="0048749D" w:rsidP="0048749D">
      <w:pPr>
        <w:spacing w:before="240" w:after="240"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sz w:val="22"/>
          <w:szCs w:val="22"/>
          <w:lang w:val="en-US"/>
        </w:rPr>
        <w:t>Sequential backbone assignments were initiated using H(NCOCA)HN and (H)N(COCA)NH experiments, each acquired with 32 scans. Spectral widths and transmitter offsets were 12/20/4.70 ppm and 4.70/117/4.70 ppm (¹H/¹⁵N/¹H) for H(NCOCA)HN, and 12/20/20 ppm and 4.70/117/117 ppm (¹H/¹⁵N/¹⁵N) for (H)N(COCA)NH. Spin system connectivity was then established using standard ¹³C-based triple-resonance experiments: HNCA (¹H/¹⁵N/¹³C Spectral widths= 12/20/30 ppm; offsets = 4.70/117/53.2 ppm), CBCA(CO)NH (12/20/80 ppm; 4.70/117/43 ppm), HNCACB (9.7/20/80 ppm; 4.70/117/39.5 ppm), HNCO (12/20/12 ppm; 4.70/117/173.5 ppm), and HNCACO (9.7/23/16 ppm; 4.70/117/173.5 ppm). All experiments were acquired with 32 scans, except HNCO, which was acquired with 8 scans. Complete backbone assignments were achieved for all residues except prolines, which lack amide protons and are therefore not observable in these spectra.</w:t>
      </w:r>
    </w:p>
    <w:p w:rsidR="0048749D" w:rsidRPr="0048749D" w:rsidRDefault="0048749D" w:rsidP="0048749D">
      <w:pPr>
        <w:spacing w:before="240" w:after="240"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All datasets were processed using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TopSpin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 4.1.8 (Bruker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Biospin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, Germany), and resonance assignments were performed with NMRFAM-Sparky. Proton chemical shifts were referenced directly to DSS, while ¹³C and ¹⁵N chemical shifts were referenced indirectly.</w:t>
      </w:r>
    </w:p>
    <w:p w:rsidR="0048749D" w:rsidRPr="0048749D" w:rsidRDefault="0048749D" w:rsidP="0048749D">
      <w:pPr>
        <w:spacing w:before="240" w:after="240"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Rotating-frame (¹⁵N </w:t>
      </w:r>
      <w:r w:rsidRPr="0048749D">
        <w:rPr>
          <w:rFonts w:ascii="Times New Roman" w:hAnsi="Times New Roman" w:cs="Times New Roman"/>
          <w:i/>
          <w:iCs/>
          <w:sz w:val="22"/>
          <w:szCs w:val="22"/>
          <w:lang w:val="en-US"/>
        </w:rPr>
        <w:t>R</w:t>
      </w:r>
      <w:r w:rsidRPr="0048749D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1</w:t>
      </w:r>
      <w:r w:rsidRPr="0048749D">
        <w:rPr>
          <w:rFonts w:ascii="Times New Roman" w:hAnsi="Times New Roman" w:cs="Times New Roman"/>
          <w:sz w:val="22"/>
          <w:szCs w:val="22"/>
          <w:lang w:val="en-US"/>
        </w:rPr>
        <w:t xml:space="preserve">ρ) relaxation rates were determined using the standard Bruker pulse sequence hsqctref3gpsi with relaxation delays of 8, 36, 76, 100, 156 and 300 </w:t>
      </w:r>
      <w:proofErr w:type="spellStart"/>
      <w:r w:rsidRPr="0048749D">
        <w:rPr>
          <w:rFonts w:ascii="Times New Roman" w:hAnsi="Times New Roman" w:cs="Times New Roman"/>
          <w:sz w:val="22"/>
          <w:szCs w:val="22"/>
          <w:lang w:val="en-US"/>
        </w:rPr>
        <w:t>ms</w:t>
      </w:r>
      <w:proofErr w:type="spellEnd"/>
      <w:r w:rsidRPr="0048749D">
        <w:rPr>
          <w:rFonts w:ascii="Times New Roman" w:hAnsi="Times New Roman" w:cs="Times New Roman"/>
          <w:sz w:val="22"/>
          <w:szCs w:val="22"/>
          <w:lang w:val="en-US"/>
        </w:rPr>
        <w:t>, and a spin-lock field strength of 2 kHz. Spectra were recorded with 16 scans using spectral widths of 12 ppm for ¹H and 20 ppm for ¹⁵N, and transmitter offsets of 4.70 and 117 ppm, respectively.</w:t>
      </w:r>
    </w:p>
    <w:p w:rsidR="0048749D" w:rsidRPr="0048749D" w:rsidRDefault="0048749D" w:rsidP="0048749D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48749D" w:rsidRPr="0048749D" w:rsidRDefault="0048749D" w:rsidP="0048749D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48749D" w:rsidRPr="0048749D" w:rsidRDefault="0048749D" w:rsidP="0048749D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827298" w:rsidRPr="0048749D" w:rsidRDefault="00827298">
      <w:pPr>
        <w:rPr>
          <w:lang w:val="en-US"/>
        </w:rPr>
      </w:pPr>
    </w:p>
    <w:p w:rsidR="005019E9" w:rsidRPr="0048749D" w:rsidRDefault="00C17F4E">
      <w:pPr>
        <w:rPr>
          <w:lang w:val="en-US"/>
        </w:rPr>
      </w:pPr>
      <w:r w:rsidRPr="0048749D">
        <w:rPr>
          <w:noProof/>
          <w:lang w:val="en-US"/>
        </w:rPr>
        <w:lastRenderedPageBreak/>
        <w:drawing>
          <wp:inline distT="0" distB="0" distL="0" distR="0">
            <wp:extent cx="5400040" cy="3037840"/>
            <wp:effectExtent l="0" t="0" r="0" b="0"/>
            <wp:docPr id="18615007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00728" name="Imagen 18615007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D7" w:rsidRPr="0048749D" w:rsidRDefault="002F56D7" w:rsidP="002F56D7">
      <w:pPr>
        <w:pStyle w:val="p1"/>
        <w:spacing w:before="0" w:beforeAutospacing="0" w:after="0" w:afterAutospacing="0"/>
        <w:rPr>
          <w:sz w:val="22"/>
          <w:szCs w:val="22"/>
          <w:lang w:val="en-US"/>
        </w:rPr>
      </w:pPr>
      <w:r w:rsidRPr="0048749D">
        <w:rPr>
          <w:b/>
          <w:bCs/>
          <w:sz w:val="22"/>
          <w:szCs w:val="22"/>
          <w:lang w:val="en-US"/>
        </w:rPr>
        <w:t xml:space="preserve">Figure </w:t>
      </w:r>
      <w:r w:rsidRPr="0048749D">
        <w:rPr>
          <w:b/>
          <w:bCs/>
          <w:sz w:val="22"/>
          <w:szCs w:val="22"/>
          <w:lang w:val="en-US"/>
        </w:rPr>
        <w:t>S</w:t>
      </w:r>
      <w:r w:rsidRPr="0048749D">
        <w:rPr>
          <w:b/>
          <w:bCs/>
          <w:sz w:val="22"/>
          <w:szCs w:val="22"/>
          <w:lang w:val="en-US"/>
        </w:rPr>
        <w:t xml:space="preserve">1. </w:t>
      </w:r>
      <w:r w:rsidR="008E44EE" w:rsidRPr="0048749D">
        <w:rPr>
          <w:b/>
          <w:bCs/>
          <w:sz w:val="22"/>
          <w:szCs w:val="22"/>
          <w:lang w:val="en-US"/>
        </w:rPr>
        <w:t>Negatively charged DIBMALPs remain stable at pH 4.0</w:t>
      </w:r>
      <w:r w:rsidRPr="0048749D">
        <w:rPr>
          <w:b/>
          <w:bCs/>
          <w:sz w:val="22"/>
          <w:szCs w:val="22"/>
          <w:lang w:val="en-US"/>
        </w:rPr>
        <w:t>.</w:t>
      </w:r>
    </w:p>
    <w:p w:rsidR="002F56D7" w:rsidRPr="0048749D" w:rsidRDefault="00135310" w:rsidP="002F56D7">
      <w:pPr>
        <w:pStyle w:val="p2"/>
        <w:spacing w:before="0" w:beforeAutospacing="0" w:after="0" w:afterAutospacing="0"/>
        <w:rPr>
          <w:sz w:val="22"/>
          <w:szCs w:val="22"/>
          <w:lang w:val="en-US"/>
        </w:rPr>
      </w:pPr>
      <w:r w:rsidRPr="0048749D">
        <w:rPr>
          <w:sz w:val="22"/>
          <w:szCs w:val="22"/>
          <w:lang w:val="en-US"/>
        </w:rPr>
        <w:t>Transmission electron microscopy (TEM) images of DMPG-based DIBMALPs at pH 4.0 (</w:t>
      </w:r>
      <w:r w:rsidRPr="0048749D">
        <w:rPr>
          <w:b/>
          <w:bCs/>
          <w:sz w:val="22"/>
          <w:szCs w:val="22"/>
          <w:lang w:val="en-US"/>
        </w:rPr>
        <w:t>A</w:t>
      </w:r>
      <w:r w:rsidRPr="0048749D">
        <w:rPr>
          <w:sz w:val="22"/>
          <w:szCs w:val="22"/>
          <w:lang w:val="en-US"/>
        </w:rPr>
        <w:t>) before and (</w:t>
      </w:r>
      <w:r w:rsidRPr="0048749D">
        <w:rPr>
          <w:b/>
          <w:bCs/>
          <w:sz w:val="22"/>
          <w:szCs w:val="22"/>
          <w:lang w:val="en-US"/>
        </w:rPr>
        <w:t>B</w:t>
      </w:r>
      <w:r w:rsidRPr="0048749D">
        <w:rPr>
          <w:sz w:val="22"/>
          <w:szCs w:val="22"/>
          <w:lang w:val="en-US"/>
        </w:rPr>
        <w:t>) after addition of RIPK3(387–518)</w:t>
      </w:r>
      <w:r w:rsidR="002F56D7" w:rsidRPr="0048749D">
        <w:rPr>
          <w:sz w:val="22"/>
          <w:szCs w:val="22"/>
          <w:lang w:val="en-US"/>
        </w:rPr>
        <w:t>.</w:t>
      </w:r>
    </w:p>
    <w:p w:rsidR="00C17F4E" w:rsidRPr="0048749D" w:rsidRDefault="00C17F4E">
      <w:pPr>
        <w:rPr>
          <w:lang w:val="en-US"/>
        </w:rPr>
      </w:pPr>
    </w:p>
    <w:p w:rsidR="00C17F4E" w:rsidRPr="0048749D" w:rsidRDefault="00C17F4E">
      <w:pPr>
        <w:rPr>
          <w:lang w:val="en-US"/>
        </w:rPr>
      </w:pPr>
    </w:p>
    <w:p w:rsidR="00C17F4E" w:rsidRPr="0048749D" w:rsidRDefault="00C17F4E">
      <w:pPr>
        <w:rPr>
          <w:lang w:val="en-US"/>
        </w:rPr>
      </w:pPr>
    </w:p>
    <w:p w:rsidR="00C17F4E" w:rsidRPr="0048749D" w:rsidRDefault="00C17F4E">
      <w:pPr>
        <w:rPr>
          <w:lang w:val="en-US"/>
        </w:rPr>
      </w:pPr>
      <w:r w:rsidRPr="0048749D">
        <w:rPr>
          <w:lang w:val="en-US"/>
        </w:rPr>
        <w:br w:type="page"/>
      </w:r>
    </w:p>
    <w:p w:rsidR="00C17F4E" w:rsidRPr="0048749D" w:rsidRDefault="00C17F4E">
      <w:pPr>
        <w:rPr>
          <w:lang w:val="en-US"/>
        </w:rPr>
      </w:pPr>
      <w:r w:rsidRPr="0048749D">
        <w:rPr>
          <w:noProof/>
          <w:lang w:val="en-US"/>
        </w:rPr>
        <w:lastRenderedPageBreak/>
        <w:drawing>
          <wp:inline distT="0" distB="0" distL="0" distR="0">
            <wp:extent cx="5400040" cy="3037840"/>
            <wp:effectExtent l="0" t="0" r="0" b="0"/>
            <wp:docPr id="10555748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74811" name="Imagen 10555748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6D7" w:rsidRPr="0048749D" w:rsidRDefault="002F56D7" w:rsidP="002F56D7">
      <w:pPr>
        <w:pStyle w:val="p1"/>
        <w:spacing w:before="0" w:beforeAutospacing="0" w:after="0" w:afterAutospacing="0"/>
        <w:rPr>
          <w:sz w:val="22"/>
          <w:szCs w:val="22"/>
          <w:lang w:val="en-US"/>
        </w:rPr>
      </w:pPr>
      <w:r w:rsidRPr="0048749D">
        <w:rPr>
          <w:b/>
          <w:bCs/>
          <w:sz w:val="22"/>
          <w:szCs w:val="22"/>
          <w:lang w:val="en-US"/>
        </w:rPr>
        <w:t xml:space="preserve">Figure </w:t>
      </w:r>
      <w:r w:rsidRPr="0048749D">
        <w:rPr>
          <w:b/>
          <w:bCs/>
          <w:sz w:val="22"/>
          <w:szCs w:val="22"/>
          <w:lang w:val="en-US"/>
        </w:rPr>
        <w:t>S2</w:t>
      </w:r>
      <w:r w:rsidRPr="0048749D">
        <w:rPr>
          <w:b/>
          <w:bCs/>
          <w:sz w:val="22"/>
          <w:szCs w:val="22"/>
          <w:lang w:val="en-US"/>
        </w:rPr>
        <w:t xml:space="preserve">. </w:t>
      </w:r>
      <w:r w:rsidR="00EA327B" w:rsidRPr="0048749D">
        <w:rPr>
          <w:b/>
          <w:bCs/>
          <w:sz w:val="22"/>
          <w:szCs w:val="22"/>
          <w:lang w:val="en-US"/>
        </w:rPr>
        <w:t xml:space="preserve">RIPK3 interacts </w:t>
      </w:r>
      <w:r w:rsidR="00EA327B" w:rsidRPr="0048749D">
        <w:rPr>
          <w:b/>
          <w:bCs/>
          <w:sz w:val="22"/>
          <w:szCs w:val="22"/>
          <w:lang w:val="en-US"/>
        </w:rPr>
        <w:t xml:space="preserve">strongly </w:t>
      </w:r>
      <w:r w:rsidR="00EA327B" w:rsidRPr="0048749D">
        <w:rPr>
          <w:b/>
          <w:bCs/>
          <w:sz w:val="22"/>
          <w:szCs w:val="22"/>
          <w:lang w:val="en-US"/>
        </w:rPr>
        <w:t>with negatively charged, but not</w:t>
      </w:r>
      <w:r w:rsidR="00EA327B" w:rsidRPr="0048749D">
        <w:rPr>
          <w:b/>
          <w:bCs/>
          <w:sz w:val="22"/>
          <w:szCs w:val="22"/>
          <w:lang w:val="en-US"/>
        </w:rPr>
        <w:t xml:space="preserve"> so with</w:t>
      </w:r>
      <w:r w:rsidR="00EA327B" w:rsidRPr="0048749D">
        <w:rPr>
          <w:b/>
          <w:bCs/>
          <w:sz w:val="22"/>
          <w:szCs w:val="22"/>
          <w:lang w:val="en-US"/>
        </w:rPr>
        <w:t xml:space="preserve"> neutral, </w:t>
      </w:r>
      <w:r w:rsidR="00E1263E" w:rsidRPr="0048749D">
        <w:rPr>
          <w:b/>
          <w:bCs/>
          <w:sz w:val="22"/>
          <w:szCs w:val="22"/>
          <w:lang w:val="en-US"/>
        </w:rPr>
        <w:t>DIBMALPs</w:t>
      </w:r>
      <w:r w:rsidR="00EA327B" w:rsidRPr="0048749D">
        <w:rPr>
          <w:b/>
          <w:bCs/>
          <w:sz w:val="22"/>
          <w:szCs w:val="22"/>
          <w:lang w:val="en-US"/>
        </w:rPr>
        <w:t xml:space="preserve"> at pH 6.5</w:t>
      </w:r>
      <w:r w:rsidRPr="0048749D">
        <w:rPr>
          <w:b/>
          <w:bCs/>
          <w:sz w:val="22"/>
          <w:szCs w:val="22"/>
          <w:lang w:val="en-US"/>
        </w:rPr>
        <w:t>.</w:t>
      </w:r>
    </w:p>
    <w:p w:rsidR="002F56D7" w:rsidRPr="0048749D" w:rsidRDefault="00261F60" w:rsidP="002F56D7">
      <w:pPr>
        <w:pStyle w:val="p2"/>
        <w:spacing w:before="0" w:beforeAutospacing="0" w:after="0" w:afterAutospacing="0"/>
        <w:rPr>
          <w:sz w:val="22"/>
          <w:szCs w:val="22"/>
          <w:lang w:val="en-US"/>
        </w:rPr>
      </w:pPr>
      <w:r w:rsidRPr="0048749D">
        <w:rPr>
          <w:sz w:val="22"/>
          <w:szCs w:val="22"/>
          <w:vertAlign w:val="superscript"/>
          <w:lang w:val="en-US"/>
        </w:rPr>
        <w:t>1</w:t>
      </w:r>
      <w:r w:rsidRPr="0048749D">
        <w:rPr>
          <w:sz w:val="22"/>
          <w:szCs w:val="22"/>
          <w:lang w:val="en-US"/>
        </w:rPr>
        <w:t>H–</w:t>
      </w:r>
      <w:r w:rsidRPr="0048749D">
        <w:rPr>
          <w:sz w:val="22"/>
          <w:szCs w:val="22"/>
          <w:vertAlign w:val="superscript"/>
          <w:lang w:val="en-US"/>
        </w:rPr>
        <w:t>15</w:t>
      </w:r>
      <w:r w:rsidRPr="0048749D">
        <w:rPr>
          <w:sz w:val="22"/>
          <w:szCs w:val="22"/>
          <w:lang w:val="en-US"/>
        </w:rPr>
        <w:t xml:space="preserve">N HSQC spectra of RIPK3(387–518) </w:t>
      </w:r>
      <w:r w:rsidR="009B2D02" w:rsidRPr="0048749D">
        <w:rPr>
          <w:sz w:val="22"/>
          <w:szCs w:val="22"/>
          <w:lang w:val="en-US"/>
        </w:rPr>
        <w:t>in the</w:t>
      </w:r>
      <w:r w:rsidRPr="0048749D">
        <w:rPr>
          <w:sz w:val="22"/>
          <w:szCs w:val="22"/>
          <w:lang w:val="en-US"/>
        </w:rPr>
        <w:t xml:space="preserve"> presence of </w:t>
      </w:r>
      <w:r w:rsidRPr="0048749D">
        <w:rPr>
          <w:b/>
          <w:bCs/>
          <w:sz w:val="22"/>
          <w:szCs w:val="22"/>
          <w:lang w:val="en-US"/>
        </w:rPr>
        <w:t>(A)</w:t>
      </w:r>
      <w:r w:rsidRPr="0048749D">
        <w:rPr>
          <w:sz w:val="22"/>
          <w:szCs w:val="22"/>
          <w:lang w:val="en-US"/>
        </w:rPr>
        <w:t xml:space="preserve"> negatively charged DMPG DIBMALPs (</w:t>
      </w:r>
      <w:r w:rsidR="009B2D02" w:rsidRPr="0048749D">
        <w:rPr>
          <w:sz w:val="22"/>
          <w:szCs w:val="22"/>
          <w:lang w:val="en-US"/>
        </w:rPr>
        <w:t>violet</w:t>
      </w:r>
      <w:r w:rsidRPr="0048749D">
        <w:rPr>
          <w:sz w:val="22"/>
          <w:szCs w:val="22"/>
          <w:lang w:val="en-US"/>
        </w:rPr>
        <w:t xml:space="preserve">) or </w:t>
      </w:r>
      <w:r w:rsidRPr="0048749D">
        <w:rPr>
          <w:b/>
          <w:bCs/>
          <w:sz w:val="22"/>
          <w:szCs w:val="22"/>
          <w:lang w:val="en-US"/>
        </w:rPr>
        <w:t>(B)</w:t>
      </w:r>
      <w:r w:rsidRPr="0048749D">
        <w:rPr>
          <w:sz w:val="22"/>
          <w:szCs w:val="22"/>
          <w:lang w:val="en-US"/>
        </w:rPr>
        <w:t xml:space="preserve"> neutral DMPC DIBMALPs (</w:t>
      </w:r>
      <w:r w:rsidR="009B2D02" w:rsidRPr="0048749D">
        <w:rPr>
          <w:sz w:val="22"/>
          <w:szCs w:val="22"/>
          <w:lang w:val="en-US"/>
        </w:rPr>
        <w:t xml:space="preserve">dark </w:t>
      </w:r>
      <w:r w:rsidRPr="0048749D">
        <w:rPr>
          <w:sz w:val="22"/>
          <w:szCs w:val="22"/>
          <w:lang w:val="en-US"/>
        </w:rPr>
        <w:t xml:space="preserve">blue) at pH 6.5. </w:t>
      </w:r>
      <w:r w:rsidR="009B2D02" w:rsidRPr="0048749D">
        <w:rPr>
          <w:sz w:val="22"/>
          <w:szCs w:val="22"/>
          <w:lang w:val="en-US"/>
        </w:rPr>
        <w:t>Related to Figure 2</w:t>
      </w:r>
      <w:r w:rsidR="002934A2" w:rsidRPr="0048749D">
        <w:rPr>
          <w:sz w:val="22"/>
          <w:szCs w:val="22"/>
          <w:lang w:val="en-US"/>
        </w:rPr>
        <w:t xml:space="preserve"> in the main text</w:t>
      </w:r>
      <w:r w:rsidR="002F56D7" w:rsidRPr="0048749D">
        <w:rPr>
          <w:sz w:val="22"/>
          <w:szCs w:val="22"/>
          <w:lang w:val="en-US"/>
        </w:rPr>
        <w:t>.</w:t>
      </w:r>
    </w:p>
    <w:p w:rsidR="00C17F4E" w:rsidRPr="0048749D" w:rsidRDefault="00C17F4E">
      <w:pPr>
        <w:rPr>
          <w:lang w:val="en-US"/>
        </w:rPr>
      </w:pPr>
    </w:p>
    <w:sectPr w:rsidR="00C17F4E" w:rsidRPr="004874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298"/>
    <w:rsid w:val="00135310"/>
    <w:rsid w:val="00261F60"/>
    <w:rsid w:val="002934A2"/>
    <w:rsid w:val="002F56D7"/>
    <w:rsid w:val="0048749D"/>
    <w:rsid w:val="005019E9"/>
    <w:rsid w:val="00691040"/>
    <w:rsid w:val="00827298"/>
    <w:rsid w:val="00876ECB"/>
    <w:rsid w:val="008E44EE"/>
    <w:rsid w:val="009B2D02"/>
    <w:rsid w:val="00C17F4E"/>
    <w:rsid w:val="00D96B15"/>
    <w:rsid w:val="00E1263E"/>
    <w:rsid w:val="00EA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3EC527"/>
  <w15:chartTrackingRefBased/>
  <w15:docId w15:val="{98FF9368-DB07-2B4A-A504-9DB6E33A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29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27298"/>
    <w:rPr>
      <w:color w:val="0563C1" w:themeColor="hyperlink"/>
      <w:u w:val="single"/>
    </w:rPr>
  </w:style>
  <w:style w:type="paragraph" w:customStyle="1" w:styleId="p1">
    <w:name w:val="p1"/>
    <w:basedOn w:val="Normal"/>
    <w:rsid w:val="002F56D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customStyle="1" w:styleId="p2">
    <w:name w:val="p2"/>
    <w:basedOn w:val="Normal"/>
    <w:rsid w:val="002F56D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character" w:customStyle="1" w:styleId="s1">
    <w:name w:val="s1"/>
    <w:basedOn w:val="Fuentedeprrafopredeter"/>
    <w:rsid w:val="002F5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gtitaux@iqf.csic.es" TargetMode="External"/><Relationship Id="rId4" Type="http://schemas.openxmlformats.org/officeDocument/2006/relationships/hyperlink" Target="mailto:mmompean@iqf.csic.e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1435</Words>
  <Characters>7897</Characters>
  <Application>Microsoft Office Word</Application>
  <DocSecurity>0</DocSecurity>
  <Lines>65</Lines>
  <Paragraphs>18</Paragraphs>
  <ScaleCrop>false</ScaleCrop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mmompean@iqfr.csic.es</dc:creator>
  <cp:keywords/>
  <dc:description/>
  <cp:lastModifiedBy>mmompean@iqfr.csic.es</cp:lastModifiedBy>
  <cp:revision>14</cp:revision>
  <dcterms:created xsi:type="dcterms:W3CDTF">2025-03-27T20:20:00Z</dcterms:created>
  <dcterms:modified xsi:type="dcterms:W3CDTF">2025-03-28T13:30:00Z</dcterms:modified>
</cp:coreProperties>
</file>