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b/>
          <w:sz w:val="22"/>
        </w:rPr>
      </w:pPr>
      <w:bookmarkStart w:id="0" w:name="OLE_LINK1"/>
      <w:r>
        <w:rPr>
          <w:rFonts w:ascii="Times New Roman" w:hAnsi="Times New Roman" w:cs="Times New Roman"/>
          <w:b/>
          <w:sz w:val="22"/>
        </w:rPr>
        <w:t xml:space="preserve">Endobronchial therapy with gentamicin and </w:t>
      </w:r>
      <w:r>
        <w:rPr>
          <w:rFonts w:ascii="Times New Roman" w:hAnsi="Times New Roman" w:cs="Times New Roman"/>
          <w:b/>
          <w:color w:val="333333"/>
          <w:sz w:val="22"/>
        </w:rPr>
        <w:t>dexam</w:t>
      </w:r>
      <w:bookmarkStart w:id="14" w:name="_GoBack"/>
      <w:bookmarkEnd w:id="14"/>
      <w:r>
        <w:rPr>
          <w:rFonts w:ascii="Times New Roman" w:hAnsi="Times New Roman" w:cs="Times New Roman"/>
          <w:b/>
          <w:color w:val="333333"/>
          <w:sz w:val="22"/>
        </w:rPr>
        <w:t xml:space="preserve">ethasone after </w:t>
      </w:r>
      <w:r>
        <w:rPr>
          <w:rFonts w:ascii="Times New Roman" w:hAnsi="Times New Roman" w:cs="Times New Roman"/>
          <w:b/>
          <w:sz w:val="22"/>
        </w:rPr>
        <w:t xml:space="preserve">airway clearance by bronchoscope in acute exacerbation of non-cystic fibrosis bronchiectasis: A real-world observational study </w:t>
      </w:r>
    </w:p>
    <w:p>
      <w:pPr>
        <w:rPr>
          <w:rFonts w:ascii="Times New Roman" w:hAnsi="Times New Roman" w:cs="Times New Roman"/>
          <w:b/>
          <w:sz w:val="24"/>
          <w:szCs w:val="24"/>
        </w:rPr>
      </w:pPr>
    </w:p>
    <w:bookmarkEnd w:id="0"/>
    <w:p>
      <w:pPr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b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 xml:space="preserve">Supplementary </w:t>
      </w:r>
      <w:r>
        <w:rPr>
          <w:rFonts w:hint="eastAsia" w:ascii="Times New Roman" w:hAnsi="Times New Roman" w:cs="Times New Roman"/>
          <w:b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t xml:space="preserve">Table </w:t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1</w:t>
      </w:r>
      <w:r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 xml:space="preserve"> Clinical symptom score scale in non-CF bronchiectasis [ref.1</w:t>
      </w:r>
      <w:r>
        <w:rPr>
          <w:rFonts w:hint="eastAsia" w:ascii="Times New Roman" w:hAnsi="Times New Roman" w:cs="Times New Roman"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Times New Roman" w:hAnsi="Times New Roman" w:cs="Times New Roman"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 xml:space="preserve">, and </w:t>
      </w:r>
      <w:r>
        <w:rPr>
          <w:rFonts w:ascii="Times New Roman" w:hAnsi="Times New Roman" w:cs="Times New Roman"/>
          <w:sz w:val="20"/>
          <w:szCs w:val="20"/>
        </w:rPr>
        <w:t>1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6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in the manuscript]</w:t>
      </w:r>
    </w:p>
    <w:tbl>
      <w:tblPr>
        <w:tblStyle w:val="12"/>
        <w:tblW w:w="907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1806"/>
        <w:gridCol w:w="1924"/>
        <w:gridCol w:w="1924"/>
        <w:gridCol w:w="228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135" w:type="dxa"/>
            <w:vMerge w:val="restart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Symptom</w:t>
            </w:r>
          </w:p>
        </w:tc>
        <w:tc>
          <w:tcPr>
            <w:tcW w:w="793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Scores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135" w:type="dxa"/>
            <w:vMerge w:val="continue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0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92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92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28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bookmarkStart w:id="1" w:name="OLE_LINK26"/>
            <w:bookmarkStart w:id="2" w:name="OLE_LINK25"/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Cough</w:t>
            </w:r>
            <w:bookmarkEnd w:id="1"/>
            <w:bookmarkEnd w:id="2"/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Absent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Occasional short cough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bookmarkStart w:id="3" w:name="OLE_LINK3"/>
            <w:bookmarkStart w:id="4" w:name="OLE_LINK2"/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Frequent cough, mild impact on daily activities</w:t>
            </w:r>
            <w:bookmarkEnd w:id="3"/>
            <w:bookmarkEnd w:id="4"/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Frequent cough, serious impact on daily activities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Expectoration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Foamed sputum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Mucous sputum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Mucopurulent sputum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Purulent sputum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bookmarkStart w:id="5" w:name="OLE_LINK7"/>
            <w:bookmarkStart w:id="6" w:name="OLE_LINK6"/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Expectoration volume</w:t>
            </w:r>
            <w:bookmarkEnd w:id="5"/>
            <w:bookmarkEnd w:id="6"/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&lt;10ml one day and night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10-50ml one day and night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51-100ml one day and night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&gt;100ml one day and night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bookmarkStart w:id="7" w:name="OLE_LINK27"/>
            <w:bookmarkStart w:id="8" w:name="OLE_LINK28"/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Dyspnea</w:t>
            </w:r>
            <w:bookmarkEnd w:id="7"/>
            <w:bookmarkEnd w:id="8"/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Absent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231F20"/>
                <w:kern w:val="0"/>
                <w:sz w:val="20"/>
                <w:szCs w:val="20"/>
              </w:rPr>
              <w:t>Shortness of breath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and chest tightness after activity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Obvious chest tightness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</w:rPr>
              <w:t>，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mild impact on daily activities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Chest tightness and shortness of breath during rest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Hemoptysis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Absent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Occasional bloody sputum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Sometimes bloody sputum or hemoptysis, &lt; 10 times a day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Continuous bloody sputum or hemoptysis, &gt; 10 times a day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Chest pain</w:t>
            </w:r>
          </w:p>
        </w:tc>
        <w:tc>
          <w:tcPr>
            <w:tcW w:w="180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Absent</w:t>
            </w:r>
          </w:p>
        </w:tc>
        <w:tc>
          <w:tcPr>
            <w:tcW w:w="192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Occasional chest pain</w:t>
            </w:r>
          </w:p>
        </w:tc>
        <w:tc>
          <w:tcPr>
            <w:tcW w:w="192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Frequent and obvious chest pain, mild impact on work</w:t>
            </w:r>
          </w:p>
        </w:tc>
        <w:tc>
          <w:tcPr>
            <w:tcW w:w="228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Repeated chest pain, affecting breathing, cough intolerable</w:t>
            </w:r>
          </w:p>
        </w:tc>
      </w:tr>
    </w:tbl>
    <w:p>
      <w:pPr>
        <w:ind w:firstLine="0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Total</w:t>
      </w:r>
      <w:r>
        <w:rPr>
          <w:rFonts w:hint="eastAsia" w:ascii="Times New Roman" w:hAnsi="Times New Roman" w:cs="Times New Roman"/>
          <w:sz w:val="20"/>
          <w:szCs w:val="20"/>
        </w:rPr>
        <w:t xml:space="preserve"> c</w:t>
      </w:r>
      <w:r>
        <w:rPr>
          <w:rFonts w:ascii="Times New Roman" w:hAnsi="Times New Roman" w:cs="Times New Roman"/>
          <w:sz w:val="20"/>
          <w:szCs w:val="20"/>
        </w:rPr>
        <w:t>ough score is the sum of cough, expectoration and e</w:t>
      </w: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xpectoration volume</w:t>
      </w:r>
      <w:r>
        <w:rPr>
          <w:rFonts w:ascii="Times New Roman" w:hAnsi="Times New Roman" w:cs="Times New Roman"/>
          <w:sz w:val="20"/>
          <w:szCs w:val="20"/>
        </w:rPr>
        <w:t>.</w:t>
      </w:r>
      <w:bookmarkStart w:id="9" w:name="OLE_LINK30"/>
      <w:bookmarkStart w:id="10" w:name="OLE_LINK29"/>
      <w:r>
        <w:rPr>
          <w:rFonts w:ascii="Times New Roman" w:hAnsi="Times New Roman" w:cs="Times New Roman"/>
          <w:sz w:val="20"/>
          <w:szCs w:val="20"/>
        </w:rPr>
        <w:t xml:space="preserve"> Total</w:t>
      </w:r>
      <w:r>
        <w:rPr>
          <w:rFonts w:hint="eastAsia" w:ascii="Times New Roman" w:hAnsi="Times New Roman" w:cs="Times New Roman"/>
          <w:sz w:val="20"/>
          <w:szCs w:val="20"/>
        </w:rPr>
        <w:t xml:space="preserve"> s</w:t>
      </w:r>
      <w:r>
        <w:rPr>
          <w:rFonts w:ascii="Times New Roman" w:hAnsi="Times New Roman" w:cs="Times New Roman"/>
          <w:sz w:val="20"/>
          <w:szCs w:val="20"/>
        </w:rPr>
        <w:t>ymptom score</w:t>
      </w:r>
      <w:bookmarkEnd w:id="9"/>
      <w:bookmarkEnd w:id="10"/>
      <w:r>
        <w:rPr>
          <w:rFonts w:ascii="Times New Roman" w:hAnsi="Times New Roman" w:cs="Times New Roman"/>
          <w:sz w:val="20"/>
          <w:szCs w:val="20"/>
        </w:rPr>
        <w:t xml:space="preserve"> is the sum of all the six symptom scores.</w:t>
      </w:r>
    </w:p>
    <w:p>
      <w:pPr>
        <w:jc w:val="left"/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</w:pPr>
      <w:bookmarkStart w:id="11" w:name="_Hlk7729982"/>
    </w:p>
    <w:p>
      <w:pPr>
        <w:jc w:val="left"/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b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Supplementary</w:t>
      </w:r>
      <w:r>
        <w:rPr>
          <w:rFonts w:hint="eastAsia" w:ascii="Times New Roman" w:hAnsi="Times New Roman" w:cs="Times New Roman"/>
          <w:b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t xml:space="preserve"> Table </w:t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2</w:t>
      </w:r>
      <w:r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 xml:space="preserve"> Bhalla </w:t>
      </w:r>
      <w:r>
        <w:rPr>
          <w:rFonts w:ascii="Times New Roman" w:hAnsi="Times New Roman" w:cs="Times New Roman"/>
          <w:color w:val="000000"/>
          <w:sz w:val="20"/>
          <w:szCs w:val="20"/>
        </w:rPr>
        <w:t>scoring system</w:t>
      </w:r>
      <w:r>
        <w:rPr>
          <w:rFonts w:hint="eastAsia"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[ref.1</w:t>
      </w:r>
      <w:r>
        <w:rPr>
          <w:rFonts w:hint="eastAsia" w:ascii="Times New Roman" w:hAnsi="Times New Roman" w:cs="Times New Roman"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, 1</w:t>
      </w:r>
      <w:r>
        <w:rPr>
          <w:rFonts w:hint="eastAsia" w:ascii="Times New Roman" w:hAnsi="Times New Roman" w:cs="Times New Roman"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 xml:space="preserve"> in the manuscript]</w:t>
      </w:r>
    </w:p>
    <w:bookmarkEnd w:id="11"/>
    <w:tbl>
      <w:tblPr>
        <w:tblStyle w:val="13"/>
        <w:tblW w:w="8824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0"/>
        <w:gridCol w:w="783"/>
        <w:gridCol w:w="1929"/>
        <w:gridCol w:w="1969"/>
        <w:gridCol w:w="1883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4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Category</w:t>
            </w:r>
          </w:p>
        </w:tc>
        <w:tc>
          <w:tcPr>
            <w:tcW w:w="6600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Scores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4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94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98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90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Severity of bronchiectasis</w:t>
            </w:r>
          </w:p>
        </w:tc>
        <w:tc>
          <w:tcPr>
            <w:tcW w:w="776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Absent</w:t>
            </w:r>
          </w:p>
        </w:tc>
        <w:tc>
          <w:tcPr>
            <w:tcW w:w="1943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Mild (luminal diameter slightly greater than the diameter of an adjacent blood vessel)</w:t>
            </w:r>
          </w:p>
        </w:tc>
        <w:tc>
          <w:tcPr>
            <w:tcW w:w="1980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Moderate (lumen 2–3 times the diameter of the vessel)</w:t>
            </w:r>
          </w:p>
        </w:tc>
        <w:tc>
          <w:tcPr>
            <w:tcW w:w="1901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Severe (lumen &gt;3 times diameter of vessel)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Peribronchial thickening</w:t>
            </w:r>
          </w:p>
        </w:tc>
        <w:tc>
          <w:tcPr>
            <w:tcW w:w="77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Absent</w:t>
            </w:r>
          </w:p>
        </w:tc>
        <w:tc>
          <w:tcPr>
            <w:tcW w:w="194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Mild (wall thickness equal to the diameter of an adjacent blood vessel)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Moderate (wall thickness greater than and up to twice the diameter of adjacent vessel)</w:t>
            </w:r>
          </w:p>
        </w:tc>
        <w:tc>
          <w:tcPr>
            <w:tcW w:w="190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Severe (wall thickness &gt; 2 times the diameter of adjacent vessel)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The extent of bronchiectasis (no. of BP segments)</w:t>
            </w:r>
          </w:p>
        </w:tc>
        <w:tc>
          <w:tcPr>
            <w:tcW w:w="77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Absent</w:t>
            </w:r>
          </w:p>
        </w:tc>
        <w:tc>
          <w:tcPr>
            <w:tcW w:w="194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1-5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6-9</w:t>
            </w:r>
          </w:p>
        </w:tc>
        <w:tc>
          <w:tcPr>
            <w:tcW w:w="190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＞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The extent of mucous plugging (no. of BP segments)</w:t>
            </w:r>
          </w:p>
        </w:tc>
        <w:tc>
          <w:tcPr>
            <w:tcW w:w="77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Absent</w:t>
            </w:r>
          </w:p>
        </w:tc>
        <w:tc>
          <w:tcPr>
            <w:tcW w:w="194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1-5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6-9</w:t>
            </w:r>
          </w:p>
        </w:tc>
        <w:tc>
          <w:tcPr>
            <w:tcW w:w="190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＞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Sacculations or abscesses (no. of BP segments)</w:t>
            </w:r>
          </w:p>
        </w:tc>
        <w:tc>
          <w:tcPr>
            <w:tcW w:w="77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Absent</w:t>
            </w:r>
          </w:p>
        </w:tc>
        <w:tc>
          <w:tcPr>
            <w:tcW w:w="194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1-5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6-9</w:t>
            </w:r>
          </w:p>
        </w:tc>
        <w:tc>
          <w:tcPr>
            <w:tcW w:w="190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＞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Generations of bronchial divisions involved (bronchiectasis/plugging)</w:t>
            </w:r>
          </w:p>
        </w:tc>
        <w:tc>
          <w:tcPr>
            <w:tcW w:w="77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Absent</w:t>
            </w:r>
          </w:p>
        </w:tc>
        <w:tc>
          <w:tcPr>
            <w:tcW w:w="194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Up to 4th generation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Up to 5th generation</w:t>
            </w:r>
          </w:p>
        </w:tc>
        <w:tc>
          <w:tcPr>
            <w:tcW w:w="190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Up to 6th generation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 w:type="textWrapping"/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and distal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No. of bullae</w:t>
            </w:r>
          </w:p>
        </w:tc>
        <w:tc>
          <w:tcPr>
            <w:tcW w:w="77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Absent</w:t>
            </w:r>
          </w:p>
        </w:tc>
        <w:tc>
          <w:tcPr>
            <w:tcW w:w="194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Unilateral (not &gt;4)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Bilateral (not &gt;4)</w:t>
            </w:r>
          </w:p>
        </w:tc>
        <w:tc>
          <w:tcPr>
            <w:tcW w:w="190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＞4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Emphysema (no. of BP segments)</w:t>
            </w:r>
          </w:p>
        </w:tc>
        <w:tc>
          <w:tcPr>
            <w:tcW w:w="77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Absent</w:t>
            </w:r>
          </w:p>
        </w:tc>
        <w:tc>
          <w:tcPr>
            <w:tcW w:w="194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1-5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＞5</w:t>
            </w:r>
          </w:p>
        </w:tc>
        <w:tc>
          <w:tcPr>
            <w:tcW w:w="190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Collapse/consolidation</w:t>
            </w:r>
          </w:p>
        </w:tc>
        <w:tc>
          <w:tcPr>
            <w:tcW w:w="77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Absent</w:t>
            </w:r>
          </w:p>
        </w:tc>
        <w:tc>
          <w:tcPr>
            <w:tcW w:w="1943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Subsegmental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Segmental/lobar</w:t>
            </w:r>
          </w:p>
        </w:tc>
        <w:tc>
          <w:tcPr>
            <w:tcW w:w="190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</w:tr>
    </w:tbl>
    <w:p>
      <w:pPr>
        <w:jc w:val="left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BP: bronchopulmonary. The Bhalla score is 25 minus the above nine scores. The higher the score of Bhalla, the lighter the degree.</w:t>
      </w:r>
    </w:p>
    <w:p>
      <w:pPr>
        <w:jc w:val="left"/>
        <w:rPr>
          <w:rFonts w:ascii="Times New Roman" w:hAnsi="Times New Roman" w:cs="Times New Roman"/>
          <w:color w:val="231F20"/>
          <w:sz w:val="20"/>
          <w:szCs w:val="20"/>
        </w:rPr>
      </w:pPr>
    </w:p>
    <w:p>
      <w:pPr>
        <w:jc w:val="left"/>
        <w:rPr>
          <w:rFonts w:ascii="Times New Roman" w:hAnsi="Times New Roman" w:cs="Times New Roman"/>
          <w:color w:val="231F20"/>
          <w:sz w:val="20"/>
          <w:szCs w:val="20"/>
        </w:rPr>
      </w:pPr>
    </w:p>
    <w:p>
      <w:pPr>
        <w:jc w:val="left"/>
        <w:rPr>
          <w:rFonts w:ascii="Times New Roman" w:hAnsi="Times New Roman" w:cs="Times New Roman"/>
          <w:color w:val="231F20"/>
          <w:sz w:val="20"/>
          <w:szCs w:val="20"/>
        </w:rPr>
      </w:pPr>
    </w:p>
    <w:p>
      <w:pPr>
        <w:jc w:val="left"/>
        <w:rPr>
          <w:rFonts w:ascii="Times New Roman" w:hAnsi="Times New Roman" w:cs="Times New Roman"/>
          <w:color w:val="231F20"/>
          <w:sz w:val="20"/>
          <w:szCs w:val="20"/>
        </w:rPr>
      </w:pPr>
    </w:p>
    <w:p>
      <w:pPr>
        <w:jc w:val="left"/>
        <w:rPr>
          <w:rFonts w:ascii="Times New Roman" w:hAnsi="Times New Roman" w:cs="Times New Roman"/>
          <w:color w:val="231F20"/>
          <w:sz w:val="20"/>
          <w:szCs w:val="20"/>
        </w:rPr>
      </w:pPr>
    </w:p>
    <w:p>
      <w:pPr>
        <w:jc w:val="left"/>
        <w:rPr>
          <w:rFonts w:ascii="Times New Roman" w:hAnsi="Times New Roman" w:cs="Times New Roman"/>
          <w:color w:val="231F20"/>
          <w:sz w:val="20"/>
          <w:szCs w:val="20"/>
        </w:rPr>
      </w:pPr>
    </w:p>
    <w:p>
      <w:pPr>
        <w:jc w:val="left"/>
        <w:rPr>
          <w:rFonts w:ascii="Times New Roman" w:hAnsi="Times New Roman" w:cs="Times New Roman"/>
          <w:color w:val="231F20"/>
          <w:sz w:val="20"/>
          <w:szCs w:val="20"/>
        </w:rPr>
      </w:pPr>
    </w:p>
    <w:p>
      <w:pPr>
        <w:jc w:val="left"/>
        <w:rPr>
          <w:rFonts w:ascii="Times New Roman" w:hAnsi="Times New Roman" w:cs="Times New Roman"/>
          <w:color w:val="231F20"/>
          <w:sz w:val="20"/>
          <w:szCs w:val="20"/>
        </w:rPr>
      </w:pPr>
    </w:p>
    <w:p>
      <w:pPr>
        <w:jc w:val="left"/>
        <w:rPr>
          <w:rFonts w:ascii="Times New Roman" w:hAnsi="Times New Roman" w:cs="Times New Roman"/>
          <w:color w:val="231F20"/>
          <w:sz w:val="20"/>
          <w:szCs w:val="20"/>
        </w:rPr>
      </w:pPr>
    </w:p>
    <w:p>
      <w:pPr>
        <w:jc w:val="left"/>
        <w:rPr>
          <w:rFonts w:ascii="Times New Roman" w:hAnsi="Times New Roman" w:cs="Times New Roman"/>
          <w:color w:val="231F20"/>
          <w:sz w:val="20"/>
          <w:szCs w:val="20"/>
        </w:rPr>
      </w:pPr>
    </w:p>
    <w:p>
      <w:pPr>
        <w:jc w:val="left"/>
        <w:rPr>
          <w:rFonts w:ascii="Times New Roman" w:hAnsi="Times New Roman" w:cs="Times New Roman"/>
          <w:color w:val="231F20"/>
          <w:sz w:val="20"/>
          <w:szCs w:val="20"/>
        </w:rPr>
      </w:pPr>
    </w:p>
    <w:p>
      <w:pPr>
        <w:jc w:val="left"/>
        <w:rPr>
          <w:rFonts w:ascii="Times New Roman" w:hAnsi="Times New Roman" w:cs="Times New Roman"/>
          <w:color w:val="231F20"/>
          <w:sz w:val="20"/>
          <w:szCs w:val="20"/>
        </w:rPr>
      </w:pPr>
    </w:p>
    <w:p>
      <w:pPr>
        <w:jc w:val="left"/>
        <w:rPr>
          <w:rFonts w:ascii="Times New Roman" w:hAnsi="Times New Roman" w:cs="Times New Roman"/>
          <w:sz w:val="20"/>
          <w:szCs w:val="20"/>
        </w:rPr>
      </w:pPr>
      <w:bookmarkStart w:id="12" w:name="OLE_LINK9"/>
      <w:bookmarkStart w:id="13" w:name="OLE_LINK8"/>
      <w:r>
        <w:rPr>
          <w:rFonts w:hint="eastAsia" w:ascii="Times New Roman" w:hAnsi="Times New Roman" w:cs="Times New Roman"/>
          <w:b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Supplementary</w:t>
      </w:r>
      <w:bookmarkEnd w:id="12"/>
      <w:bookmarkEnd w:id="13"/>
      <w:r>
        <w:rPr>
          <w:rFonts w:hint="eastAsia" w:ascii="Times New Roman" w:hAnsi="Times New Roman" w:cs="Times New Roman"/>
          <w:b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t xml:space="preserve"> Table </w:t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 xml:space="preserve">3 </w:t>
      </w:r>
      <w:r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The past medical history and comorbidity of patients</w:t>
      </w:r>
    </w:p>
    <w:tbl>
      <w:tblPr>
        <w:tblStyle w:val="12"/>
        <w:tblW w:w="824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2168"/>
        <w:gridCol w:w="2567"/>
        <w:gridCol w:w="133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182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Drug group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(n=181)</w:t>
            </w:r>
          </w:p>
        </w:tc>
        <w:tc>
          <w:tcPr>
            <w:tcW w:w="2567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Control group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n=186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1330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i/>
                <w:kern w:val="0"/>
                <w:sz w:val="20"/>
                <w:szCs w:val="20"/>
                <w:highlight w:val="lightGray"/>
              </w:rPr>
              <w:t>P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-value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Past history</w:t>
            </w:r>
          </w:p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0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Tuberculosis</w:t>
            </w:r>
          </w:p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15(8.29%)</w:t>
            </w:r>
          </w:p>
        </w:tc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23(12.37%)</w:t>
            </w:r>
          </w:p>
        </w:tc>
        <w:tc>
          <w:tcPr>
            <w:tcW w:w="1330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0.200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Other infectious diseases</w:t>
            </w:r>
          </w:p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7(3.87%)</w:t>
            </w:r>
          </w:p>
        </w:tc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5(2.69%)</w:t>
            </w:r>
          </w:p>
        </w:tc>
        <w:tc>
          <w:tcPr>
            <w:tcW w:w="1330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0.525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History of exposure to poisons or dust</w:t>
            </w:r>
          </w:p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7(3.87%)</w:t>
            </w:r>
          </w:p>
        </w:tc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2(1.08%)</w:t>
            </w:r>
          </w:p>
        </w:tc>
        <w:tc>
          <w:tcPr>
            <w:tcW w:w="1330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0.164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Comorbidity</w:t>
            </w:r>
          </w:p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0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COPD</w:t>
            </w:r>
          </w:p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29(16.02%)</w:t>
            </w:r>
          </w:p>
        </w:tc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42(22.58%)</w:t>
            </w:r>
          </w:p>
        </w:tc>
        <w:tc>
          <w:tcPr>
            <w:tcW w:w="1330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0.112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Asthma</w:t>
            </w:r>
          </w:p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10(5.52%)</w:t>
            </w:r>
          </w:p>
        </w:tc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15(8.06%)</w:t>
            </w:r>
          </w:p>
        </w:tc>
        <w:tc>
          <w:tcPr>
            <w:tcW w:w="1330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0.334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Rhinitis and nasosinusitis</w:t>
            </w:r>
          </w:p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20(11.05%)</w:t>
            </w:r>
          </w:p>
        </w:tc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14(7.53%)</w:t>
            </w:r>
          </w:p>
        </w:tc>
        <w:tc>
          <w:tcPr>
            <w:tcW w:w="1330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0.245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Connective tissue disease</w:t>
            </w:r>
          </w:p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6(3.31%)</w:t>
            </w:r>
          </w:p>
        </w:tc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5(2.69%)</w:t>
            </w:r>
          </w:p>
        </w:tc>
        <w:tc>
          <w:tcPr>
            <w:tcW w:w="1330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0.725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Inherited disease</w:t>
            </w:r>
          </w:p>
          <w:p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highlight w:val="yellow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highlight w:val="yello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1(0.55%)</w:t>
            </w:r>
          </w:p>
        </w:tc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highlight w:val="yello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2(1.08%)</w:t>
            </w:r>
          </w:p>
        </w:tc>
        <w:tc>
          <w:tcPr>
            <w:tcW w:w="1330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highlight w:val="yello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Respiratory failure</w:t>
            </w:r>
          </w:p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8(4.42%)</w:t>
            </w:r>
          </w:p>
        </w:tc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6(3.23%)</w:t>
            </w:r>
          </w:p>
        </w:tc>
        <w:tc>
          <w:tcPr>
            <w:tcW w:w="1330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0.550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Hypertension</w:t>
            </w:r>
          </w:p>
          <w:p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highlight w:val="yellow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highlight w:val="yello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26(14.36%)</w:t>
            </w:r>
          </w:p>
        </w:tc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:highlight w:val="yello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27(14.52%)</w:t>
            </w:r>
          </w:p>
        </w:tc>
        <w:tc>
          <w:tcPr>
            <w:tcW w:w="1330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0.967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Diabetes</w:t>
            </w:r>
          </w:p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11(6.08%)</w:t>
            </w:r>
          </w:p>
        </w:tc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14(7.53%)</w:t>
            </w:r>
          </w:p>
        </w:tc>
        <w:tc>
          <w:tcPr>
            <w:tcW w:w="1330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0.582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18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Coronary heart diseases</w:t>
            </w:r>
          </w:p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3(1.66%)</w:t>
            </w:r>
          </w:p>
        </w:tc>
        <w:tc>
          <w:tcPr>
            <w:tcW w:w="2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1(0.54%)</w:t>
            </w:r>
          </w:p>
        </w:tc>
        <w:tc>
          <w:tcPr>
            <w:tcW w:w="1330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0.596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18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Gastroesophageal disease</w:t>
            </w:r>
          </w:p>
          <w:p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8(4.42%)</w:t>
            </w:r>
          </w:p>
        </w:tc>
        <w:tc>
          <w:tcPr>
            <w:tcW w:w="256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10(5.38%)</w:t>
            </w:r>
          </w:p>
        </w:tc>
        <w:tc>
          <w:tcPr>
            <w:tcW w:w="1330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0.671</w:t>
            </w:r>
          </w:p>
        </w:tc>
      </w:tr>
    </w:tbl>
    <w:p>
      <w:pPr>
        <w:rPr>
          <w:rFonts w:ascii="Times New Roman" w:hAnsi="Times New Roman" w:eastAsia="宋体" w:cs="Times New Roman"/>
          <w:sz w:val="20"/>
          <w:szCs w:val="20"/>
        </w:rPr>
      </w:pPr>
      <w:r>
        <w:rPr>
          <w:rFonts w:ascii="Times New Roman" w:hAnsi="Times New Roman" w:eastAsia="宋体" w:cs="Times New Roman"/>
          <w:sz w:val="20"/>
          <w:szCs w:val="20"/>
        </w:rPr>
        <w:t>Data are presented as n (%) except as otherwise noted. COPD, chronic obstructive pulmonary disease.</w:t>
      </w:r>
    </w:p>
    <w:p>
      <w:pPr>
        <w:jc w:val="left"/>
        <w:rPr>
          <w:rFonts w:ascii="Times New Roman" w:hAnsi="Times New Roman" w:eastAsia="宋体" w:cs="Times New Roman"/>
          <w:b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ascii="Times New Roman" w:hAnsi="Times New Roman" w:eastAsia="宋体" w:cs="Times New Roman"/>
          <w:b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ascii="Times New Roman" w:hAnsi="Times New Roman" w:eastAsia="宋体" w:cs="Times New Roman"/>
          <w:b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ascii="Times New Roman" w:hAnsi="Times New Roman" w:eastAsia="宋体" w:cs="Times New Roman"/>
          <w:b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ascii="Times New Roman" w:hAnsi="Times New Roman" w:eastAsia="宋体" w:cs="Times New Roman"/>
          <w:b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ascii="Times New Roman" w:hAnsi="Times New Roman" w:eastAsia="宋体" w:cs="Times New Roman"/>
          <w:b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b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Supplementary</w:t>
      </w:r>
      <w:r>
        <w:rPr>
          <w:rFonts w:hint="eastAsia" w:ascii="Times New Roman" w:hAnsi="Times New Roman" w:cs="Times New Roman"/>
          <w:b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t xml:space="preserve"> Table </w:t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4</w:t>
      </w:r>
      <w:r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 xml:space="preserve"> HRCT during exacerbation</w:t>
      </w:r>
    </w:p>
    <w:tbl>
      <w:tblPr>
        <w:tblStyle w:val="13"/>
        <w:tblW w:w="808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0"/>
        <w:gridCol w:w="2268"/>
        <w:gridCol w:w="2552"/>
        <w:gridCol w:w="85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Drug group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（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n=181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）</w:t>
            </w: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Control group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（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n=186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）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i/>
                <w:kern w:val="0"/>
                <w:sz w:val="20"/>
                <w:szCs w:val="20"/>
              </w:rPr>
              <w:t>P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-Value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Severity of bronchiectasis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1.84</w:t>
            </w:r>
            <w:r>
              <w:rPr>
                <w:rFonts w:hint="cs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0.82</w:t>
            </w: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1.84</w:t>
            </w:r>
            <w:r>
              <w:rPr>
                <w:rFonts w:hint="cs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0.83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0.920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Peribronchial thickening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2.13</w:t>
            </w:r>
            <w:r>
              <w:rPr>
                <w:rFonts w:hint="cs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0.78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2.16</w:t>
            </w:r>
            <w:r>
              <w:rPr>
                <w:rFonts w:hint="cs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0.75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0.819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Extent of bronchiectasis</w:t>
            </w:r>
          </w:p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(No. of BP segments)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1.82</w:t>
            </w:r>
            <w:r>
              <w:rPr>
                <w:rFonts w:hint="cs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0.80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1.81</w:t>
            </w:r>
            <w:r>
              <w:rPr>
                <w:rFonts w:hint="cs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0.79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0.895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The extent of mucous plugging</w:t>
            </w:r>
          </w:p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(No. of BP segments)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0.70</w:t>
            </w:r>
            <w:r>
              <w:rPr>
                <w:rFonts w:hint="cs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0.74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0.56</w:t>
            </w:r>
            <w:r>
              <w:rPr>
                <w:rFonts w:hint="cs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0.65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0.093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Sacculations or abscesses</w:t>
            </w:r>
          </w:p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(No. of BP segments)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0.38</w:t>
            </w:r>
            <w:r>
              <w:rPr>
                <w:rFonts w:hint="cs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0.57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0.35</w:t>
            </w:r>
            <w:r>
              <w:rPr>
                <w:rFonts w:hint="cs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0.985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Generations of bronchial</w:t>
            </w:r>
          </w:p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divisions involved</w:t>
            </w:r>
          </w:p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(bronchiectasis/plugging)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2.64</w:t>
            </w:r>
            <w:r>
              <w:rPr>
                <w:rFonts w:hint="cs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0.60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2.76</w:t>
            </w:r>
            <w:r>
              <w:rPr>
                <w:rFonts w:hint="cs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0.46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0.073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No. of bullae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0.08</w:t>
            </w:r>
            <w:r>
              <w:rPr>
                <w:rFonts w:hint="cs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0.35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0.12</w:t>
            </w:r>
            <w:r>
              <w:rPr>
                <w:rFonts w:hint="cs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0.38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0.119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Emphysema</w:t>
            </w:r>
          </w:p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(No. of BP segments)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0.35</w:t>
            </w:r>
            <w:r>
              <w:rPr>
                <w:rFonts w:hint="cs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0.68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0.38</w:t>
            </w:r>
            <w:r>
              <w:rPr>
                <w:rFonts w:hint="cs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0.67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0.443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Collapse/consolidation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0.82</w:t>
            </w:r>
            <w:r>
              <w:rPr>
                <w:rFonts w:hint="cs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0.70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0.77</w:t>
            </w:r>
            <w:r>
              <w:rPr>
                <w:rFonts w:hint="cs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0.69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0.507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Bhalla total score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14.23</w:t>
            </w:r>
            <w:r>
              <w:rPr>
                <w:rFonts w:hint="cs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3.62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14.17</w:t>
            </w:r>
            <w:r>
              <w:rPr>
                <w:rFonts w:hint="cs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±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3.17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0.699</w:t>
            </w:r>
          </w:p>
        </w:tc>
      </w:tr>
    </w:tbl>
    <w:p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eastAsia="宋体" w:cs="Times New Roman"/>
          <w:sz w:val="20"/>
          <w:szCs w:val="20"/>
        </w:rPr>
        <w:t>Data are presented as mean</w:t>
      </w:r>
      <w:r>
        <w:rPr>
          <w:rFonts w:ascii="Times New Roman" w:hAnsi="Times New Roman" w:cs="Times New Roman"/>
          <w:kern w:val="0"/>
          <w:sz w:val="20"/>
          <w:szCs w:val="20"/>
        </w:rPr>
        <w:t>±</w:t>
      </w:r>
      <w:r>
        <w:rPr>
          <w:rFonts w:ascii="Times New Roman" w:hAnsi="Times New Roman" w:eastAsia="宋体" w:cs="Times New Roman"/>
          <w:sz w:val="20"/>
          <w:szCs w:val="20"/>
        </w:rPr>
        <w:t>SD except as otherwise noted. HRCT, High Resolution Computed Tomography.</w:t>
      </w:r>
      <w:r>
        <w:rPr>
          <w:rFonts w:ascii="Times New Roman" w:hAnsi="Times New Roman" w:eastAsia="宋体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 xml:space="preserve"> No., number. BP, bronchopulmonary. </w:t>
      </w:r>
    </w:p>
    <w:p>
      <w:pPr>
        <w:jc w:val="center"/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</w:pPr>
    </w:p>
    <w:p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b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Supplementary</w:t>
      </w:r>
      <w:r>
        <w:rPr>
          <w:rFonts w:hint="eastAsia" w:ascii="Times New Roman" w:hAnsi="Times New Roman" w:cs="Times New Roman"/>
          <w:b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t xml:space="preserve"> Table </w:t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5</w:t>
      </w:r>
      <w:r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cs="Times New Roman"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 xml:space="preserve">Pulmonary function </w:t>
      </w:r>
      <w:r>
        <w:rPr>
          <w:rFonts w:ascii="Times New Roman" w:hAnsi="Times New Roman" w:eastAsia="宋体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 xml:space="preserve">during exacerbation (Baseline) </w:t>
      </w:r>
      <w:r>
        <w:rPr>
          <w:rFonts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  <w:t>and within 12 months</w:t>
      </w:r>
    </w:p>
    <w:tbl>
      <w:tblPr>
        <w:tblStyle w:val="12"/>
        <w:tblW w:w="949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3"/>
        <w:gridCol w:w="1396"/>
        <w:gridCol w:w="1417"/>
        <w:gridCol w:w="851"/>
        <w:gridCol w:w="1417"/>
        <w:gridCol w:w="1701"/>
        <w:gridCol w:w="99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23" w:type="dxa"/>
            <w:vMerge w:val="restart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4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664" w:type="dxa"/>
            <w:gridSpan w:val="3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Drug group 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n=14）</w:t>
            </w:r>
          </w:p>
        </w:tc>
        <w:tc>
          <w:tcPr>
            <w:tcW w:w="4111" w:type="dxa"/>
            <w:gridSpan w:val="3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Control group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（n=10）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23" w:type="dxa"/>
            <w:vMerge w:val="continue"/>
            <w:tcBorders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Baseline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Within 12 months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i/>
                <w:kern w:val="0"/>
                <w:sz w:val="20"/>
                <w:szCs w:val="20"/>
              </w:rPr>
              <w:t>P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-value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Baseline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Within 12 months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i/>
                <w:kern w:val="0"/>
                <w:sz w:val="20"/>
                <w:szCs w:val="20"/>
              </w:rPr>
              <w:t>P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-value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23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FEV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，L</w:t>
            </w:r>
          </w:p>
        </w:tc>
        <w:tc>
          <w:tcPr>
            <w:tcW w:w="1396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1.83±0.86</w:t>
            </w:r>
          </w:p>
        </w:tc>
        <w:tc>
          <w:tcPr>
            <w:tcW w:w="1417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1.83±0.83</w:t>
            </w:r>
          </w:p>
        </w:tc>
        <w:tc>
          <w:tcPr>
            <w:tcW w:w="851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0.910</w:t>
            </w:r>
          </w:p>
        </w:tc>
        <w:tc>
          <w:tcPr>
            <w:tcW w:w="1417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1.22±0.38</w:t>
            </w:r>
          </w:p>
        </w:tc>
        <w:tc>
          <w:tcPr>
            <w:tcW w:w="1701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1.40±0.46</w:t>
            </w:r>
          </w:p>
        </w:tc>
        <w:tc>
          <w:tcPr>
            <w:tcW w:w="993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0.307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FEV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vertAlign w:val="subscript"/>
              </w:rPr>
              <w:t xml:space="preserve">1 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% predicted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62.14±26.02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63.47±25.12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0.946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44.32±13.20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51.28±14.89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0.186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FVC，L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2.57±0.88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2.63±0.88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0.804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2.17±0.36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2.39±0.53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0.345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FVC % predicted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71.74±19.14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75.21±19.67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0.635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63.81±9.24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70.68±8.95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0.140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72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FEV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/FVC，%</w:t>
            </w:r>
          </w:p>
        </w:tc>
        <w:tc>
          <w:tcPr>
            <w:tcW w:w="139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68.11±16.02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66.75±15.06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0.946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55.55±10.07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58.05±10.78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0.496</w:t>
            </w:r>
          </w:p>
        </w:tc>
      </w:tr>
    </w:tbl>
    <w:p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eastAsia="宋体" w:cs="Times New Roman"/>
          <w:sz w:val="20"/>
          <w:szCs w:val="20"/>
        </w:rPr>
        <w:t>Data are presented as mean</w:t>
      </w:r>
      <w:r>
        <w:rPr>
          <w:rFonts w:ascii="Times New Roman" w:hAnsi="Times New Roman" w:cs="Times New Roman"/>
          <w:kern w:val="0"/>
          <w:sz w:val="20"/>
          <w:szCs w:val="20"/>
        </w:rPr>
        <w:t>±</w:t>
      </w:r>
      <w:r>
        <w:rPr>
          <w:rFonts w:ascii="Times New Roman" w:hAnsi="Times New Roman" w:eastAsia="宋体" w:cs="Times New Roman"/>
          <w:sz w:val="20"/>
          <w:szCs w:val="20"/>
        </w:rPr>
        <w:t>SD except as otherwise noted. FEV</w:t>
      </w:r>
      <w:r>
        <w:rPr>
          <w:rFonts w:ascii="Times New Roman" w:hAnsi="Times New Roman" w:eastAsia="宋体" w:cs="Times New Roman"/>
          <w:sz w:val="20"/>
          <w:szCs w:val="20"/>
          <w:vertAlign w:val="subscript"/>
        </w:rPr>
        <w:t>1</w:t>
      </w:r>
      <w:r>
        <w:rPr>
          <w:rFonts w:ascii="Times New Roman" w:hAnsi="Times New Roman" w:eastAsia="宋体" w:cs="Times New Roman"/>
          <w:sz w:val="20"/>
          <w:szCs w:val="20"/>
        </w:rPr>
        <w:t>, forced expiratory volume in 1s. FVC, forced vital capacity.</w:t>
      </w:r>
    </w:p>
    <w:sectPr>
      <w:footerReference r:id="rId3" w:type="default"/>
      <w:pgSz w:w="11906" w:h="16838"/>
      <w:pgMar w:top="1440" w:right="1797" w:bottom="1440" w:left="1797" w:header="851" w:footer="992" w:gutter="0"/>
      <w:lnNumType w:countBy="0" w:restart="continuous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TimesNewRomanPS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HiddenHorzOCR-Identity-H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226453944"/>
    </w:sdtPr>
    <w:sdtContent>
      <w:p>
        <w:pPr>
          <w:pStyle w:val="8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>
    <w:pPr>
      <w:pStyle w:val="8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bordersDoNotSurroundHeader w:val="1"/>
  <w:bordersDoNotSurroundFooter w:val="1"/>
  <w:trackRevisions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rEwNLIwNjM3MrU0NjNS0lEKTi0uzszPAykwrAUAu9oA3ywAAAA="/>
  </w:docVars>
  <w:rsids>
    <w:rsidRoot w:val="002245F7"/>
    <w:rsid w:val="00011E9B"/>
    <w:rsid w:val="0001224A"/>
    <w:rsid w:val="000205BA"/>
    <w:rsid w:val="00021FD9"/>
    <w:rsid w:val="000255DF"/>
    <w:rsid w:val="00025D6C"/>
    <w:rsid w:val="00027DF3"/>
    <w:rsid w:val="00035662"/>
    <w:rsid w:val="0004323E"/>
    <w:rsid w:val="00056579"/>
    <w:rsid w:val="00056BCA"/>
    <w:rsid w:val="00060922"/>
    <w:rsid w:val="000618BA"/>
    <w:rsid w:val="00062776"/>
    <w:rsid w:val="00073714"/>
    <w:rsid w:val="00073E16"/>
    <w:rsid w:val="000766F3"/>
    <w:rsid w:val="00083A6D"/>
    <w:rsid w:val="0008404A"/>
    <w:rsid w:val="0008732B"/>
    <w:rsid w:val="00090939"/>
    <w:rsid w:val="00092F26"/>
    <w:rsid w:val="000936E4"/>
    <w:rsid w:val="000A019C"/>
    <w:rsid w:val="000A0ABA"/>
    <w:rsid w:val="000A0BBF"/>
    <w:rsid w:val="000A3503"/>
    <w:rsid w:val="000A64D2"/>
    <w:rsid w:val="000B0B65"/>
    <w:rsid w:val="000B1800"/>
    <w:rsid w:val="000B1D95"/>
    <w:rsid w:val="000B3A74"/>
    <w:rsid w:val="000B5BA6"/>
    <w:rsid w:val="000C11F6"/>
    <w:rsid w:val="000C254B"/>
    <w:rsid w:val="000C35CC"/>
    <w:rsid w:val="000C7504"/>
    <w:rsid w:val="000D2F58"/>
    <w:rsid w:val="000E434D"/>
    <w:rsid w:val="000E4E16"/>
    <w:rsid w:val="000E58B9"/>
    <w:rsid w:val="000F3519"/>
    <w:rsid w:val="000F767E"/>
    <w:rsid w:val="001067EA"/>
    <w:rsid w:val="00117810"/>
    <w:rsid w:val="0012253B"/>
    <w:rsid w:val="00125C54"/>
    <w:rsid w:val="00126F7F"/>
    <w:rsid w:val="001303FA"/>
    <w:rsid w:val="00134961"/>
    <w:rsid w:val="001366F0"/>
    <w:rsid w:val="00140449"/>
    <w:rsid w:val="00140559"/>
    <w:rsid w:val="001410A8"/>
    <w:rsid w:val="00142B63"/>
    <w:rsid w:val="00143CA5"/>
    <w:rsid w:val="0014406F"/>
    <w:rsid w:val="001466E7"/>
    <w:rsid w:val="001506D8"/>
    <w:rsid w:val="00151223"/>
    <w:rsid w:val="001515BC"/>
    <w:rsid w:val="0015383B"/>
    <w:rsid w:val="00154EF2"/>
    <w:rsid w:val="00162544"/>
    <w:rsid w:val="001666AD"/>
    <w:rsid w:val="00173074"/>
    <w:rsid w:val="0017322F"/>
    <w:rsid w:val="001743AC"/>
    <w:rsid w:val="001748E2"/>
    <w:rsid w:val="0017559E"/>
    <w:rsid w:val="00184140"/>
    <w:rsid w:val="001844FA"/>
    <w:rsid w:val="00184B07"/>
    <w:rsid w:val="00187A15"/>
    <w:rsid w:val="001A0E84"/>
    <w:rsid w:val="001A1C0E"/>
    <w:rsid w:val="001A3A41"/>
    <w:rsid w:val="001A447E"/>
    <w:rsid w:val="001A44F5"/>
    <w:rsid w:val="001A4DAC"/>
    <w:rsid w:val="001A5FE8"/>
    <w:rsid w:val="001A6366"/>
    <w:rsid w:val="001B18BA"/>
    <w:rsid w:val="001B4315"/>
    <w:rsid w:val="001B7D19"/>
    <w:rsid w:val="001C0AA5"/>
    <w:rsid w:val="001C2C72"/>
    <w:rsid w:val="001C3F36"/>
    <w:rsid w:val="001C5923"/>
    <w:rsid w:val="001C647D"/>
    <w:rsid w:val="001D0D2F"/>
    <w:rsid w:val="00200C4F"/>
    <w:rsid w:val="0020257A"/>
    <w:rsid w:val="00211077"/>
    <w:rsid w:val="002160D0"/>
    <w:rsid w:val="00221C6C"/>
    <w:rsid w:val="002245F7"/>
    <w:rsid w:val="0022697E"/>
    <w:rsid w:val="00237026"/>
    <w:rsid w:val="00243686"/>
    <w:rsid w:val="00252645"/>
    <w:rsid w:val="002555B9"/>
    <w:rsid w:val="00263487"/>
    <w:rsid w:val="002636A3"/>
    <w:rsid w:val="00266E35"/>
    <w:rsid w:val="0027224B"/>
    <w:rsid w:val="00280183"/>
    <w:rsid w:val="00287672"/>
    <w:rsid w:val="00290C44"/>
    <w:rsid w:val="002929CD"/>
    <w:rsid w:val="00293F2A"/>
    <w:rsid w:val="00294891"/>
    <w:rsid w:val="002973EB"/>
    <w:rsid w:val="00297744"/>
    <w:rsid w:val="0029799D"/>
    <w:rsid w:val="002A18C5"/>
    <w:rsid w:val="002A3EC4"/>
    <w:rsid w:val="002A7011"/>
    <w:rsid w:val="002B5992"/>
    <w:rsid w:val="002C1657"/>
    <w:rsid w:val="002C1B5B"/>
    <w:rsid w:val="002C3F76"/>
    <w:rsid w:val="002D3BC8"/>
    <w:rsid w:val="002E305A"/>
    <w:rsid w:val="002F1417"/>
    <w:rsid w:val="002F1ECE"/>
    <w:rsid w:val="00310370"/>
    <w:rsid w:val="00310FCE"/>
    <w:rsid w:val="00312F15"/>
    <w:rsid w:val="00313D60"/>
    <w:rsid w:val="00322701"/>
    <w:rsid w:val="00322E84"/>
    <w:rsid w:val="00325C5E"/>
    <w:rsid w:val="00332675"/>
    <w:rsid w:val="00333FEE"/>
    <w:rsid w:val="00335608"/>
    <w:rsid w:val="0033574C"/>
    <w:rsid w:val="00336A9B"/>
    <w:rsid w:val="00352459"/>
    <w:rsid w:val="00352B27"/>
    <w:rsid w:val="0035715D"/>
    <w:rsid w:val="003668E2"/>
    <w:rsid w:val="00366BFE"/>
    <w:rsid w:val="00366D0E"/>
    <w:rsid w:val="00371387"/>
    <w:rsid w:val="003721BD"/>
    <w:rsid w:val="003753E3"/>
    <w:rsid w:val="003756AB"/>
    <w:rsid w:val="003759D5"/>
    <w:rsid w:val="00377550"/>
    <w:rsid w:val="00384354"/>
    <w:rsid w:val="0038512D"/>
    <w:rsid w:val="003A3CC4"/>
    <w:rsid w:val="003A5EE7"/>
    <w:rsid w:val="003B3FB3"/>
    <w:rsid w:val="003B55B9"/>
    <w:rsid w:val="003B5685"/>
    <w:rsid w:val="003B7521"/>
    <w:rsid w:val="003C17EC"/>
    <w:rsid w:val="003C255B"/>
    <w:rsid w:val="003D13A5"/>
    <w:rsid w:val="003E29F3"/>
    <w:rsid w:val="003E2AE6"/>
    <w:rsid w:val="003E4431"/>
    <w:rsid w:val="003E46F5"/>
    <w:rsid w:val="003E65BB"/>
    <w:rsid w:val="003F12DE"/>
    <w:rsid w:val="003F2F6F"/>
    <w:rsid w:val="003F5ACD"/>
    <w:rsid w:val="004010CC"/>
    <w:rsid w:val="0040215F"/>
    <w:rsid w:val="004101DC"/>
    <w:rsid w:val="00417A4F"/>
    <w:rsid w:val="00420E9D"/>
    <w:rsid w:val="00421AE5"/>
    <w:rsid w:val="00424336"/>
    <w:rsid w:val="00424EE4"/>
    <w:rsid w:val="004260E7"/>
    <w:rsid w:val="00426D7F"/>
    <w:rsid w:val="00434785"/>
    <w:rsid w:val="00436579"/>
    <w:rsid w:val="00442219"/>
    <w:rsid w:val="00445732"/>
    <w:rsid w:val="00446B94"/>
    <w:rsid w:val="00446EFC"/>
    <w:rsid w:val="004531A1"/>
    <w:rsid w:val="0045384C"/>
    <w:rsid w:val="004646CB"/>
    <w:rsid w:val="00471359"/>
    <w:rsid w:val="004766FA"/>
    <w:rsid w:val="00482882"/>
    <w:rsid w:val="00485728"/>
    <w:rsid w:val="0048612E"/>
    <w:rsid w:val="004A604C"/>
    <w:rsid w:val="004B34C6"/>
    <w:rsid w:val="004B4CEF"/>
    <w:rsid w:val="004D18CC"/>
    <w:rsid w:val="004D5063"/>
    <w:rsid w:val="004E3E7E"/>
    <w:rsid w:val="004E5316"/>
    <w:rsid w:val="004F5CDC"/>
    <w:rsid w:val="004F7F66"/>
    <w:rsid w:val="005008CE"/>
    <w:rsid w:val="00502402"/>
    <w:rsid w:val="005226D1"/>
    <w:rsid w:val="005238AB"/>
    <w:rsid w:val="00530757"/>
    <w:rsid w:val="00541909"/>
    <w:rsid w:val="00543CAC"/>
    <w:rsid w:val="00547B14"/>
    <w:rsid w:val="00552559"/>
    <w:rsid w:val="00553554"/>
    <w:rsid w:val="005572EF"/>
    <w:rsid w:val="00560456"/>
    <w:rsid w:val="0056447A"/>
    <w:rsid w:val="00565B31"/>
    <w:rsid w:val="00580274"/>
    <w:rsid w:val="00581F0A"/>
    <w:rsid w:val="005835DA"/>
    <w:rsid w:val="00584FB3"/>
    <w:rsid w:val="005872D9"/>
    <w:rsid w:val="00587862"/>
    <w:rsid w:val="005879A5"/>
    <w:rsid w:val="005900FA"/>
    <w:rsid w:val="00590449"/>
    <w:rsid w:val="005957B2"/>
    <w:rsid w:val="005969B9"/>
    <w:rsid w:val="005A06E7"/>
    <w:rsid w:val="005A3B3F"/>
    <w:rsid w:val="005B1804"/>
    <w:rsid w:val="005C014B"/>
    <w:rsid w:val="005C2DA0"/>
    <w:rsid w:val="005D1EAD"/>
    <w:rsid w:val="005D35CB"/>
    <w:rsid w:val="005D67BD"/>
    <w:rsid w:val="005D7794"/>
    <w:rsid w:val="005E068F"/>
    <w:rsid w:val="005E450D"/>
    <w:rsid w:val="005E7D7C"/>
    <w:rsid w:val="005F1464"/>
    <w:rsid w:val="005F57D8"/>
    <w:rsid w:val="00601356"/>
    <w:rsid w:val="0060148D"/>
    <w:rsid w:val="00601774"/>
    <w:rsid w:val="006027E0"/>
    <w:rsid w:val="0060788B"/>
    <w:rsid w:val="006106EE"/>
    <w:rsid w:val="00613A77"/>
    <w:rsid w:val="0061513B"/>
    <w:rsid w:val="006160A5"/>
    <w:rsid w:val="0062565E"/>
    <w:rsid w:val="00627075"/>
    <w:rsid w:val="00631A67"/>
    <w:rsid w:val="00643499"/>
    <w:rsid w:val="0065181F"/>
    <w:rsid w:val="00652FA0"/>
    <w:rsid w:val="006532DC"/>
    <w:rsid w:val="0065750C"/>
    <w:rsid w:val="0065753F"/>
    <w:rsid w:val="00660EB0"/>
    <w:rsid w:val="00661D85"/>
    <w:rsid w:val="00667B6A"/>
    <w:rsid w:val="00670540"/>
    <w:rsid w:val="006724E5"/>
    <w:rsid w:val="00680353"/>
    <w:rsid w:val="00680C9A"/>
    <w:rsid w:val="00682245"/>
    <w:rsid w:val="00682E90"/>
    <w:rsid w:val="006860C2"/>
    <w:rsid w:val="00691558"/>
    <w:rsid w:val="0069196A"/>
    <w:rsid w:val="006935DE"/>
    <w:rsid w:val="006959D3"/>
    <w:rsid w:val="006A53E9"/>
    <w:rsid w:val="006A6273"/>
    <w:rsid w:val="006A66B3"/>
    <w:rsid w:val="006B3866"/>
    <w:rsid w:val="006B47CA"/>
    <w:rsid w:val="006C4FD9"/>
    <w:rsid w:val="006C5252"/>
    <w:rsid w:val="006D0157"/>
    <w:rsid w:val="006D0FFE"/>
    <w:rsid w:val="006D1778"/>
    <w:rsid w:val="006D44C0"/>
    <w:rsid w:val="006D67A1"/>
    <w:rsid w:val="006E487A"/>
    <w:rsid w:val="006E67DF"/>
    <w:rsid w:val="006F68A0"/>
    <w:rsid w:val="006F781A"/>
    <w:rsid w:val="00701623"/>
    <w:rsid w:val="007018C5"/>
    <w:rsid w:val="00701C74"/>
    <w:rsid w:val="0070385E"/>
    <w:rsid w:val="00704780"/>
    <w:rsid w:val="00705E5E"/>
    <w:rsid w:val="00714A37"/>
    <w:rsid w:val="0072574B"/>
    <w:rsid w:val="00730BA7"/>
    <w:rsid w:val="007326F7"/>
    <w:rsid w:val="00735023"/>
    <w:rsid w:val="00736A87"/>
    <w:rsid w:val="00736D21"/>
    <w:rsid w:val="00744E18"/>
    <w:rsid w:val="00756D47"/>
    <w:rsid w:val="00760D5B"/>
    <w:rsid w:val="00762387"/>
    <w:rsid w:val="00762E5A"/>
    <w:rsid w:val="00772437"/>
    <w:rsid w:val="00777419"/>
    <w:rsid w:val="0078496C"/>
    <w:rsid w:val="007920FA"/>
    <w:rsid w:val="00794463"/>
    <w:rsid w:val="00794C96"/>
    <w:rsid w:val="007A2F55"/>
    <w:rsid w:val="007B039B"/>
    <w:rsid w:val="007C2B43"/>
    <w:rsid w:val="007C56A8"/>
    <w:rsid w:val="007D191B"/>
    <w:rsid w:val="007D6EE7"/>
    <w:rsid w:val="007E05FC"/>
    <w:rsid w:val="007E1B32"/>
    <w:rsid w:val="007E20DB"/>
    <w:rsid w:val="007E297A"/>
    <w:rsid w:val="007E5CB0"/>
    <w:rsid w:val="007E7129"/>
    <w:rsid w:val="007F52F2"/>
    <w:rsid w:val="007F6F23"/>
    <w:rsid w:val="00805F69"/>
    <w:rsid w:val="00806B18"/>
    <w:rsid w:val="008145CF"/>
    <w:rsid w:val="0081516E"/>
    <w:rsid w:val="008160BE"/>
    <w:rsid w:val="008162DC"/>
    <w:rsid w:val="008174CC"/>
    <w:rsid w:val="00820D8F"/>
    <w:rsid w:val="0082361B"/>
    <w:rsid w:val="00823B08"/>
    <w:rsid w:val="00825FF3"/>
    <w:rsid w:val="008272C0"/>
    <w:rsid w:val="00832BCE"/>
    <w:rsid w:val="00835C5D"/>
    <w:rsid w:val="008372D4"/>
    <w:rsid w:val="00841151"/>
    <w:rsid w:val="00847167"/>
    <w:rsid w:val="0085048D"/>
    <w:rsid w:val="00853EBB"/>
    <w:rsid w:val="00854F60"/>
    <w:rsid w:val="00854FD6"/>
    <w:rsid w:val="0086016A"/>
    <w:rsid w:val="008602B2"/>
    <w:rsid w:val="0086559E"/>
    <w:rsid w:val="00866828"/>
    <w:rsid w:val="00870991"/>
    <w:rsid w:val="0087659A"/>
    <w:rsid w:val="00880C2C"/>
    <w:rsid w:val="00885D7C"/>
    <w:rsid w:val="00890A9E"/>
    <w:rsid w:val="0089475E"/>
    <w:rsid w:val="008947C0"/>
    <w:rsid w:val="0089510D"/>
    <w:rsid w:val="0089647E"/>
    <w:rsid w:val="008A1737"/>
    <w:rsid w:val="008A66A0"/>
    <w:rsid w:val="008B0003"/>
    <w:rsid w:val="008B0B36"/>
    <w:rsid w:val="008B11FB"/>
    <w:rsid w:val="008B12C7"/>
    <w:rsid w:val="008B1E58"/>
    <w:rsid w:val="008B72B7"/>
    <w:rsid w:val="008C6210"/>
    <w:rsid w:val="008C73E1"/>
    <w:rsid w:val="008C7B0C"/>
    <w:rsid w:val="008E08FF"/>
    <w:rsid w:val="008E26DE"/>
    <w:rsid w:val="008F245F"/>
    <w:rsid w:val="008F5682"/>
    <w:rsid w:val="008F5699"/>
    <w:rsid w:val="008F5D8F"/>
    <w:rsid w:val="008F680E"/>
    <w:rsid w:val="008F6F76"/>
    <w:rsid w:val="00900101"/>
    <w:rsid w:val="009044BB"/>
    <w:rsid w:val="009079A4"/>
    <w:rsid w:val="0091016C"/>
    <w:rsid w:val="00915C86"/>
    <w:rsid w:val="00924788"/>
    <w:rsid w:val="00927F87"/>
    <w:rsid w:val="009316FD"/>
    <w:rsid w:val="0093511A"/>
    <w:rsid w:val="00937F41"/>
    <w:rsid w:val="00943A4D"/>
    <w:rsid w:val="009456D1"/>
    <w:rsid w:val="0094674E"/>
    <w:rsid w:val="00947D44"/>
    <w:rsid w:val="00951814"/>
    <w:rsid w:val="00951DDF"/>
    <w:rsid w:val="00954414"/>
    <w:rsid w:val="00955BFA"/>
    <w:rsid w:val="00961B09"/>
    <w:rsid w:val="009622E0"/>
    <w:rsid w:val="0096306D"/>
    <w:rsid w:val="00963529"/>
    <w:rsid w:val="009704AE"/>
    <w:rsid w:val="009715EA"/>
    <w:rsid w:val="00975BC3"/>
    <w:rsid w:val="0098015A"/>
    <w:rsid w:val="0098455A"/>
    <w:rsid w:val="00987130"/>
    <w:rsid w:val="009939F5"/>
    <w:rsid w:val="00995EB7"/>
    <w:rsid w:val="009A04DA"/>
    <w:rsid w:val="009A1182"/>
    <w:rsid w:val="009A12EA"/>
    <w:rsid w:val="009A12F6"/>
    <w:rsid w:val="009A494E"/>
    <w:rsid w:val="009A49D1"/>
    <w:rsid w:val="009A564C"/>
    <w:rsid w:val="009B086E"/>
    <w:rsid w:val="009B3E42"/>
    <w:rsid w:val="009C4788"/>
    <w:rsid w:val="009C4FC2"/>
    <w:rsid w:val="009D3FFE"/>
    <w:rsid w:val="009D4C40"/>
    <w:rsid w:val="009D696E"/>
    <w:rsid w:val="009E3912"/>
    <w:rsid w:val="00A133D3"/>
    <w:rsid w:val="00A134B5"/>
    <w:rsid w:val="00A158F7"/>
    <w:rsid w:val="00A22D88"/>
    <w:rsid w:val="00A31A0C"/>
    <w:rsid w:val="00A32842"/>
    <w:rsid w:val="00A3292A"/>
    <w:rsid w:val="00A350B3"/>
    <w:rsid w:val="00A365CB"/>
    <w:rsid w:val="00A44F4C"/>
    <w:rsid w:val="00A5373C"/>
    <w:rsid w:val="00A54613"/>
    <w:rsid w:val="00A54F45"/>
    <w:rsid w:val="00A5581C"/>
    <w:rsid w:val="00A56E31"/>
    <w:rsid w:val="00A5781D"/>
    <w:rsid w:val="00A6100F"/>
    <w:rsid w:val="00A61010"/>
    <w:rsid w:val="00A61BCA"/>
    <w:rsid w:val="00A6296F"/>
    <w:rsid w:val="00A62CCB"/>
    <w:rsid w:val="00A62DFC"/>
    <w:rsid w:val="00A66346"/>
    <w:rsid w:val="00A66515"/>
    <w:rsid w:val="00A66852"/>
    <w:rsid w:val="00A76E1F"/>
    <w:rsid w:val="00A8272C"/>
    <w:rsid w:val="00A85C04"/>
    <w:rsid w:val="00A8680F"/>
    <w:rsid w:val="00A94BCE"/>
    <w:rsid w:val="00A97826"/>
    <w:rsid w:val="00A97FDD"/>
    <w:rsid w:val="00AA2E0B"/>
    <w:rsid w:val="00AA6550"/>
    <w:rsid w:val="00AB65DD"/>
    <w:rsid w:val="00AB6646"/>
    <w:rsid w:val="00AC11AE"/>
    <w:rsid w:val="00AC184E"/>
    <w:rsid w:val="00AC30F4"/>
    <w:rsid w:val="00AC3DD3"/>
    <w:rsid w:val="00AC7D64"/>
    <w:rsid w:val="00AD242A"/>
    <w:rsid w:val="00AD50B3"/>
    <w:rsid w:val="00AE1ED2"/>
    <w:rsid w:val="00AE639C"/>
    <w:rsid w:val="00AF212C"/>
    <w:rsid w:val="00AF4A7A"/>
    <w:rsid w:val="00AF4C2A"/>
    <w:rsid w:val="00AF5A7A"/>
    <w:rsid w:val="00AF6135"/>
    <w:rsid w:val="00AF6267"/>
    <w:rsid w:val="00AF692C"/>
    <w:rsid w:val="00AF7A43"/>
    <w:rsid w:val="00B02373"/>
    <w:rsid w:val="00B076FA"/>
    <w:rsid w:val="00B115C8"/>
    <w:rsid w:val="00B14532"/>
    <w:rsid w:val="00B15AD4"/>
    <w:rsid w:val="00B15BFF"/>
    <w:rsid w:val="00B1647F"/>
    <w:rsid w:val="00B231E4"/>
    <w:rsid w:val="00B24989"/>
    <w:rsid w:val="00B321C4"/>
    <w:rsid w:val="00B321C5"/>
    <w:rsid w:val="00B37D06"/>
    <w:rsid w:val="00B41355"/>
    <w:rsid w:val="00B45698"/>
    <w:rsid w:val="00B46767"/>
    <w:rsid w:val="00B47562"/>
    <w:rsid w:val="00B520B1"/>
    <w:rsid w:val="00B52997"/>
    <w:rsid w:val="00B53928"/>
    <w:rsid w:val="00B55C6C"/>
    <w:rsid w:val="00B636A5"/>
    <w:rsid w:val="00B7231D"/>
    <w:rsid w:val="00B75A4E"/>
    <w:rsid w:val="00B76D6C"/>
    <w:rsid w:val="00B81B79"/>
    <w:rsid w:val="00B82C2A"/>
    <w:rsid w:val="00B86629"/>
    <w:rsid w:val="00B926ED"/>
    <w:rsid w:val="00B9295F"/>
    <w:rsid w:val="00B92AD8"/>
    <w:rsid w:val="00B944E8"/>
    <w:rsid w:val="00B97519"/>
    <w:rsid w:val="00BA1A08"/>
    <w:rsid w:val="00BA7A13"/>
    <w:rsid w:val="00BB5C90"/>
    <w:rsid w:val="00BB7BCB"/>
    <w:rsid w:val="00BC1635"/>
    <w:rsid w:val="00BC1BBE"/>
    <w:rsid w:val="00BC2031"/>
    <w:rsid w:val="00BD0775"/>
    <w:rsid w:val="00BD137A"/>
    <w:rsid w:val="00BD4800"/>
    <w:rsid w:val="00BD645D"/>
    <w:rsid w:val="00BE5BCC"/>
    <w:rsid w:val="00BE6BC0"/>
    <w:rsid w:val="00BE7361"/>
    <w:rsid w:val="00BF0954"/>
    <w:rsid w:val="00BF2D71"/>
    <w:rsid w:val="00BF40C4"/>
    <w:rsid w:val="00BF4A8A"/>
    <w:rsid w:val="00BF5058"/>
    <w:rsid w:val="00BF64F2"/>
    <w:rsid w:val="00BF7E83"/>
    <w:rsid w:val="00C03994"/>
    <w:rsid w:val="00C11688"/>
    <w:rsid w:val="00C23F65"/>
    <w:rsid w:val="00C302A1"/>
    <w:rsid w:val="00C35308"/>
    <w:rsid w:val="00C4345F"/>
    <w:rsid w:val="00C43C47"/>
    <w:rsid w:val="00C53D3F"/>
    <w:rsid w:val="00C56031"/>
    <w:rsid w:val="00C62414"/>
    <w:rsid w:val="00C62CB3"/>
    <w:rsid w:val="00C63A9E"/>
    <w:rsid w:val="00C640EC"/>
    <w:rsid w:val="00C70390"/>
    <w:rsid w:val="00C77183"/>
    <w:rsid w:val="00C82964"/>
    <w:rsid w:val="00C8683F"/>
    <w:rsid w:val="00C90EA6"/>
    <w:rsid w:val="00C95E74"/>
    <w:rsid w:val="00C9754A"/>
    <w:rsid w:val="00C97F67"/>
    <w:rsid w:val="00CB0819"/>
    <w:rsid w:val="00CB6800"/>
    <w:rsid w:val="00CB7429"/>
    <w:rsid w:val="00CC4F56"/>
    <w:rsid w:val="00CC6B25"/>
    <w:rsid w:val="00CD4092"/>
    <w:rsid w:val="00CD42A5"/>
    <w:rsid w:val="00CD42D1"/>
    <w:rsid w:val="00CD5127"/>
    <w:rsid w:val="00CE23CC"/>
    <w:rsid w:val="00CE4710"/>
    <w:rsid w:val="00CE76A1"/>
    <w:rsid w:val="00CE7E4C"/>
    <w:rsid w:val="00CE7F6E"/>
    <w:rsid w:val="00CF28DE"/>
    <w:rsid w:val="00D00BCA"/>
    <w:rsid w:val="00D0450B"/>
    <w:rsid w:val="00D05297"/>
    <w:rsid w:val="00D0534A"/>
    <w:rsid w:val="00D1051E"/>
    <w:rsid w:val="00D10ADD"/>
    <w:rsid w:val="00D11C6B"/>
    <w:rsid w:val="00D12F21"/>
    <w:rsid w:val="00D1544B"/>
    <w:rsid w:val="00D22268"/>
    <w:rsid w:val="00D2431F"/>
    <w:rsid w:val="00D26751"/>
    <w:rsid w:val="00D4617A"/>
    <w:rsid w:val="00D51F42"/>
    <w:rsid w:val="00D54E25"/>
    <w:rsid w:val="00D56A69"/>
    <w:rsid w:val="00D57059"/>
    <w:rsid w:val="00D62E67"/>
    <w:rsid w:val="00D644B7"/>
    <w:rsid w:val="00D65BAE"/>
    <w:rsid w:val="00D700D5"/>
    <w:rsid w:val="00D77C18"/>
    <w:rsid w:val="00D81F39"/>
    <w:rsid w:val="00D82815"/>
    <w:rsid w:val="00D83398"/>
    <w:rsid w:val="00D8417F"/>
    <w:rsid w:val="00D84BA7"/>
    <w:rsid w:val="00D85EDA"/>
    <w:rsid w:val="00D87FE2"/>
    <w:rsid w:val="00DA118E"/>
    <w:rsid w:val="00DA34D2"/>
    <w:rsid w:val="00DA6EAE"/>
    <w:rsid w:val="00DA7762"/>
    <w:rsid w:val="00DB7248"/>
    <w:rsid w:val="00DB7AC5"/>
    <w:rsid w:val="00DC4B20"/>
    <w:rsid w:val="00DD01BC"/>
    <w:rsid w:val="00DD0E47"/>
    <w:rsid w:val="00DD3114"/>
    <w:rsid w:val="00DD5DDB"/>
    <w:rsid w:val="00DE3331"/>
    <w:rsid w:val="00DE3F42"/>
    <w:rsid w:val="00DE645F"/>
    <w:rsid w:val="00DF3C09"/>
    <w:rsid w:val="00DF5987"/>
    <w:rsid w:val="00DF7F8F"/>
    <w:rsid w:val="00E009CE"/>
    <w:rsid w:val="00E00F2E"/>
    <w:rsid w:val="00E04790"/>
    <w:rsid w:val="00E06C2A"/>
    <w:rsid w:val="00E07C38"/>
    <w:rsid w:val="00E2665E"/>
    <w:rsid w:val="00E26E34"/>
    <w:rsid w:val="00E31614"/>
    <w:rsid w:val="00E4082F"/>
    <w:rsid w:val="00E40A58"/>
    <w:rsid w:val="00E432D2"/>
    <w:rsid w:val="00E44495"/>
    <w:rsid w:val="00E4632A"/>
    <w:rsid w:val="00E4657D"/>
    <w:rsid w:val="00E4678A"/>
    <w:rsid w:val="00E530B4"/>
    <w:rsid w:val="00E61F8B"/>
    <w:rsid w:val="00E6363E"/>
    <w:rsid w:val="00E72966"/>
    <w:rsid w:val="00E76F7F"/>
    <w:rsid w:val="00E93003"/>
    <w:rsid w:val="00E938E9"/>
    <w:rsid w:val="00E96730"/>
    <w:rsid w:val="00E97A9B"/>
    <w:rsid w:val="00E97E0A"/>
    <w:rsid w:val="00EA50AF"/>
    <w:rsid w:val="00EB1848"/>
    <w:rsid w:val="00EB71BB"/>
    <w:rsid w:val="00EB7388"/>
    <w:rsid w:val="00EB77FB"/>
    <w:rsid w:val="00EC2FF2"/>
    <w:rsid w:val="00ED00CC"/>
    <w:rsid w:val="00ED4BED"/>
    <w:rsid w:val="00EE2229"/>
    <w:rsid w:val="00EE6A37"/>
    <w:rsid w:val="00EF4C59"/>
    <w:rsid w:val="00EF581D"/>
    <w:rsid w:val="00EF7A3D"/>
    <w:rsid w:val="00F000F0"/>
    <w:rsid w:val="00F100EA"/>
    <w:rsid w:val="00F10626"/>
    <w:rsid w:val="00F15B2C"/>
    <w:rsid w:val="00F167C3"/>
    <w:rsid w:val="00F20878"/>
    <w:rsid w:val="00F22B9F"/>
    <w:rsid w:val="00F256EA"/>
    <w:rsid w:val="00F25E45"/>
    <w:rsid w:val="00F35526"/>
    <w:rsid w:val="00F379A5"/>
    <w:rsid w:val="00F41583"/>
    <w:rsid w:val="00F432CD"/>
    <w:rsid w:val="00F4335E"/>
    <w:rsid w:val="00F44BD9"/>
    <w:rsid w:val="00F464DB"/>
    <w:rsid w:val="00F50451"/>
    <w:rsid w:val="00F51210"/>
    <w:rsid w:val="00F531EE"/>
    <w:rsid w:val="00F549A5"/>
    <w:rsid w:val="00F60E18"/>
    <w:rsid w:val="00F62FDD"/>
    <w:rsid w:val="00F70B5D"/>
    <w:rsid w:val="00F72FD4"/>
    <w:rsid w:val="00F751A0"/>
    <w:rsid w:val="00F751F9"/>
    <w:rsid w:val="00F75838"/>
    <w:rsid w:val="00F77641"/>
    <w:rsid w:val="00F84C1E"/>
    <w:rsid w:val="00F92823"/>
    <w:rsid w:val="00F9525F"/>
    <w:rsid w:val="00F9682F"/>
    <w:rsid w:val="00FA0AB8"/>
    <w:rsid w:val="00FA1FA7"/>
    <w:rsid w:val="00FA7298"/>
    <w:rsid w:val="00FB0943"/>
    <w:rsid w:val="00FB44B6"/>
    <w:rsid w:val="00FC315F"/>
    <w:rsid w:val="00FC48F4"/>
    <w:rsid w:val="00FC53F3"/>
    <w:rsid w:val="00FD14BF"/>
    <w:rsid w:val="00FD5B08"/>
    <w:rsid w:val="00FD64E6"/>
    <w:rsid w:val="00FD7C6D"/>
    <w:rsid w:val="00FE31A9"/>
    <w:rsid w:val="00FF0620"/>
    <w:rsid w:val="00FF47B3"/>
    <w:rsid w:val="00FF555C"/>
    <w:rsid w:val="00FF587A"/>
    <w:rsid w:val="00FF5F68"/>
    <w:rsid w:val="00FF7AA5"/>
    <w:rsid w:val="01733D9C"/>
    <w:rsid w:val="03086D70"/>
    <w:rsid w:val="032C1F78"/>
    <w:rsid w:val="04344350"/>
    <w:rsid w:val="06D70C29"/>
    <w:rsid w:val="07A22746"/>
    <w:rsid w:val="090E7237"/>
    <w:rsid w:val="093F42FD"/>
    <w:rsid w:val="0AB024B4"/>
    <w:rsid w:val="0C0B08CD"/>
    <w:rsid w:val="0CAE13F3"/>
    <w:rsid w:val="0CB90553"/>
    <w:rsid w:val="0D6252DA"/>
    <w:rsid w:val="0D787743"/>
    <w:rsid w:val="0E904A06"/>
    <w:rsid w:val="0EEE1574"/>
    <w:rsid w:val="0F8624F2"/>
    <w:rsid w:val="0F8B2292"/>
    <w:rsid w:val="11984927"/>
    <w:rsid w:val="12EC01D3"/>
    <w:rsid w:val="14627EF7"/>
    <w:rsid w:val="148B10A3"/>
    <w:rsid w:val="1A3378A4"/>
    <w:rsid w:val="1A4429FE"/>
    <w:rsid w:val="1A9C5153"/>
    <w:rsid w:val="1AF65A92"/>
    <w:rsid w:val="1BD43D76"/>
    <w:rsid w:val="1CF642E2"/>
    <w:rsid w:val="1E932A31"/>
    <w:rsid w:val="1EA25A45"/>
    <w:rsid w:val="1ED51C1A"/>
    <w:rsid w:val="20654D94"/>
    <w:rsid w:val="20B95532"/>
    <w:rsid w:val="21C25171"/>
    <w:rsid w:val="23431506"/>
    <w:rsid w:val="24D4078E"/>
    <w:rsid w:val="254F64A4"/>
    <w:rsid w:val="255F4942"/>
    <w:rsid w:val="257F7313"/>
    <w:rsid w:val="263B2AFB"/>
    <w:rsid w:val="26E039A9"/>
    <w:rsid w:val="29303953"/>
    <w:rsid w:val="2AF84D77"/>
    <w:rsid w:val="2B342B95"/>
    <w:rsid w:val="2D352AB3"/>
    <w:rsid w:val="2F08672B"/>
    <w:rsid w:val="2F190816"/>
    <w:rsid w:val="30422228"/>
    <w:rsid w:val="30AE5ECE"/>
    <w:rsid w:val="314168AC"/>
    <w:rsid w:val="31767CF1"/>
    <w:rsid w:val="32395CF5"/>
    <w:rsid w:val="39E5603B"/>
    <w:rsid w:val="3AE527C5"/>
    <w:rsid w:val="3C9F72DA"/>
    <w:rsid w:val="3F3D5735"/>
    <w:rsid w:val="41F537CC"/>
    <w:rsid w:val="428B0240"/>
    <w:rsid w:val="43B55CFD"/>
    <w:rsid w:val="43CC0F82"/>
    <w:rsid w:val="45D743FA"/>
    <w:rsid w:val="46720A8F"/>
    <w:rsid w:val="467F18EC"/>
    <w:rsid w:val="46DA3FF3"/>
    <w:rsid w:val="486A3BDF"/>
    <w:rsid w:val="48E63CF9"/>
    <w:rsid w:val="495D7B37"/>
    <w:rsid w:val="497F01F9"/>
    <w:rsid w:val="4A3F4726"/>
    <w:rsid w:val="4B1A66B8"/>
    <w:rsid w:val="4B2B4302"/>
    <w:rsid w:val="4B53507D"/>
    <w:rsid w:val="4DD23943"/>
    <w:rsid w:val="512A0224"/>
    <w:rsid w:val="51DA40F8"/>
    <w:rsid w:val="5264582C"/>
    <w:rsid w:val="52BC49A0"/>
    <w:rsid w:val="54A232C7"/>
    <w:rsid w:val="576746B0"/>
    <w:rsid w:val="5834095E"/>
    <w:rsid w:val="59E37926"/>
    <w:rsid w:val="5CBF440B"/>
    <w:rsid w:val="5D1F49EA"/>
    <w:rsid w:val="5E750025"/>
    <w:rsid w:val="61520FC4"/>
    <w:rsid w:val="62234A49"/>
    <w:rsid w:val="670A39C4"/>
    <w:rsid w:val="68E31853"/>
    <w:rsid w:val="68F042F9"/>
    <w:rsid w:val="69485836"/>
    <w:rsid w:val="696274CD"/>
    <w:rsid w:val="698E6159"/>
    <w:rsid w:val="69A630B8"/>
    <w:rsid w:val="69D07D83"/>
    <w:rsid w:val="6A7C014B"/>
    <w:rsid w:val="6B8075B4"/>
    <w:rsid w:val="6EF426F2"/>
    <w:rsid w:val="70615F85"/>
    <w:rsid w:val="74190492"/>
    <w:rsid w:val="75145658"/>
    <w:rsid w:val="77D65A95"/>
    <w:rsid w:val="7A8E562C"/>
    <w:rsid w:val="7BD1164B"/>
    <w:rsid w:val="7CDD40C0"/>
    <w:rsid w:val="7CF04978"/>
    <w:rsid w:val="7D60709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qFormat="1"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8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0"/>
    <w:unhideWhenUsed/>
    <w:qFormat/>
    <w:uiPriority w:val="9"/>
    <w:pPr>
      <w:keepNext/>
      <w:keepLines/>
      <w:spacing w:before="240" w:after="120"/>
      <w:jc w:val="left"/>
      <w:outlineLvl w:val="1"/>
    </w:pPr>
    <w:rPr>
      <w:rFonts w:ascii="黑体" w:hAnsi="黑体" w:eastAsia="黑体" w:cstheme="majorBidi"/>
      <w:bCs/>
      <w:sz w:val="28"/>
      <w:szCs w:val="32"/>
    </w:rPr>
  </w:style>
  <w:style w:type="paragraph" w:styleId="4">
    <w:name w:val="heading 3"/>
    <w:basedOn w:val="1"/>
    <w:next w:val="1"/>
    <w:link w:val="21"/>
    <w:semiHidden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33"/>
    <w:semiHidden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annotation text"/>
    <w:basedOn w:val="1"/>
    <w:link w:val="30"/>
    <w:semiHidden/>
    <w:unhideWhenUsed/>
    <w:qFormat/>
    <w:uiPriority w:val="99"/>
    <w:pPr>
      <w:jc w:val="left"/>
    </w:pPr>
  </w:style>
  <w:style w:type="paragraph" w:styleId="7">
    <w:name w:val="Balloon Text"/>
    <w:basedOn w:val="1"/>
    <w:link w:val="23"/>
    <w:semiHidden/>
    <w:unhideWhenUsed/>
    <w:qFormat/>
    <w:uiPriority w:val="99"/>
    <w:rPr>
      <w:sz w:val="18"/>
      <w:szCs w:val="18"/>
    </w:rPr>
  </w:style>
  <w:style w:type="paragraph" w:styleId="8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itle"/>
    <w:basedOn w:val="1"/>
    <w:next w:val="1"/>
    <w:link w:val="24"/>
    <w:qFormat/>
    <w:uiPriority w:val="0"/>
    <w:pPr>
      <w:spacing w:before="480" w:after="360"/>
      <w:jc w:val="center"/>
      <w:outlineLvl w:val="0"/>
    </w:pPr>
    <w:rPr>
      <w:rFonts w:ascii="黑体" w:hAnsi="黑体" w:eastAsia="黑体" w:cstheme="majorBidi"/>
      <w:b/>
      <w:bCs/>
      <w:sz w:val="32"/>
      <w:szCs w:val="32"/>
    </w:rPr>
  </w:style>
  <w:style w:type="paragraph" w:styleId="11">
    <w:name w:val="annotation subject"/>
    <w:basedOn w:val="6"/>
    <w:next w:val="6"/>
    <w:link w:val="31"/>
    <w:semiHidden/>
    <w:unhideWhenUsed/>
    <w:qFormat/>
    <w:uiPriority w:val="99"/>
    <w:rPr>
      <w:b/>
      <w:bCs/>
    </w:rPr>
  </w:style>
  <w:style w:type="table" w:styleId="13">
    <w:name w:val="Table Grid"/>
    <w:basedOn w:val="1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line number"/>
    <w:basedOn w:val="14"/>
    <w:semiHidden/>
    <w:unhideWhenUsed/>
    <w:qFormat/>
    <w:uiPriority w:val="99"/>
  </w:style>
  <w:style w:type="character" w:styleId="16">
    <w:name w:val="Hyperlink"/>
    <w:basedOn w:val="14"/>
    <w:semiHidden/>
    <w:unhideWhenUsed/>
    <w:qFormat/>
    <w:uiPriority w:val="99"/>
    <w:rPr>
      <w:color w:val="0000FF"/>
      <w:u w:val="single"/>
    </w:rPr>
  </w:style>
  <w:style w:type="character" w:styleId="17">
    <w:name w:val="annotation reference"/>
    <w:basedOn w:val="14"/>
    <w:semiHidden/>
    <w:unhideWhenUsed/>
    <w:qFormat/>
    <w:uiPriority w:val="99"/>
    <w:rPr>
      <w:sz w:val="21"/>
      <w:szCs w:val="21"/>
    </w:rPr>
  </w:style>
  <w:style w:type="character" w:customStyle="1" w:styleId="18">
    <w:name w:val="页眉 字符"/>
    <w:basedOn w:val="14"/>
    <w:link w:val="9"/>
    <w:qFormat/>
    <w:uiPriority w:val="99"/>
    <w:rPr>
      <w:sz w:val="18"/>
      <w:szCs w:val="18"/>
    </w:rPr>
  </w:style>
  <w:style w:type="character" w:customStyle="1" w:styleId="19">
    <w:name w:val="页脚 字符"/>
    <w:basedOn w:val="14"/>
    <w:link w:val="8"/>
    <w:qFormat/>
    <w:uiPriority w:val="99"/>
    <w:rPr>
      <w:sz w:val="18"/>
      <w:szCs w:val="18"/>
    </w:rPr>
  </w:style>
  <w:style w:type="character" w:customStyle="1" w:styleId="20">
    <w:name w:val="标题 2 字符"/>
    <w:basedOn w:val="14"/>
    <w:link w:val="3"/>
    <w:qFormat/>
    <w:uiPriority w:val="9"/>
    <w:rPr>
      <w:rFonts w:ascii="黑体" w:hAnsi="黑体" w:eastAsia="黑体" w:cstheme="majorBidi"/>
      <w:bCs/>
      <w:sz w:val="28"/>
      <w:szCs w:val="32"/>
    </w:rPr>
  </w:style>
  <w:style w:type="character" w:customStyle="1" w:styleId="21">
    <w:name w:val="标题 3 字符"/>
    <w:basedOn w:val="14"/>
    <w:link w:val="4"/>
    <w:semiHidden/>
    <w:qFormat/>
    <w:uiPriority w:val="9"/>
    <w:rPr>
      <w:b/>
      <w:bCs/>
      <w:sz w:val="32"/>
      <w:szCs w:val="32"/>
    </w:rPr>
  </w:style>
  <w:style w:type="paragraph" w:styleId="22">
    <w:name w:val="List Paragraph"/>
    <w:basedOn w:val="1"/>
    <w:qFormat/>
    <w:uiPriority w:val="34"/>
    <w:pPr>
      <w:ind w:firstLine="420" w:firstLineChars="200"/>
    </w:pPr>
  </w:style>
  <w:style w:type="character" w:customStyle="1" w:styleId="23">
    <w:name w:val="批注框文本 字符"/>
    <w:basedOn w:val="14"/>
    <w:link w:val="7"/>
    <w:semiHidden/>
    <w:qFormat/>
    <w:uiPriority w:val="99"/>
    <w:rPr>
      <w:sz w:val="18"/>
      <w:szCs w:val="18"/>
    </w:rPr>
  </w:style>
  <w:style w:type="character" w:customStyle="1" w:styleId="24">
    <w:name w:val="标题 字符"/>
    <w:basedOn w:val="14"/>
    <w:link w:val="10"/>
    <w:qFormat/>
    <w:uiPriority w:val="0"/>
    <w:rPr>
      <w:rFonts w:ascii="黑体" w:hAnsi="黑体" w:eastAsia="黑体" w:cstheme="majorBidi"/>
      <w:b/>
      <w:bCs/>
      <w:sz w:val="32"/>
      <w:szCs w:val="32"/>
    </w:rPr>
  </w:style>
  <w:style w:type="paragraph" w:styleId="25">
    <w:name w:val="No Spacing"/>
    <w:qFormat/>
    <w:uiPriority w:val="1"/>
    <w:pPr>
      <w:widowControl w:val="0"/>
      <w:snapToGrid w:val="0"/>
      <w:spacing w:line="320" w:lineRule="exact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customStyle="1" w:styleId="26">
    <w:name w:val="fontstyle01"/>
    <w:basedOn w:val="14"/>
    <w:qFormat/>
    <w:uiPriority w:val="0"/>
    <w:rPr>
      <w:rFonts w:hint="default" w:ascii="TimesNewRomanPSMT" w:hAnsi="TimesNewRomanPSMT"/>
      <w:color w:val="000000"/>
      <w:sz w:val="22"/>
      <w:szCs w:val="22"/>
    </w:rPr>
  </w:style>
  <w:style w:type="character" w:customStyle="1" w:styleId="27">
    <w:name w:val="fontstyle11"/>
    <w:basedOn w:val="14"/>
    <w:qFormat/>
    <w:uiPriority w:val="0"/>
    <w:rPr>
      <w:rFonts w:hint="default" w:ascii="TimesNewRomanPSMT" w:hAnsi="TimesNewRomanPSMT"/>
      <w:color w:val="000000"/>
      <w:sz w:val="12"/>
      <w:szCs w:val="12"/>
    </w:rPr>
  </w:style>
  <w:style w:type="character" w:customStyle="1" w:styleId="28">
    <w:name w:val="标题 1 字符"/>
    <w:basedOn w:val="14"/>
    <w:link w:val="2"/>
    <w:qFormat/>
    <w:uiPriority w:val="9"/>
    <w:rPr>
      <w:b/>
      <w:bCs/>
      <w:kern w:val="44"/>
      <w:sz w:val="44"/>
      <w:szCs w:val="44"/>
    </w:rPr>
  </w:style>
  <w:style w:type="character" w:customStyle="1" w:styleId="29">
    <w:name w:val="highlight"/>
    <w:basedOn w:val="14"/>
    <w:qFormat/>
    <w:uiPriority w:val="0"/>
  </w:style>
  <w:style w:type="character" w:customStyle="1" w:styleId="30">
    <w:name w:val="批注文字 字符"/>
    <w:basedOn w:val="14"/>
    <w:link w:val="6"/>
    <w:semiHidden/>
    <w:qFormat/>
    <w:uiPriority w:val="99"/>
    <w:rPr>
      <w:kern w:val="2"/>
      <w:sz w:val="21"/>
      <w:szCs w:val="22"/>
    </w:rPr>
  </w:style>
  <w:style w:type="character" w:customStyle="1" w:styleId="31">
    <w:name w:val="批注主题 字符"/>
    <w:basedOn w:val="30"/>
    <w:link w:val="11"/>
    <w:semiHidden/>
    <w:qFormat/>
    <w:uiPriority w:val="99"/>
    <w:rPr>
      <w:b/>
      <w:bCs/>
      <w:kern w:val="2"/>
      <w:sz w:val="21"/>
      <w:szCs w:val="22"/>
    </w:rPr>
  </w:style>
  <w:style w:type="character" w:customStyle="1" w:styleId="32">
    <w:name w:val="tgt"/>
    <w:basedOn w:val="14"/>
    <w:qFormat/>
    <w:uiPriority w:val="0"/>
  </w:style>
  <w:style w:type="character" w:customStyle="1" w:styleId="33">
    <w:name w:val="标题 4 字符"/>
    <w:basedOn w:val="14"/>
    <w:link w:val="5"/>
    <w:semiHidden/>
    <w:qFormat/>
    <w:uiPriority w:val="9"/>
    <w:rPr>
      <w:rFonts w:asciiTheme="majorHAnsi" w:hAnsiTheme="majorHAnsi" w:eastAsiaTheme="majorEastAsia" w:cstheme="majorBidi"/>
      <w:b/>
      <w:bCs/>
      <w:kern w:val="2"/>
      <w:sz w:val="28"/>
      <w:szCs w:val="28"/>
    </w:rPr>
  </w:style>
  <w:style w:type="character" w:customStyle="1" w:styleId="34">
    <w:name w:val="fontstyle21"/>
    <w:basedOn w:val="14"/>
    <w:qFormat/>
    <w:uiPriority w:val="0"/>
    <w:rPr>
      <w:rFonts w:hint="default" w:ascii="HiddenHorzOCR-Identity-H" w:hAnsi="HiddenHorzOCR-Identity-H"/>
      <w:color w:val="5A5757"/>
      <w:sz w:val="22"/>
      <w:szCs w:val="22"/>
    </w:rPr>
  </w:style>
  <w:style w:type="character" w:customStyle="1" w:styleId="35">
    <w:name w:val="fontstyle31"/>
    <w:basedOn w:val="14"/>
    <w:qFormat/>
    <w:uiPriority w:val="0"/>
    <w:rPr>
      <w:rFonts w:hint="default" w:ascii="HiddenHorzOCR-Identity-H" w:hAnsi="HiddenHorzOCR-Identity-H"/>
      <w:color w:val="696766"/>
      <w:sz w:val="18"/>
      <w:szCs w:val="18"/>
    </w:rPr>
  </w:style>
  <w:style w:type="paragraph" w:customStyle="1" w:styleId="36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37">
    <w:name w:val="修订2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38">
    <w:name w:val="修订3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2F4DBF3-828B-4DE6-881C-97BF1AF82F9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737</Words>
  <Characters>4206</Characters>
  <Lines>35</Lines>
  <Paragraphs>9</Paragraphs>
  <TotalTime>5</TotalTime>
  <ScaleCrop>false</ScaleCrop>
  <LinksUpToDate>false</LinksUpToDate>
  <CharactersWithSpaces>4934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2020-05-24T17:01:00Z</dcterms:created>
  <dc:creator>Beijie Huang</dc:creator>
  <cp:lastModifiedBy>秋</cp:lastModifiedBy>
  <cp:lastPrinted>2020-03-27T00:44:00Z</cp:lastPrinted>
  <dcterms:modified xsi:type="dcterms:W3CDTF">2021-06-18T13:53:59Z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0076191F04204838B6E907DFAC1F77C5</vt:lpwstr>
  </property>
</Properties>
</file>