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1D08C" w14:textId="77777777" w:rsidR="002F3D2A" w:rsidRDefault="002F3D2A" w:rsidP="002F3D2A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S</w:t>
      </w:r>
      <w:r>
        <w:rPr>
          <w:rFonts w:ascii="Times New Roman" w:hAnsi="Times New Roman"/>
          <w:b/>
          <w:bCs/>
          <w:sz w:val="24"/>
        </w:rPr>
        <w:t>upplementary</w:t>
      </w:r>
      <w:r>
        <w:rPr>
          <w:rFonts w:ascii="Times New Roman" w:hAnsi="Times New Roman" w:hint="eastAsia"/>
          <w:b/>
          <w:bCs/>
          <w:sz w:val="24"/>
        </w:rPr>
        <w:t xml:space="preserve"> M</w:t>
      </w:r>
      <w:r>
        <w:rPr>
          <w:rFonts w:ascii="Times New Roman" w:hAnsi="Times New Roman"/>
          <w:b/>
          <w:bCs/>
          <w:sz w:val="24"/>
        </w:rPr>
        <w:t>aterial</w:t>
      </w:r>
    </w:p>
    <w:p w14:paraId="241A6646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Figure</w:t>
      </w:r>
      <w:r>
        <w:rPr>
          <w:rFonts w:ascii="Times New Roman" w:hAnsi="Times New Roman"/>
          <w:b/>
          <w:bCs/>
          <w:sz w:val="24"/>
        </w:rPr>
        <w:t xml:space="preserve"> 1</w:t>
      </w:r>
      <w:r>
        <w:rPr>
          <w:rFonts w:ascii="Times New Roman" w:hAnsi="Times New Roman"/>
          <w:sz w:val="24"/>
        </w:rPr>
        <w:t xml:space="preserve">: </w:t>
      </w:r>
      <w:r>
        <w:rPr>
          <w:rStyle w:val="Strong"/>
          <w:rFonts w:ascii="Times New Roman" w:hAnsi="Times New Roman"/>
          <w:sz w:val="24"/>
        </w:rPr>
        <w:t>Tumor mutation burden (TMB) analysis and its correlation with risk stratification.</w:t>
      </w:r>
    </w:p>
    <w:p w14:paraId="23D255FC" w14:textId="77777777" w:rsidR="002F3D2A" w:rsidRDefault="002F3D2A" w:rsidP="002F3D2A">
      <w:pPr>
        <w:pStyle w:val="NormalWeb"/>
        <w:widowControl/>
        <w:spacing w:beforeAutospacing="0" w:afterAutospacing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</w:t>
      </w:r>
      <w:r>
        <w:rPr>
          <w:rStyle w:val="Strong"/>
          <w:rFonts w:ascii="Times New Roman" w:hAnsi="Times New Roman"/>
        </w:rPr>
        <w:t>A-B</w:t>
      </w:r>
      <w:r>
        <w:rPr>
          <w:rFonts w:ascii="Times New Roman" w:hAnsi="Times New Roman"/>
        </w:rPr>
        <w:t>) Oncoplot visualizing the top mutated genes in the low-risk (A) and high-risk (B) groups, with different colors representing various mutation types (missense mutation, nonsense mutation, frame shift, etc.). The right panel shows the percentage of mutations in each group. (</w:t>
      </w:r>
      <w:r>
        <w:rPr>
          <w:rStyle w:val="Strong"/>
          <w:rFonts w:ascii="Times New Roman" w:hAnsi="Times New Roman"/>
        </w:rPr>
        <w:t>C</w:t>
      </w:r>
      <w:r>
        <w:rPr>
          <w:rFonts w:ascii="Times New Roman" w:hAnsi="Times New Roman"/>
        </w:rPr>
        <w:t>) Violin plot comparing TMB between low-risk (blue) and high-risk (red) groups, with a marginally significant difference (p = 0.068). (</w:t>
      </w:r>
      <w:r>
        <w:rPr>
          <w:rStyle w:val="Strong"/>
          <w:rFonts w:ascii="Times New Roman" w:hAnsi="Times New Roman"/>
        </w:rPr>
        <w:t>D</w:t>
      </w:r>
      <w:r>
        <w:rPr>
          <w:rFonts w:ascii="Times New Roman" w:hAnsi="Times New Roman"/>
        </w:rPr>
        <w:t>) Kaplan-Meier survival curve comparing overall survival (OS) between high-TMB (red) and low-TMB (blue) groups, showing significantly better survival in the high-TMB group (p &lt; 0.001). (</w:t>
      </w:r>
      <w:r>
        <w:rPr>
          <w:rStyle w:val="Strong"/>
          <w:rFonts w:ascii="Times New Roman" w:hAnsi="Times New Roman"/>
        </w:rPr>
        <w:t>E</w:t>
      </w:r>
      <w:r>
        <w:rPr>
          <w:rFonts w:ascii="Times New Roman" w:hAnsi="Times New Roman"/>
        </w:rPr>
        <w:t>) Kaplan-Meier survival curve stratifying patients by both TMB status and risk score (high-TMB/high-risk, high-TMB/low-risk, low-TMB/high-risk, and low-TMB/low-risk), demonstrating the combined prognostic impact of TMB and risk classification (p &lt; 0.001).</w:t>
      </w:r>
    </w:p>
    <w:p w14:paraId="5739741F" w14:textId="77777777" w:rsidR="002F3D2A" w:rsidRDefault="002F3D2A" w:rsidP="002F3D2A">
      <w:pPr>
        <w:pStyle w:val="NormalWeb"/>
        <w:widowControl/>
        <w:spacing w:beforeAutospacing="0" w:afterAutospacing="0" w:line="360" w:lineRule="auto"/>
        <w:jc w:val="both"/>
        <w:rPr>
          <w:rFonts w:ascii="Times New Roman" w:hAnsi="Times New Roman"/>
          <w:b/>
          <w:bCs/>
        </w:rPr>
      </w:pPr>
    </w:p>
    <w:p w14:paraId="52289F5B" w14:textId="77777777" w:rsidR="002F3D2A" w:rsidRDefault="002F3D2A" w:rsidP="002F3D2A">
      <w:pPr>
        <w:pStyle w:val="NormalWeb"/>
        <w:widowControl/>
        <w:spacing w:beforeAutospacing="0" w:afterAutospacing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ascii="Times New Roman" w:hAnsi="Times New Roman" w:hint="eastAsia"/>
          <w:b/>
          <w:bCs/>
        </w:rPr>
        <w:t>Figure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bCs/>
        </w:rPr>
        <w:t>2</w:t>
      </w:r>
      <w:r>
        <w:rPr>
          <w:rFonts w:ascii="Times New Roman" w:hAnsi="Times New Roman"/>
          <w:b/>
          <w:bCs/>
        </w:rPr>
        <w:t>：</w:t>
      </w:r>
      <w:r>
        <w:rPr>
          <w:rStyle w:val="Strong"/>
          <w:rFonts w:ascii="Times New Roman" w:hAnsi="Times New Roman"/>
        </w:rPr>
        <w:t xml:space="preserve"> Correlation between GDSC drug sensitivity and mRNA expression of ANXA1, ST3GAL5, and VIM.</w:t>
      </w:r>
    </w:p>
    <w:p w14:paraId="7B763495" w14:textId="77777777" w:rsidR="002F3D2A" w:rsidRDefault="002F3D2A" w:rsidP="002F3D2A">
      <w:pPr>
        <w:spacing w:line="360" w:lineRule="auto"/>
        <w:rPr>
          <w:rFonts w:ascii="Times New Roman" w:hAnsi="Times New Roman"/>
          <w:b/>
          <w:bCs/>
          <w:sz w:val="24"/>
        </w:rPr>
      </w:pPr>
    </w:p>
    <w:p w14:paraId="00CC1FC2" w14:textId="77777777" w:rsidR="002F3D2A" w:rsidRDefault="002F3D2A" w:rsidP="002F3D2A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Figure</w:t>
      </w:r>
      <w:r>
        <w:rPr>
          <w:rFonts w:ascii="Times New Roman" w:hAnsi="Times New Roman"/>
          <w:b/>
          <w:bCs/>
          <w:sz w:val="24"/>
        </w:rPr>
        <w:t xml:space="preserve"> 3</w:t>
      </w:r>
      <w:r>
        <w:rPr>
          <w:rFonts w:ascii="Times New Roman" w:hAnsi="Times New Roman"/>
          <w:sz w:val="24"/>
        </w:rPr>
        <w:t>：</w:t>
      </w:r>
      <w:r>
        <w:rPr>
          <w:rFonts w:ascii="Times New Roman" w:hAnsi="Times New Roman"/>
          <w:b/>
          <w:bCs/>
          <w:sz w:val="24"/>
        </w:rPr>
        <w:t>Analysis of drug sensitivity in relation to ANXA1, ST3GAL5, and VIM.</w:t>
      </w:r>
    </w:p>
    <w:p w14:paraId="31EB110C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</w:p>
    <w:p w14:paraId="21F9BC59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Table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>：</w:t>
      </w:r>
      <w:r>
        <w:rPr>
          <w:rFonts w:ascii="Times New Roman" w:hAnsi="Times New Roman"/>
          <w:b/>
          <w:bCs/>
          <w:sz w:val="24"/>
        </w:rPr>
        <w:t>All Differentially Expressed Genes</w:t>
      </w:r>
    </w:p>
    <w:p w14:paraId="04BB7026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</w:p>
    <w:p w14:paraId="25CA1A6A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Supplementary </w:t>
      </w:r>
      <w:r>
        <w:rPr>
          <w:rFonts w:ascii="Times New Roman" w:hAnsi="Times New Roman" w:hint="eastAsia"/>
          <w:b/>
          <w:bCs/>
          <w:sz w:val="24"/>
        </w:rPr>
        <w:t>Table</w:t>
      </w:r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hint="eastAsia"/>
          <w:b/>
          <w:bCs/>
          <w:sz w:val="24"/>
        </w:rPr>
        <w:t>2</w:t>
      </w:r>
      <w:r>
        <w:rPr>
          <w:rFonts w:ascii="Times New Roman" w:hAnsi="Times New Roman"/>
          <w:b/>
          <w:bCs/>
          <w:sz w:val="24"/>
        </w:rPr>
        <w:t>：</w:t>
      </w:r>
      <w:r>
        <w:rPr>
          <w:rFonts w:ascii="Times New Roman" w:hAnsi="Times New Roman"/>
          <w:b/>
          <w:bCs/>
          <w:sz w:val="24"/>
        </w:rPr>
        <w:t>Macrophage-Related Genes Identified by WGCNA</w:t>
      </w:r>
    </w:p>
    <w:p w14:paraId="556423F8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</w:p>
    <w:p w14:paraId="7DC4BFE9" w14:textId="77777777" w:rsidR="002F3D2A" w:rsidRDefault="002F3D2A" w:rsidP="002F3D2A">
      <w:pPr>
        <w:pStyle w:val="NormalWeb"/>
        <w:widowControl/>
      </w:pPr>
      <w:r>
        <w:rPr>
          <w:rFonts w:ascii="Times New Roman" w:hAnsi="Times New Roman"/>
          <w:b/>
          <w:bCs/>
        </w:rPr>
        <w:t xml:space="preserve">Supplementary </w:t>
      </w:r>
      <w:r>
        <w:rPr>
          <w:rFonts w:ascii="Times New Roman" w:hAnsi="Times New Roman" w:hint="eastAsia"/>
          <w:b/>
          <w:bCs/>
          <w:kern w:val="2"/>
        </w:rPr>
        <w:t>Table</w:t>
      </w:r>
      <w:r>
        <w:rPr>
          <w:rFonts w:ascii="Times New Roman" w:hAnsi="Times New Roman"/>
          <w:b/>
          <w:bCs/>
          <w:kern w:val="2"/>
        </w:rPr>
        <w:t xml:space="preserve"> </w:t>
      </w:r>
      <w:r>
        <w:rPr>
          <w:rFonts w:ascii="Times New Roman" w:hAnsi="Times New Roman" w:hint="eastAsia"/>
          <w:b/>
          <w:bCs/>
          <w:kern w:val="2"/>
        </w:rPr>
        <w:t>3</w:t>
      </w:r>
      <w:r>
        <w:rPr>
          <w:rFonts w:ascii="Times New Roman" w:hAnsi="Times New Roman"/>
          <w:b/>
          <w:bCs/>
          <w:kern w:val="2"/>
        </w:rPr>
        <w:t>：</w:t>
      </w:r>
      <w:r>
        <w:rPr>
          <w:rFonts w:ascii="Times New Roman" w:hAnsi="Times New Roman"/>
          <w:b/>
          <w:bCs/>
          <w:kern w:val="2"/>
        </w:rPr>
        <w:t>Macrophage-Related Genes Identified by Single-Cell Analysis</w:t>
      </w:r>
    </w:p>
    <w:p w14:paraId="00035BDD" w14:textId="77777777" w:rsidR="002F3D2A" w:rsidRDefault="002F3D2A" w:rsidP="002F3D2A">
      <w:pPr>
        <w:spacing w:line="360" w:lineRule="auto"/>
        <w:rPr>
          <w:rFonts w:ascii="Times New Roman" w:hAnsi="Times New Roman"/>
          <w:sz w:val="24"/>
        </w:rPr>
      </w:pPr>
    </w:p>
    <w:p w14:paraId="2BFB7DC0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D2A"/>
    <w:rsid w:val="00014DE7"/>
    <w:rsid w:val="002F3D2A"/>
    <w:rsid w:val="00411924"/>
    <w:rsid w:val="00611A5F"/>
    <w:rsid w:val="00B82668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AF755"/>
  <w15:chartTrackingRefBased/>
  <w15:docId w15:val="{7A12A170-3C49-478E-81F0-1240D6FE9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D2A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D2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D2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D2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D2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D2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D2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D2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D2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D2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D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D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D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D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D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D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D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D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D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3D2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3D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D2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3D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3D2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3D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3D2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3D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D2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D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3D2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2F3D2A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qFormat/>
    <w:rsid w:val="002F3D2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1197</Characters>
  <Application>Microsoft Office Word</Application>
  <DocSecurity>0</DocSecurity>
  <Lines>9</Lines>
  <Paragraphs>2</Paragraphs>
  <ScaleCrop>false</ScaleCrop>
  <Company>Springer Nature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2025-05-13T09:26:00Z</dcterms:created>
  <dcterms:modified xsi:type="dcterms:W3CDTF">2025-05-13T09:27:00Z</dcterms:modified>
</cp:coreProperties>
</file>